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D079D3">
      <w:pPr>
        <w:wordWrap w:val="0"/>
        <w:spacing w:before="190" w:beforeLines="50" w:after="190" w:afterLines="50"/>
        <w:ind w:left="-560" w:leftChars="-200" w:right="-560" w:rightChars="-200" w:firstLine="0" w:firstLineChars="0"/>
        <w:jc w:val="center"/>
        <w:rPr>
          <w:rFonts w:asciiTheme="minorHAnsi" w:hAnsiTheme="minorHAnsi" w:cstheme="minorHAnsi"/>
          <w:b/>
          <w:szCs w:val="28"/>
        </w:rPr>
      </w:pPr>
      <w:r>
        <w:rPr>
          <w:rFonts w:hint="eastAsia" w:asciiTheme="minorHAnsi" w:hAnsiTheme="minorHAnsi" w:cstheme="minorHAnsi"/>
          <w:b/>
          <w:szCs w:val="28"/>
        </w:rPr>
        <w:t xml:space="preserve">                                                                                              </w:t>
      </w:r>
      <w:r>
        <w:rPr>
          <w:rFonts w:asciiTheme="minorHAnsi" w:hAnsiTheme="minorHAnsi" w:cstheme="minorHAnsi"/>
          <w:b/>
          <w:szCs w:val="28"/>
        </w:rPr>
        <w:t>编号：AK25052201</w:t>
      </w:r>
      <w:r>
        <w:rPr>
          <w:rFonts w:asciiTheme="minorHAnsi" w:hAnsiTheme="minorHAnsi" w:cstheme="minorHAnsi"/>
          <w:b/>
          <w:szCs w:val="28"/>
        </w:rPr>
        <w:drawing>
          <wp:anchor distT="0" distB="0" distL="114300" distR="114300" simplePos="0" relativeHeight="251659264" behindDoc="0" locked="0" layoutInCell="1" allowOverlap="1">
            <wp:simplePos x="0" y="0"/>
            <wp:positionH relativeFrom="column">
              <wp:posOffset>-85090</wp:posOffset>
            </wp:positionH>
            <wp:positionV relativeFrom="paragraph">
              <wp:posOffset>-140335</wp:posOffset>
            </wp:positionV>
            <wp:extent cx="1378585" cy="1406525"/>
            <wp:effectExtent l="0" t="0" r="0" b="0"/>
            <wp:wrapNone/>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378585" cy="1406525"/>
                    </a:xfrm>
                    <a:prstGeom prst="rect">
                      <a:avLst/>
                    </a:prstGeom>
                    <a:noFill/>
                    <a:ln>
                      <a:noFill/>
                    </a:ln>
                  </pic:spPr>
                </pic:pic>
              </a:graphicData>
            </a:graphic>
          </wp:anchor>
        </w:drawing>
      </w:r>
      <w:r>
        <w:rPr>
          <w:rFonts w:asciiTheme="minorHAnsi" w:hAnsiTheme="minorHAnsi" w:cstheme="minorHAnsi"/>
          <w:b/>
          <w:szCs w:val="28"/>
        </w:rPr>
        <w:t xml:space="preserve"> </w:t>
      </w:r>
    </w:p>
    <w:p w14:paraId="1FA77DE6">
      <w:pPr>
        <w:wordWrap w:val="0"/>
        <w:spacing w:before="190" w:beforeLines="50" w:after="190" w:afterLines="50"/>
        <w:ind w:left="-560" w:leftChars="-200" w:right="-560" w:rightChars="-200" w:firstLine="0" w:firstLineChars="0"/>
        <w:jc w:val="center"/>
        <w:rPr>
          <w:rFonts w:hint="eastAsia" w:asciiTheme="minorHAnsi" w:hAnsiTheme="minorHAnsi" w:cstheme="minorHAnsi"/>
          <w:b/>
          <w:szCs w:val="28"/>
        </w:rPr>
      </w:pPr>
      <w:r>
        <w:rPr>
          <w:rFonts w:asciiTheme="minorHAnsi" w:hAnsiTheme="minorHAnsi" w:cstheme="minorHAnsi"/>
          <w:b/>
          <w:szCs w:val="28"/>
        </w:rPr>
        <w:drawing>
          <wp:anchor distT="0" distB="0" distL="114300" distR="114300" simplePos="0" relativeHeight="251661312" behindDoc="0" locked="0" layoutInCell="1" allowOverlap="1">
            <wp:simplePos x="0" y="0"/>
            <wp:positionH relativeFrom="column">
              <wp:posOffset>4715510</wp:posOffset>
            </wp:positionH>
            <wp:positionV relativeFrom="paragraph">
              <wp:posOffset>13970</wp:posOffset>
            </wp:positionV>
            <wp:extent cx="1000125" cy="1000125"/>
            <wp:effectExtent l="0" t="0" r="9525" b="952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000125" cy="1000125"/>
                    </a:xfrm>
                    <a:prstGeom prst="rect">
                      <a:avLst/>
                    </a:prstGeom>
                    <a:noFill/>
                  </pic:spPr>
                </pic:pic>
              </a:graphicData>
            </a:graphic>
          </wp:anchor>
        </w:drawing>
      </w:r>
    </w:p>
    <w:p w14:paraId="0FDE5D29">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60A8A8A3">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415A5EA4">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3876E83B">
      <w:pPr>
        <w:spacing w:before="190" w:beforeLines="50" w:line="360" w:lineRule="auto"/>
        <w:ind w:firstLine="0" w:firstLineChars="0"/>
        <w:jc w:val="center"/>
        <w:rPr>
          <w:rFonts w:asciiTheme="minorHAnsi" w:hAnsiTheme="minorHAnsi" w:cstheme="minorHAnsi"/>
          <w:b/>
          <w:sz w:val="44"/>
          <w:szCs w:val="44"/>
        </w:rPr>
      </w:pPr>
      <w:bookmarkStart w:id="0" w:name="_Toc59095245"/>
      <w:bookmarkStart w:id="1" w:name="_Toc86756902"/>
      <w:bookmarkStart w:id="2" w:name="_Toc81924492"/>
      <w:bookmarkStart w:id="3" w:name="_Toc86844348"/>
      <w:bookmarkStart w:id="4" w:name="_Toc58921482"/>
      <w:bookmarkStart w:id="5" w:name="_Toc86741461"/>
      <w:bookmarkStart w:id="6" w:name="_Toc60322056"/>
      <w:bookmarkStart w:id="7" w:name="_Toc60144212"/>
      <w:bookmarkStart w:id="8" w:name="_Toc87000361"/>
      <w:bookmarkStart w:id="9" w:name="_Toc102986546"/>
      <w:bookmarkStart w:id="10" w:name="_Toc59438816"/>
      <w:bookmarkStart w:id="11" w:name="_Toc82079481"/>
      <w:bookmarkStart w:id="12" w:name="_Toc83541207"/>
      <w:bookmarkStart w:id="13" w:name="_Toc89171631"/>
      <w:bookmarkStart w:id="14" w:name="_Toc60304732"/>
      <w:bookmarkStart w:id="15" w:name="_Toc82185307"/>
      <w:bookmarkStart w:id="16" w:name="_Toc83151638"/>
      <w:bookmarkStart w:id="17" w:name="_Hlk96006662"/>
      <w:r>
        <w:rPr>
          <w:rFonts w:hint="eastAsia" w:asciiTheme="minorHAnsi" w:hAnsiTheme="minorHAnsi" w:cstheme="minorHAnsi"/>
          <w:b/>
          <w:sz w:val="44"/>
          <w:szCs w:val="44"/>
        </w:rPr>
        <w:t>山东彭集矿业有限公司</w:t>
      </w:r>
    </w:p>
    <w:p w14:paraId="42ED82DC">
      <w:pPr>
        <w:spacing w:before="190" w:beforeLines="50" w:line="360" w:lineRule="auto"/>
        <w:ind w:firstLine="0" w:firstLineChars="0"/>
        <w:jc w:val="center"/>
        <w:rPr>
          <w:rFonts w:asciiTheme="minorHAnsi" w:hAnsiTheme="minorHAnsi" w:cstheme="minorHAnsi"/>
          <w:b/>
          <w:sz w:val="44"/>
          <w:szCs w:val="44"/>
        </w:rPr>
      </w:pPr>
      <w:r>
        <w:rPr>
          <w:rFonts w:hint="eastAsia" w:asciiTheme="minorHAnsi" w:hAnsiTheme="minorHAnsi" w:cstheme="minorHAnsi"/>
          <w:b/>
          <w:sz w:val="44"/>
          <w:szCs w:val="44"/>
        </w:rPr>
        <w:t>彭集铁矿采矿工程</w:t>
      </w:r>
    </w:p>
    <w:p w14:paraId="2CC1FE20">
      <w:pPr>
        <w:spacing w:before="190" w:beforeLines="50" w:line="360" w:lineRule="auto"/>
        <w:ind w:firstLine="0" w:firstLineChars="0"/>
        <w:jc w:val="center"/>
        <w:rPr>
          <w:rFonts w:eastAsia="黑体" w:asciiTheme="minorHAnsi" w:hAnsiTheme="minorHAnsi" w:cstheme="minorHAnsi"/>
          <w:b/>
          <w:sz w:val="52"/>
          <w:szCs w:val="52"/>
        </w:rPr>
      </w:pPr>
      <w:r>
        <w:rPr>
          <w:rFonts w:eastAsia="黑体" w:asciiTheme="minorHAnsi" w:hAnsiTheme="minorHAnsi" w:cstheme="minorHAnsi"/>
          <w:b/>
          <w:sz w:val="52"/>
          <w:szCs w:val="52"/>
        </w:rPr>
        <w:t>安全预评价报告</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bookmarkEnd w:id="17"/>
    <w:p w14:paraId="293EE10D">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r>
        <w:rPr>
          <w:rFonts w:asciiTheme="minorHAnsi" w:hAnsiTheme="minorHAnsi" w:cstheme="minorHAnsi"/>
          <w:b/>
          <w:bCs/>
          <w:sz w:val="32"/>
          <w:szCs w:val="32"/>
        </w:rPr>
        <w:t>（</w:t>
      </w:r>
      <w:r>
        <w:rPr>
          <w:rFonts w:hint="eastAsia" w:asciiTheme="minorHAnsi" w:hAnsiTheme="minorHAnsi" w:cstheme="minorHAnsi"/>
          <w:b/>
          <w:bCs/>
          <w:sz w:val="32"/>
          <w:szCs w:val="32"/>
        </w:rPr>
        <w:t>审定稿</w:t>
      </w:r>
      <w:r>
        <w:rPr>
          <w:rFonts w:asciiTheme="minorHAnsi" w:hAnsiTheme="minorHAnsi" w:cstheme="minorHAnsi"/>
          <w:b/>
          <w:bCs/>
          <w:sz w:val="32"/>
          <w:szCs w:val="32"/>
        </w:rPr>
        <w:t>）</w:t>
      </w:r>
    </w:p>
    <w:p w14:paraId="6C4C77E0">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4C9FC981">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290240E4">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56803B4D">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106FD5F6">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2D7001CE">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3D020198">
      <w:pPr>
        <w:spacing w:line="480" w:lineRule="auto"/>
        <w:ind w:firstLine="883"/>
        <w:jc w:val="center"/>
        <w:rPr>
          <w:rFonts w:asciiTheme="minorHAnsi" w:hAnsiTheme="minorHAnsi" w:cstheme="minorHAnsi"/>
          <w:b/>
          <w:sz w:val="44"/>
          <w:szCs w:val="44"/>
        </w:rPr>
      </w:pPr>
      <w:r>
        <w:rPr>
          <w:rFonts w:asciiTheme="minorHAnsi" w:hAnsiTheme="minorHAnsi" w:cstheme="minorHAnsi"/>
          <w:b/>
          <w:sz w:val="44"/>
          <w:szCs w:val="44"/>
        </w:rPr>
        <w:t>北京国信安科技术有限公司</w:t>
      </w:r>
    </w:p>
    <w:p w14:paraId="1104022F">
      <w:pPr>
        <w:spacing w:line="480" w:lineRule="auto"/>
        <w:ind w:firstLine="643"/>
        <w:jc w:val="center"/>
        <w:rPr>
          <w:rFonts w:asciiTheme="minorHAnsi" w:hAnsiTheme="minorHAnsi" w:cstheme="minorHAnsi"/>
          <w:b/>
          <w:sz w:val="32"/>
          <w:szCs w:val="32"/>
        </w:rPr>
      </w:pPr>
      <w:r>
        <w:rPr>
          <w:rFonts w:asciiTheme="minorHAnsi" w:hAnsiTheme="minorHAnsi" w:cstheme="minorHAnsi"/>
          <w:b/>
          <w:sz w:val="32"/>
          <w:szCs w:val="32"/>
        </w:rPr>
        <w:t>证书编号：APJ-（京）-003</w:t>
      </w:r>
    </w:p>
    <w:p w14:paraId="61D47002">
      <w:pPr>
        <w:ind w:firstLine="643"/>
        <w:jc w:val="center"/>
        <w:rPr>
          <w:rFonts w:asciiTheme="minorHAnsi" w:hAnsiTheme="minorHAnsi" w:cstheme="minorHAnsi"/>
          <w:b/>
          <w:bCs/>
          <w:sz w:val="32"/>
          <w:szCs w:val="32"/>
        </w:rPr>
      </w:pPr>
      <w:r>
        <w:rPr>
          <w:rFonts w:asciiTheme="minorHAnsi" w:hAnsiTheme="minorHAnsi" w:cstheme="minorHAnsi"/>
          <w:b/>
          <w:bCs/>
          <w:sz w:val="32"/>
          <w:szCs w:val="32"/>
        </w:rPr>
        <w:t>二零二</w:t>
      </w:r>
      <w:r>
        <w:rPr>
          <w:rFonts w:hint="eastAsia" w:asciiTheme="minorHAnsi" w:hAnsiTheme="minorHAnsi" w:cstheme="minorHAnsi"/>
          <w:b/>
          <w:bCs/>
          <w:sz w:val="32"/>
          <w:szCs w:val="32"/>
        </w:rPr>
        <w:t>五</w:t>
      </w:r>
      <w:r>
        <w:rPr>
          <w:rFonts w:asciiTheme="minorHAnsi" w:hAnsiTheme="minorHAnsi" w:cstheme="minorHAnsi"/>
          <w:b/>
          <w:bCs/>
          <w:sz w:val="32"/>
          <w:szCs w:val="32"/>
        </w:rPr>
        <w:t>年</w:t>
      </w:r>
      <w:r>
        <w:rPr>
          <w:rFonts w:hint="eastAsia" w:asciiTheme="minorHAnsi" w:hAnsiTheme="minorHAnsi" w:cstheme="minorHAnsi"/>
          <w:b/>
          <w:bCs/>
          <w:sz w:val="32"/>
          <w:szCs w:val="32"/>
        </w:rPr>
        <w:t>四</w:t>
      </w:r>
      <w:r>
        <w:rPr>
          <w:rFonts w:asciiTheme="minorHAnsi" w:hAnsiTheme="minorHAnsi" w:cstheme="minorHAnsi"/>
          <w:b/>
          <w:bCs/>
          <w:sz w:val="32"/>
          <w:szCs w:val="32"/>
        </w:rPr>
        <w:t>月</w:t>
      </w:r>
    </w:p>
    <w:p w14:paraId="2DD9D9A4">
      <w:pPr>
        <w:spacing w:before="381" w:beforeLines="100" w:after="381" w:afterLines="100"/>
        <w:ind w:firstLine="0" w:firstLineChars="0"/>
        <w:rPr>
          <w:rFonts w:asciiTheme="minorHAnsi" w:hAnsiTheme="minorHAnsi" w:cstheme="minorHAnsi"/>
          <w:b/>
        </w:rPr>
      </w:pPr>
    </w:p>
    <w:p w14:paraId="197F250C">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bookmarkStart w:id="18" w:name="_Toc58921483"/>
      <w:bookmarkStart w:id="19" w:name="_Toc83541208"/>
      <w:bookmarkStart w:id="20" w:name="_Toc81924493"/>
      <w:bookmarkStart w:id="21" w:name="_Toc83151639"/>
      <w:bookmarkStart w:id="22" w:name="_Toc82185308"/>
      <w:bookmarkStart w:id="23" w:name="_Toc82079482"/>
    </w:p>
    <w:p w14:paraId="3DBD073D">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bookmarkEnd w:id="18"/>
    <w:bookmarkEnd w:id="19"/>
    <w:bookmarkEnd w:id="20"/>
    <w:bookmarkEnd w:id="21"/>
    <w:bookmarkEnd w:id="22"/>
    <w:bookmarkEnd w:id="23"/>
    <w:p w14:paraId="123CF810">
      <w:pPr>
        <w:spacing w:line="360" w:lineRule="auto"/>
        <w:ind w:firstLine="0" w:firstLineChars="0"/>
        <w:jc w:val="center"/>
        <w:rPr>
          <w:rFonts w:asciiTheme="minorHAnsi" w:hAnsiTheme="minorHAnsi" w:cstheme="minorHAnsi"/>
          <w:b/>
          <w:sz w:val="32"/>
          <w:szCs w:val="32"/>
        </w:rPr>
      </w:pPr>
      <w:bookmarkStart w:id="24" w:name="_Toc89171634"/>
      <w:bookmarkStart w:id="25" w:name="_Toc102986549"/>
      <w:r>
        <w:rPr>
          <w:rFonts w:hint="eastAsia" w:asciiTheme="minorHAnsi" w:hAnsiTheme="minorHAnsi" w:cstheme="minorHAnsi"/>
          <w:b/>
          <w:sz w:val="32"/>
          <w:szCs w:val="32"/>
        </w:rPr>
        <w:t>山东彭集矿业有限公司</w:t>
      </w:r>
    </w:p>
    <w:p w14:paraId="76E35034">
      <w:pPr>
        <w:spacing w:line="360" w:lineRule="auto"/>
        <w:ind w:firstLine="0" w:firstLineChars="0"/>
        <w:jc w:val="center"/>
        <w:rPr>
          <w:rFonts w:asciiTheme="minorHAnsi" w:hAnsiTheme="minorHAnsi" w:cstheme="minorHAnsi"/>
          <w:b/>
          <w:sz w:val="32"/>
          <w:szCs w:val="32"/>
        </w:rPr>
      </w:pPr>
      <w:r>
        <w:rPr>
          <w:rFonts w:hint="eastAsia" w:asciiTheme="minorHAnsi" w:hAnsiTheme="minorHAnsi" w:cstheme="minorHAnsi"/>
          <w:b/>
          <w:sz w:val="32"/>
          <w:szCs w:val="32"/>
        </w:rPr>
        <w:t>彭集铁矿采矿工程</w:t>
      </w:r>
    </w:p>
    <w:p w14:paraId="0988CC69">
      <w:pPr>
        <w:spacing w:line="360" w:lineRule="auto"/>
        <w:ind w:firstLine="0" w:firstLineChars="0"/>
        <w:jc w:val="center"/>
        <w:rPr>
          <w:rFonts w:asciiTheme="minorHAnsi" w:hAnsiTheme="minorHAnsi" w:cstheme="minorHAnsi"/>
          <w:b/>
          <w:sz w:val="44"/>
          <w:szCs w:val="44"/>
        </w:rPr>
      </w:pPr>
      <w:r>
        <w:rPr>
          <w:rFonts w:asciiTheme="minorHAnsi" w:hAnsiTheme="minorHAnsi" w:cstheme="minorHAnsi"/>
          <w:b/>
          <w:sz w:val="44"/>
          <w:szCs w:val="44"/>
        </w:rPr>
        <w:t>安全预评价报告</w:t>
      </w:r>
      <w:bookmarkEnd w:id="24"/>
      <w:bookmarkEnd w:id="25"/>
    </w:p>
    <w:p w14:paraId="601692D0">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r>
        <w:rPr>
          <w:rFonts w:asciiTheme="minorHAnsi" w:hAnsiTheme="minorHAnsi" w:cstheme="minorHAnsi"/>
          <w:b/>
          <w:bCs/>
          <w:sz w:val="32"/>
          <w:szCs w:val="32"/>
        </w:rPr>
        <w:t>（</w:t>
      </w:r>
      <w:r>
        <w:rPr>
          <w:rFonts w:hint="eastAsia" w:asciiTheme="minorHAnsi" w:hAnsiTheme="minorHAnsi" w:cstheme="minorHAnsi"/>
          <w:b/>
          <w:bCs/>
          <w:sz w:val="32"/>
          <w:szCs w:val="32"/>
        </w:rPr>
        <w:t>审定</w:t>
      </w:r>
      <w:r>
        <w:rPr>
          <w:rFonts w:asciiTheme="minorHAnsi" w:hAnsiTheme="minorHAnsi" w:cstheme="minorHAnsi"/>
          <w:b/>
          <w:bCs/>
          <w:sz w:val="32"/>
          <w:szCs w:val="32"/>
        </w:rPr>
        <w:t>稿）</w:t>
      </w:r>
    </w:p>
    <w:p w14:paraId="5D0B1804">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0DA54539">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185D412D">
      <w:pPr>
        <w:spacing w:before="190" w:beforeLines="50" w:after="190" w:afterLines="50"/>
        <w:ind w:left="-560" w:leftChars="-200" w:right="-560" w:rightChars="-200" w:firstLine="0" w:firstLineChars="0"/>
        <w:jc w:val="center"/>
        <w:rPr>
          <w:rFonts w:asciiTheme="minorHAnsi" w:hAnsiTheme="minorHAnsi" w:cstheme="minorHAnsi"/>
          <w:b/>
          <w:bCs/>
          <w:sz w:val="32"/>
          <w:szCs w:val="32"/>
        </w:rPr>
      </w:pPr>
    </w:p>
    <w:p w14:paraId="4C9A07EE">
      <w:pPr>
        <w:spacing w:line="360" w:lineRule="auto"/>
        <w:ind w:firstLine="0" w:firstLineChars="0"/>
        <w:jc w:val="center"/>
        <w:rPr>
          <w:rFonts w:asciiTheme="minorHAnsi" w:hAnsiTheme="minorHAnsi" w:cstheme="minorHAnsi"/>
          <w:b/>
          <w:sz w:val="32"/>
          <w:szCs w:val="32"/>
        </w:rPr>
      </w:pPr>
      <w:r>
        <w:rPr>
          <w:rFonts w:asciiTheme="minorHAnsi" w:hAnsiTheme="minorHAnsi" w:cstheme="minorHAnsi"/>
          <w:b/>
          <w:sz w:val="32"/>
          <w:szCs w:val="32"/>
        </w:rPr>
        <w:t>法定代表人：龚宇同</w:t>
      </w:r>
    </w:p>
    <w:p w14:paraId="4C2F1239">
      <w:pPr>
        <w:spacing w:line="360" w:lineRule="auto"/>
        <w:ind w:firstLine="0" w:firstLineChars="0"/>
        <w:jc w:val="center"/>
        <w:rPr>
          <w:rFonts w:asciiTheme="minorHAnsi" w:hAnsiTheme="minorHAnsi" w:cstheme="minorHAnsi"/>
          <w:b/>
          <w:sz w:val="32"/>
          <w:szCs w:val="32"/>
        </w:rPr>
      </w:pPr>
      <w:r>
        <w:rPr>
          <w:rFonts w:asciiTheme="minorHAnsi" w:hAnsiTheme="minorHAnsi" w:cstheme="minorHAnsi"/>
          <w:b/>
          <w:sz w:val="32"/>
          <w:szCs w:val="32"/>
        </w:rPr>
        <w:t>技术负责人：谢</w:t>
      </w:r>
      <w:r>
        <w:rPr>
          <w:rFonts w:hint="eastAsia" w:asciiTheme="minorHAnsi" w:hAnsiTheme="minorHAnsi" w:cstheme="minorHAnsi"/>
          <w:b/>
          <w:sz w:val="32"/>
          <w:szCs w:val="32"/>
        </w:rPr>
        <w:t xml:space="preserve"> </w:t>
      </w:r>
      <w:r>
        <w:rPr>
          <w:rFonts w:asciiTheme="minorHAnsi" w:hAnsiTheme="minorHAnsi" w:cstheme="minorHAnsi"/>
          <w:b/>
          <w:sz w:val="32"/>
          <w:szCs w:val="32"/>
        </w:rPr>
        <w:t xml:space="preserve">   源</w:t>
      </w:r>
    </w:p>
    <w:p w14:paraId="44DAE99A">
      <w:pPr>
        <w:spacing w:line="360" w:lineRule="auto"/>
        <w:ind w:firstLine="0" w:firstLineChars="0"/>
        <w:jc w:val="center"/>
        <w:rPr>
          <w:rFonts w:asciiTheme="minorHAnsi" w:hAnsiTheme="minorHAnsi" w:cstheme="minorHAnsi"/>
          <w:b/>
          <w:sz w:val="32"/>
          <w:szCs w:val="32"/>
        </w:rPr>
      </w:pPr>
      <w:r>
        <w:rPr>
          <w:rFonts w:asciiTheme="minorHAnsi" w:hAnsiTheme="minorHAnsi" w:cstheme="minorHAnsi"/>
          <w:b/>
          <w:sz w:val="32"/>
          <w:szCs w:val="32"/>
        </w:rPr>
        <w:t>项目负责人：全永志</w:t>
      </w:r>
    </w:p>
    <w:p w14:paraId="1D408B12">
      <w:pPr>
        <w:spacing w:before="190" w:beforeLines="50" w:after="190" w:afterLines="50"/>
        <w:ind w:left="-560" w:leftChars="-200" w:right="-560" w:rightChars="-200" w:firstLine="0" w:firstLineChars="0"/>
        <w:jc w:val="center"/>
        <w:rPr>
          <w:rFonts w:asciiTheme="minorHAnsi" w:hAnsiTheme="minorHAnsi" w:cstheme="minorHAnsi"/>
          <w:b/>
          <w:sz w:val="32"/>
          <w:szCs w:val="32"/>
        </w:rPr>
      </w:pPr>
    </w:p>
    <w:p w14:paraId="5023E803">
      <w:pPr>
        <w:spacing w:before="190" w:beforeLines="50" w:after="190" w:afterLines="50"/>
        <w:ind w:left="-560" w:leftChars="-200" w:right="-560" w:rightChars="-200" w:firstLine="0" w:firstLineChars="0"/>
        <w:jc w:val="center"/>
        <w:rPr>
          <w:rFonts w:asciiTheme="minorHAnsi" w:hAnsiTheme="minorHAnsi" w:cstheme="minorHAnsi"/>
          <w:b/>
          <w:sz w:val="32"/>
          <w:szCs w:val="32"/>
        </w:rPr>
      </w:pPr>
    </w:p>
    <w:p w14:paraId="0C8896F5">
      <w:pPr>
        <w:spacing w:before="190" w:beforeLines="50" w:after="190" w:afterLines="50"/>
        <w:ind w:right="-560" w:rightChars="-200" w:firstLine="0" w:firstLineChars="0"/>
        <w:rPr>
          <w:rFonts w:asciiTheme="minorHAnsi" w:hAnsiTheme="minorHAnsi" w:cstheme="minorHAnsi"/>
          <w:b/>
          <w:sz w:val="32"/>
          <w:szCs w:val="32"/>
        </w:rPr>
      </w:pPr>
    </w:p>
    <w:p w14:paraId="6F13DCA3">
      <w:pPr>
        <w:spacing w:before="190" w:beforeLines="50" w:after="190" w:afterLines="50"/>
        <w:ind w:left="-560" w:leftChars="-200" w:right="-560" w:rightChars="-200" w:firstLine="0" w:firstLineChars="0"/>
        <w:jc w:val="center"/>
        <w:rPr>
          <w:rFonts w:asciiTheme="minorHAnsi" w:hAnsiTheme="minorHAnsi" w:cstheme="minorHAnsi"/>
          <w:b/>
          <w:sz w:val="32"/>
          <w:szCs w:val="32"/>
        </w:rPr>
      </w:pPr>
      <w:r>
        <w:rPr>
          <w:rFonts w:asciiTheme="minorHAnsi" w:hAnsiTheme="minorHAnsi" w:cstheme="minorHAnsi"/>
          <w:b/>
          <w:sz w:val="32"/>
          <w:szCs w:val="32"/>
        </w:rPr>
        <w:t>2025年4月</w:t>
      </w:r>
    </w:p>
    <w:p w14:paraId="5E84A8C7">
      <w:pPr>
        <w:spacing w:before="190" w:beforeLines="50" w:after="190" w:afterLines="50"/>
        <w:ind w:left="-560" w:leftChars="-200" w:right="-560" w:rightChars="-200" w:firstLine="0" w:firstLineChars="0"/>
        <w:jc w:val="center"/>
        <w:rPr>
          <w:rFonts w:asciiTheme="minorHAnsi" w:hAnsiTheme="minorHAnsi" w:cstheme="minorHAnsi"/>
          <w:b/>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992" w:gutter="0"/>
          <w:cols w:space="425" w:num="1"/>
          <w:docGrid w:type="lines" w:linePitch="381" w:charSpace="0"/>
        </w:sectPr>
      </w:pPr>
      <w:r>
        <w:rPr>
          <w:rFonts w:asciiTheme="minorHAnsi" w:hAnsiTheme="minorHAnsi" w:cstheme="minorHAnsi"/>
          <w:b/>
          <w:sz w:val="32"/>
          <w:szCs w:val="32"/>
        </w:rPr>
        <w:t>（安全评价机构公章）</w:t>
      </w:r>
    </w:p>
    <w:p w14:paraId="67785DF7">
      <w:pPr>
        <w:spacing w:before="190" w:beforeLines="50" w:after="190" w:afterLines="50"/>
        <w:ind w:left="-560" w:leftChars="-200" w:right="-560" w:rightChars="-200" w:firstLine="0" w:firstLineChars="0"/>
        <w:jc w:val="center"/>
        <w:rPr>
          <w:rFonts w:asciiTheme="minorHAnsi" w:hAnsiTheme="minorHAnsi" w:cstheme="minorHAnsi"/>
          <w:b/>
          <w:sz w:val="32"/>
          <w:szCs w:val="32"/>
        </w:rPr>
      </w:pPr>
      <w:r>
        <w:rPr>
          <w:rFonts w:hint="eastAsia" w:asciiTheme="minorHAnsi" w:hAnsiTheme="minorHAnsi" w:cstheme="minorHAnsi"/>
          <w:b/>
          <w:sz w:val="32"/>
          <w:szCs w:val="32"/>
        </w:rPr>
        <w:t>山东彭集矿业有限公司彭集铁矿采矿工程安全预评价</w:t>
      </w:r>
    </w:p>
    <w:p w14:paraId="0FB9ABD1">
      <w:pPr>
        <w:spacing w:before="190" w:beforeLines="50" w:after="190" w:afterLines="50"/>
        <w:ind w:left="-560" w:leftChars="-200" w:right="-560" w:rightChars="-200" w:firstLine="0" w:firstLineChars="0"/>
        <w:jc w:val="center"/>
        <w:rPr>
          <w:rFonts w:asciiTheme="minorHAnsi" w:hAnsiTheme="minorHAnsi" w:cstheme="minorHAnsi"/>
          <w:b/>
          <w:sz w:val="32"/>
          <w:szCs w:val="32"/>
        </w:rPr>
      </w:pPr>
      <w:r>
        <w:rPr>
          <w:rFonts w:asciiTheme="minorHAnsi" w:hAnsiTheme="minorHAnsi" w:cstheme="minorHAnsi"/>
          <w:b/>
          <w:sz w:val="32"/>
          <w:szCs w:val="32"/>
        </w:rPr>
        <w:t>评价人员</w:t>
      </w:r>
    </w:p>
    <w:tbl>
      <w:tblPr>
        <w:tblStyle w:val="54"/>
        <w:tblW w:w="52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977"/>
        <w:gridCol w:w="2935"/>
        <w:gridCol w:w="1586"/>
        <w:gridCol w:w="1300"/>
        <w:gridCol w:w="1639"/>
      </w:tblGrid>
      <w:tr w14:paraId="7C8B4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14:paraId="610137A8">
            <w:pPr>
              <w:pStyle w:val="67"/>
              <w:spacing w:line="240" w:lineRule="auto"/>
              <w:ind w:left="-140" w:leftChars="-50" w:right="-140" w:rightChars="-50"/>
              <w:rPr>
                <w:rFonts w:cs="Times New Roman"/>
                <w:b/>
                <w:sz w:val="24"/>
                <w:szCs w:val="24"/>
              </w:rPr>
            </w:pPr>
          </w:p>
        </w:tc>
        <w:tc>
          <w:tcPr>
            <w:tcW w:w="502" w:type="pct"/>
            <w:tcBorders>
              <w:top w:val="single" w:color="auto" w:sz="4" w:space="0"/>
              <w:left w:val="single" w:color="auto" w:sz="4" w:space="0"/>
              <w:bottom w:val="single" w:color="auto" w:sz="4" w:space="0"/>
              <w:right w:val="single" w:color="auto" w:sz="4" w:space="0"/>
            </w:tcBorders>
            <w:vAlign w:val="center"/>
          </w:tcPr>
          <w:p w14:paraId="06C113DB">
            <w:pPr>
              <w:pStyle w:val="67"/>
              <w:spacing w:line="240" w:lineRule="auto"/>
              <w:ind w:left="-56" w:right="-56"/>
              <w:rPr>
                <w:rFonts w:cs="Times New Roman"/>
                <w:b/>
                <w:sz w:val="24"/>
                <w:szCs w:val="24"/>
              </w:rPr>
            </w:pPr>
            <w:r>
              <w:rPr>
                <w:rFonts w:cs="Times New Roman"/>
                <w:b/>
                <w:sz w:val="24"/>
                <w:szCs w:val="24"/>
              </w:rPr>
              <w:t>姓名</w:t>
            </w:r>
          </w:p>
        </w:tc>
        <w:tc>
          <w:tcPr>
            <w:tcW w:w="1508" w:type="pct"/>
            <w:tcBorders>
              <w:top w:val="single" w:color="auto" w:sz="4" w:space="0"/>
              <w:left w:val="single" w:color="auto" w:sz="4" w:space="0"/>
              <w:bottom w:val="single" w:color="auto" w:sz="4" w:space="0"/>
              <w:right w:val="single" w:color="auto" w:sz="4" w:space="0"/>
            </w:tcBorders>
            <w:vAlign w:val="center"/>
          </w:tcPr>
          <w:p w14:paraId="38237AA5">
            <w:pPr>
              <w:pStyle w:val="67"/>
              <w:spacing w:line="240" w:lineRule="auto"/>
              <w:ind w:left="-56" w:right="-56"/>
              <w:rPr>
                <w:rFonts w:cs="Times New Roman"/>
                <w:b/>
                <w:sz w:val="24"/>
                <w:szCs w:val="24"/>
              </w:rPr>
            </w:pPr>
            <w:r>
              <w:rPr>
                <w:rFonts w:cs="Times New Roman"/>
                <w:b/>
                <w:sz w:val="24"/>
                <w:szCs w:val="24"/>
              </w:rPr>
              <w:t>职业资格</w:t>
            </w:r>
          </w:p>
          <w:p w14:paraId="4424EDB9">
            <w:pPr>
              <w:pStyle w:val="67"/>
              <w:spacing w:line="240" w:lineRule="auto"/>
              <w:ind w:left="-56" w:right="-56"/>
              <w:rPr>
                <w:rFonts w:cs="Times New Roman"/>
                <w:b/>
                <w:sz w:val="24"/>
                <w:szCs w:val="24"/>
              </w:rPr>
            </w:pPr>
            <w:r>
              <w:rPr>
                <w:rFonts w:cs="Times New Roman"/>
                <w:b/>
                <w:sz w:val="24"/>
                <w:szCs w:val="24"/>
              </w:rPr>
              <w:t>证书编号</w:t>
            </w:r>
          </w:p>
        </w:tc>
        <w:tc>
          <w:tcPr>
            <w:tcW w:w="815" w:type="pct"/>
            <w:tcBorders>
              <w:top w:val="single" w:color="auto" w:sz="4" w:space="0"/>
              <w:left w:val="single" w:color="auto" w:sz="4" w:space="0"/>
              <w:bottom w:val="single" w:color="auto" w:sz="4" w:space="0"/>
              <w:right w:val="single" w:color="auto" w:sz="4" w:space="0"/>
            </w:tcBorders>
            <w:vAlign w:val="center"/>
          </w:tcPr>
          <w:p w14:paraId="57C0AD9E">
            <w:pPr>
              <w:pStyle w:val="67"/>
              <w:spacing w:line="240" w:lineRule="auto"/>
              <w:ind w:left="-56" w:right="-56"/>
              <w:rPr>
                <w:rFonts w:cs="Times New Roman"/>
                <w:b/>
                <w:sz w:val="24"/>
                <w:szCs w:val="24"/>
              </w:rPr>
            </w:pPr>
            <w:r>
              <w:rPr>
                <w:rFonts w:cs="Times New Roman"/>
                <w:b/>
                <w:sz w:val="24"/>
                <w:szCs w:val="24"/>
              </w:rPr>
              <w:t>从业信息</w:t>
            </w:r>
          </w:p>
          <w:p w14:paraId="15D17751">
            <w:pPr>
              <w:pStyle w:val="67"/>
              <w:spacing w:line="240" w:lineRule="auto"/>
              <w:ind w:left="-56" w:right="-56"/>
              <w:rPr>
                <w:rFonts w:cs="Times New Roman"/>
                <w:b/>
                <w:sz w:val="24"/>
                <w:szCs w:val="24"/>
              </w:rPr>
            </w:pPr>
            <w:r>
              <w:rPr>
                <w:rFonts w:cs="Times New Roman"/>
                <w:b/>
                <w:sz w:val="24"/>
                <w:szCs w:val="24"/>
              </w:rPr>
              <w:t>识别卡编号</w:t>
            </w:r>
          </w:p>
        </w:tc>
        <w:tc>
          <w:tcPr>
            <w:tcW w:w="668" w:type="pct"/>
            <w:tcBorders>
              <w:top w:val="single" w:color="auto" w:sz="4" w:space="0"/>
              <w:left w:val="single" w:color="auto" w:sz="4" w:space="0"/>
              <w:bottom w:val="single" w:color="auto" w:sz="4" w:space="0"/>
              <w:right w:val="single" w:color="auto" w:sz="4" w:space="0"/>
            </w:tcBorders>
            <w:vAlign w:val="center"/>
          </w:tcPr>
          <w:p w14:paraId="1FDB2E00">
            <w:pPr>
              <w:pStyle w:val="67"/>
              <w:spacing w:line="240" w:lineRule="auto"/>
              <w:ind w:left="-56" w:right="-56"/>
              <w:rPr>
                <w:rFonts w:cs="Times New Roman"/>
                <w:b/>
                <w:sz w:val="24"/>
                <w:szCs w:val="24"/>
              </w:rPr>
            </w:pPr>
            <w:r>
              <w:rPr>
                <w:rFonts w:cs="Times New Roman"/>
                <w:b/>
                <w:sz w:val="24"/>
                <w:szCs w:val="24"/>
              </w:rPr>
              <w:t>专业</w:t>
            </w:r>
          </w:p>
        </w:tc>
        <w:tc>
          <w:tcPr>
            <w:tcW w:w="842" w:type="pct"/>
            <w:tcBorders>
              <w:top w:val="single" w:color="auto" w:sz="4" w:space="0"/>
              <w:left w:val="single" w:color="auto" w:sz="4" w:space="0"/>
              <w:bottom w:val="single" w:color="auto" w:sz="4" w:space="0"/>
              <w:right w:val="single" w:color="auto" w:sz="4" w:space="0"/>
            </w:tcBorders>
            <w:vAlign w:val="center"/>
          </w:tcPr>
          <w:p w14:paraId="36808C18">
            <w:pPr>
              <w:pStyle w:val="67"/>
              <w:spacing w:line="240" w:lineRule="auto"/>
              <w:ind w:left="-56" w:right="-56"/>
              <w:rPr>
                <w:rFonts w:cs="Times New Roman"/>
                <w:b/>
                <w:sz w:val="24"/>
                <w:szCs w:val="24"/>
              </w:rPr>
            </w:pPr>
            <w:r>
              <w:rPr>
                <w:rFonts w:cs="Times New Roman"/>
                <w:b/>
                <w:sz w:val="24"/>
                <w:szCs w:val="24"/>
              </w:rPr>
              <w:t>签字</w:t>
            </w:r>
          </w:p>
        </w:tc>
      </w:tr>
      <w:tr w14:paraId="3F430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14:paraId="059F8927">
            <w:pPr>
              <w:spacing w:line="240" w:lineRule="auto"/>
              <w:ind w:left="-140" w:leftChars="-50" w:right="-140" w:rightChars="-50" w:firstLine="0" w:firstLineChars="0"/>
              <w:jc w:val="center"/>
              <w:rPr>
                <w:rFonts w:cs="Times New Roman"/>
                <w:sz w:val="24"/>
                <w:szCs w:val="24"/>
              </w:rPr>
            </w:pPr>
            <w:r>
              <w:rPr>
                <w:rFonts w:cs="Times New Roman"/>
                <w:sz w:val="24"/>
                <w:szCs w:val="24"/>
              </w:rPr>
              <w:t>项目负责人</w:t>
            </w:r>
          </w:p>
        </w:tc>
        <w:tc>
          <w:tcPr>
            <w:tcW w:w="502" w:type="pct"/>
            <w:tcBorders>
              <w:top w:val="single" w:color="auto" w:sz="4" w:space="0"/>
              <w:left w:val="single" w:color="auto" w:sz="4" w:space="0"/>
              <w:bottom w:val="single" w:color="auto" w:sz="4" w:space="0"/>
              <w:right w:val="single" w:color="auto" w:sz="4" w:space="0"/>
            </w:tcBorders>
            <w:vAlign w:val="center"/>
          </w:tcPr>
          <w:p w14:paraId="545D58BC">
            <w:pPr>
              <w:spacing w:line="240" w:lineRule="auto"/>
              <w:ind w:firstLine="0" w:firstLineChars="0"/>
              <w:jc w:val="center"/>
              <w:rPr>
                <w:rFonts w:cs="Times New Roman"/>
                <w:sz w:val="24"/>
                <w:szCs w:val="24"/>
              </w:rPr>
            </w:pPr>
            <w:r>
              <w:rPr>
                <w:rFonts w:cs="Times New Roman"/>
                <w:sz w:val="24"/>
                <w:szCs w:val="24"/>
              </w:rPr>
              <w:t>全永志</w:t>
            </w:r>
          </w:p>
        </w:tc>
        <w:tc>
          <w:tcPr>
            <w:tcW w:w="1508" w:type="pct"/>
            <w:tcBorders>
              <w:top w:val="single" w:color="auto" w:sz="4" w:space="0"/>
              <w:left w:val="single" w:color="auto" w:sz="4" w:space="0"/>
              <w:bottom w:val="single" w:color="auto" w:sz="4" w:space="0"/>
              <w:right w:val="single" w:color="auto" w:sz="4" w:space="0"/>
            </w:tcBorders>
            <w:vAlign w:val="center"/>
          </w:tcPr>
          <w:p w14:paraId="1C220DA6">
            <w:pPr>
              <w:pStyle w:val="67"/>
              <w:spacing w:line="240" w:lineRule="auto"/>
              <w:ind w:left="-56" w:right="-56"/>
              <w:rPr>
                <w:rFonts w:cs="Times New Roman"/>
                <w:sz w:val="24"/>
                <w:szCs w:val="24"/>
              </w:rPr>
            </w:pPr>
            <w:r>
              <w:rPr>
                <w:rFonts w:cs="Times New Roman"/>
                <w:sz w:val="24"/>
                <w:szCs w:val="24"/>
              </w:rPr>
              <w:t>0800000000202661</w:t>
            </w:r>
          </w:p>
        </w:tc>
        <w:tc>
          <w:tcPr>
            <w:tcW w:w="815" w:type="pct"/>
            <w:tcBorders>
              <w:top w:val="single" w:color="auto" w:sz="4" w:space="0"/>
              <w:left w:val="single" w:color="auto" w:sz="4" w:space="0"/>
              <w:bottom w:val="single" w:color="auto" w:sz="4" w:space="0"/>
              <w:right w:val="single" w:color="auto" w:sz="4" w:space="0"/>
            </w:tcBorders>
            <w:vAlign w:val="center"/>
          </w:tcPr>
          <w:p w14:paraId="61725B9D">
            <w:pPr>
              <w:spacing w:line="240" w:lineRule="auto"/>
              <w:ind w:firstLine="0" w:firstLineChars="0"/>
              <w:jc w:val="center"/>
              <w:rPr>
                <w:rFonts w:cs="Times New Roman"/>
                <w:sz w:val="24"/>
                <w:szCs w:val="24"/>
              </w:rPr>
            </w:pPr>
            <w:r>
              <w:rPr>
                <w:rFonts w:cs="Times New Roman"/>
                <w:sz w:val="24"/>
                <w:szCs w:val="24"/>
              </w:rPr>
              <w:t>006581</w:t>
            </w:r>
          </w:p>
        </w:tc>
        <w:tc>
          <w:tcPr>
            <w:tcW w:w="668" w:type="pct"/>
            <w:tcBorders>
              <w:top w:val="single" w:color="auto" w:sz="4" w:space="0"/>
              <w:left w:val="single" w:color="auto" w:sz="4" w:space="0"/>
              <w:bottom w:val="single" w:color="auto" w:sz="4" w:space="0"/>
              <w:right w:val="single" w:color="auto" w:sz="4" w:space="0"/>
            </w:tcBorders>
            <w:vAlign w:val="center"/>
          </w:tcPr>
          <w:p w14:paraId="7B318CB8">
            <w:pPr>
              <w:pStyle w:val="67"/>
              <w:spacing w:line="240" w:lineRule="auto"/>
              <w:ind w:left="-56" w:right="-56"/>
              <w:rPr>
                <w:rFonts w:cs="Times New Roman"/>
                <w:sz w:val="24"/>
                <w:szCs w:val="24"/>
              </w:rPr>
            </w:pPr>
            <w:r>
              <w:rPr>
                <w:rFonts w:cs="Times New Roman"/>
                <w:sz w:val="24"/>
                <w:szCs w:val="24"/>
              </w:rPr>
              <w:t>机械</w:t>
            </w:r>
          </w:p>
        </w:tc>
        <w:tc>
          <w:tcPr>
            <w:tcW w:w="842" w:type="pct"/>
            <w:tcBorders>
              <w:top w:val="single" w:color="auto" w:sz="4" w:space="0"/>
              <w:left w:val="single" w:color="auto" w:sz="4" w:space="0"/>
              <w:bottom w:val="single" w:color="auto" w:sz="4" w:space="0"/>
              <w:right w:val="single" w:color="auto" w:sz="4" w:space="0"/>
            </w:tcBorders>
            <w:vAlign w:val="center"/>
          </w:tcPr>
          <w:p w14:paraId="36F06442">
            <w:pPr>
              <w:spacing w:line="240" w:lineRule="auto"/>
              <w:ind w:firstLine="0" w:firstLineChars="0"/>
              <w:jc w:val="center"/>
              <w:rPr>
                <w:rFonts w:cs="Times New Roman"/>
                <w:sz w:val="24"/>
                <w:szCs w:val="24"/>
              </w:rPr>
            </w:pPr>
          </w:p>
        </w:tc>
      </w:tr>
      <w:tr w14:paraId="7EED2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restart"/>
            <w:tcBorders>
              <w:top w:val="single" w:color="auto" w:sz="4" w:space="0"/>
              <w:left w:val="single" w:color="auto" w:sz="4" w:space="0"/>
              <w:right w:val="single" w:color="auto" w:sz="4" w:space="0"/>
            </w:tcBorders>
            <w:vAlign w:val="center"/>
          </w:tcPr>
          <w:p w14:paraId="08F2E8EA">
            <w:pPr>
              <w:spacing w:line="240" w:lineRule="auto"/>
              <w:ind w:left="-140" w:leftChars="-50" w:right="-140" w:rightChars="-50" w:firstLine="0" w:firstLineChars="0"/>
              <w:jc w:val="center"/>
              <w:rPr>
                <w:rFonts w:cs="Times New Roman"/>
                <w:sz w:val="24"/>
                <w:szCs w:val="24"/>
              </w:rPr>
            </w:pPr>
            <w:r>
              <w:rPr>
                <w:rFonts w:cs="Times New Roman"/>
                <w:sz w:val="24"/>
                <w:szCs w:val="24"/>
              </w:rPr>
              <w:t>项目组成员</w:t>
            </w:r>
          </w:p>
        </w:tc>
        <w:tc>
          <w:tcPr>
            <w:tcW w:w="502" w:type="pct"/>
            <w:tcBorders>
              <w:top w:val="single" w:color="auto" w:sz="4" w:space="0"/>
              <w:left w:val="single" w:color="auto" w:sz="4" w:space="0"/>
              <w:bottom w:val="single" w:color="auto" w:sz="4" w:space="0"/>
              <w:right w:val="single" w:color="auto" w:sz="4" w:space="0"/>
            </w:tcBorders>
            <w:vAlign w:val="center"/>
          </w:tcPr>
          <w:p w14:paraId="69DE1386">
            <w:pPr>
              <w:spacing w:line="240" w:lineRule="auto"/>
              <w:ind w:firstLine="0" w:firstLineChars="0"/>
              <w:jc w:val="center"/>
              <w:rPr>
                <w:rFonts w:cs="Times New Roman"/>
                <w:sz w:val="24"/>
                <w:szCs w:val="24"/>
              </w:rPr>
            </w:pPr>
            <w:r>
              <w:rPr>
                <w:rFonts w:cs="Times New Roman"/>
                <w:sz w:val="24"/>
                <w:szCs w:val="24"/>
              </w:rPr>
              <w:t>吴永刚</w:t>
            </w:r>
          </w:p>
        </w:tc>
        <w:tc>
          <w:tcPr>
            <w:tcW w:w="1508" w:type="pct"/>
            <w:tcBorders>
              <w:top w:val="single" w:color="auto" w:sz="4" w:space="0"/>
              <w:left w:val="single" w:color="auto" w:sz="4" w:space="0"/>
              <w:bottom w:val="single" w:color="auto" w:sz="4" w:space="0"/>
              <w:right w:val="single" w:color="auto" w:sz="4" w:space="0"/>
            </w:tcBorders>
            <w:vAlign w:val="center"/>
          </w:tcPr>
          <w:p w14:paraId="079FF691">
            <w:pPr>
              <w:pStyle w:val="67"/>
              <w:spacing w:line="240" w:lineRule="auto"/>
              <w:ind w:left="-56" w:right="-56"/>
              <w:rPr>
                <w:rFonts w:cs="Times New Roman"/>
                <w:sz w:val="24"/>
                <w:szCs w:val="24"/>
              </w:rPr>
            </w:pPr>
            <w:r>
              <w:rPr>
                <w:rFonts w:cs="Times New Roman"/>
                <w:sz w:val="24"/>
                <w:szCs w:val="24"/>
              </w:rPr>
              <w:t>1500000000300015</w:t>
            </w:r>
          </w:p>
        </w:tc>
        <w:tc>
          <w:tcPr>
            <w:tcW w:w="815" w:type="pct"/>
            <w:tcBorders>
              <w:top w:val="single" w:color="auto" w:sz="4" w:space="0"/>
              <w:left w:val="single" w:color="auto" w:sz="4" w:space="0"/>
              <w:bottom w:val="single" w:color="auto" w:sz="4" w:space="0"/>
              <w:right w:val="single" w:color="auto" w:sz="4" w:space="0"/>
            </w:tcBorders>
            <w:vAlign w:val="center"/>
          </w:tcPr>
          <w:p w14:paraId="1EC2C7F5">
            <w:pPr>
              <w:spacing w:line="240" w:lineRule="auto"/>
              <w:ind w:firstLine="0" w:firstLineChars="0"/>
              <w:jc w:val="center"/>
              <w:rPr>
                <w:rFonts w:cs="Times New Roman"/>
                <w:sz w:val="24"/>
                <w:szCs w:val="24"/>
              </w:rPr>
            </w:pPr>
            <w:r>
              <w:rPr>
                <w:rFonts w:cs="Times New Roman"/>
                <w:sz w:val="24"/>
                <w:szCs w:val="24"/>
              </w:rPr>
              <w:t>027297</w:t>
            </w:r>
          </w:p>
        </w:tc>
        <w:tc>
          <w:tcPr>
            <w:tcW w:w="668" w:type="pct"/>
            <w:tcBorders>
              <w:top w:val="single" w:color="auto" w:sz="4" w:space="0"/>
              <w:left w:val="single" w:color="auto" w:sz="4" w:space="0"/>
              <w:bottom w:val="single" w:color="auto" w:sz="4" w:space="0"/>
              <w:right w:val="single" w:color="auto" w:sz="4" w:space="0"/>
            </w:tcBorders>
            <w:vAlign w:val="center"/>
          </w:tcPr>
          <w:p w14:paraId="317DCD15">
            <w:pPr>
              <w:pStyle w:val="67"/>
              <w:spacing w:line="240" w:lineRule="auto"/>
              <w:ind w:left="-56" w:right="-56"/>
              <w:rPr>
                <w:rFonts w:cs="Times New Roman"/>
                <w:sz w:val="24"/>
                <w:szCs w:val="24"/>
              </w:rPr>
            </w:pPr>
            <w:r>
              <w:rPr>
                <w:rFonts w:cs="Times New Roman"/>
                <w:sz w:val="24"/>
                <w:szCs w:val="24"/>
              </w:rPr>
              <w:t>采矿</w:t>
            </w:r>
          </w:p>
        </w:tc>
        <w:tc>
          <w:tcPr>
            <w:tcW w:w="842" w:type="pct"/>
            <w:tcBorders>
              <w:top w:val="single" w:color="auto" w:sz="4" w:space="0"/>
              <w:left w:val="single" w:color="auto" w:sz="4" w:space="0"/>
              <w:bottom w:val="single" w:color="auto" w:sz="4" w:space="0"/>
              <w:right w:val="single" w:color="auto" w:sz="4" w:space="0"/>
            </w:tcBorders>
            <w:vAlign w:val="center"/>
          </w:tcPr>
          <w:p w14:paraId="4231789E">
            <w:pPr>
              <w:spacing w:line="240" w:lineRule="auto"/>
              <w:ind w:firstLine="0" w:firstLineChars="0"/>
              <w:jc w:val="center"/>
              <w:rPr>
                <w:rFonts w:cs="Times New Roman"/>
                <w:sz w:val="24"/>
                <w:szCs w:val="24"/>
              </w:rPr>
            </w:pPr>
          </w:p>
        </w:tc>
      </w:tr>
      <w:tr w14:paraId="2FA4D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4" w:hRule="atLeast"/>
          <w:jc w:val="center"/>
        </w:trPr>
        <w:tc>
          <w:tcPr>
            <w:tcW w:w="665" w:type="pct"/>
            <w:vMerge w:val="continue"/>
            <w:tcBorders>
              <w:left w:val="single" w:color="auto" w:sz="4" w:space="0"/>
              <w:right w:val="single" w:color="auto" w:sz="4" w:space="0"/>
            </w:tcBorders>
            <w:vAlign w:val="center"/>
          </w:tcPr>
          <w:p w14:paraId="6AB18EDF">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bottom w:val="single" w:color="auto" w:sz="4" w:space="0"/>
              <w:right w:val="single" w:color="auto" w:sz="4" w:space="0"/>
            </w:tcBorders>
            <w:vAlign w:val="center"/>
          </w:tcPr>
          <w:p w14:paraId="38C2F66D">
            <w:pPr>
              <w:spacing w:line="240" w:lineRule="auto"/>
              <w:ind w:firstLine="0" w:firstLineChars="0"/>
              <w:jc w:val="center"/>
              <w:rPr>
                <w:rFonts w:cs="Times New Roman"/>
                <w:sz w:val="24"/>
                <w:szCs w:val="24"/>
              </w:rPr>
            </w:pPr>
            <w:r>
              <w:rPr>
                <w:rFonts w:cs="Times New Roman"/>
                <w:sz w:val="24"/>
                <w:szCs w:val="24"/>
              </w:rPr>
              <w:t>孙胜利</w:t>
            </w:r>
          </w:p>
        </w:tc>
        <w:tc>
          <w:tcPr>
            <w:tcW w:w="1508" w:type="pct"/>
            <w:tcBorders>
              <w:top w:val="single" w:color="auto" w:sz="4" w:space="0"/>
              <w:left w:val="single" w:color="auto" w:sz="4" w:space="0"/>
              <w:bottom w:val="single" w:color="auto" w:sz="4" w:space="0"/>
              <w:right w:val="single" w:color="auto" w:sz="4" w:space="0"/>
            </w:tcBorders>
            <w:vAlign w:val="center"/>
          </w:tcPr>
          <w:p w14:paraId="2A747F47">
            <w:pPr>
              <w:pStyle w:val="67"/>
              <w:spacing w:line="240" w:lineRule="auto"/>
              <w:ind w:left="-56" w:right="-56"/>
              <w:rPr>
                <w:rFonts w:cs="Times New Roman"/>
                <w:sz w:val="24"/>
                <w:szCs w:val="24"/>
              </w:rPr>
            </w:pPr>
            <w:r>
              <w:rPr>
                <w:rFonts w:cs="Times New Roman"/>
                <w:sz w:val="24"/>
                <w:szCs w:val="24"/>
              </w:rPr>
              <w:t>1700000000100026</w:t>
            </w:r>
          </w:p>
        </w:tc>
        <w:tc>
          <w:tcPr>
            <w:tcW w:w="815" w:type="pct"/>
            <w:tcBorders>
              <w:top w:val="single" w:color="auto" w:sz="4" w:space="0"/>
              <w:left w:val="single" w:color="auto" w:sz="4" w:space="0"/>
              <w:bottom w:val="single" w:color="auto" w:sz="4" w:space="0"/>
              <w:right w:val="single" w:color="auto" w:sz="4" w:space="0"/>
            </w:tcBorders>
            <w:vAlign w:val="center"/>
          </w:tcPr>
          <w:p w14:paraId="52438BCD">
            <w:pPr>
              <w:spacing w:line="240" w:lineRule="auto"/>
              <w:ind w:firstLine="0" w:firstLineChars="0"/>
              <w:jc w:val="center"/>
              <w:rPr>
                <w:rFonts w:cs="Times New Roman"/>
                <w:sz w:val="24"/>
                <w:szCs w:val="24"/>
              </w:rPr>
            </w:pPr>
            <w:r>
              <w:rPr>
                <w:rFonts w:cs="Times New Roman"/>
                <w:sz w:val="24"/>
                <w:szCs w:val="24"/>
              </w:rPr>
              <w:t>013500</w:t>
            </w:r>
          </w:p>
        </w:tc>
        <w:tc>
          <w:tcPr>
            <w:tcW w:w="668" w:type="pct"/>
            <w:tcBorders>
              <w:top w:val="single" w:color="auto" w:sz="4" w:space="0"/>
              <w:left w:val="single" w:color="auto" w:sz="4" w:space="0"/>
              <w:bottom w:val="single" w:color="auto" w:sz="4" w:space="0"/>
              <w:right w:val="single" w:color="auto" w:sz="4" w:space="0"/>
            </w:tcBorders>
            <w:vAlign w:val="center"/>
          </w:tcPr>
          <w:p w14:paraId="04571C7B">
            <w:pPr>
              <w:pStyle w:val="67"/>
              <w:spacing w:line="240" w:lineRule="auto"/>
              <w:ind w:left="-56" w:right="-56"/>
              <w:rPr>
                <w:rFonts w:cs="Times New Roman"/>
                <w:sz w:val="24"/>
                <w:szCs w:val="24"/>
              </w:rPr>
            </w:pPr>
            <w:r>
              <w:rPr>
                <w:rFonts w:cs="Times New Roman"/>
                <w:sz w:val="24"/>
                <w:szCs w:val="24"/>
              </w:rPr>
              <w:t>电气</w:t>
            </w:r>
          </w:p>
        </w:tc>
        <w:tc>
          <w:tcPr>
            <w:tcW w:w="842" w:type="pct"/>
            <w:tcBorders>
              <w:top w:val="single" w:color="auto" w:sz="4" w:space="0"/>
              <w:left w:val="single" w:color="auto" w:sz="4" w:space="0"/>
              <w:bottom w:val="single" w:color="auto" w:sz="4" w:space="0"/>
              <w:right w:val="single" w:color="auto" w:sz="4" w:space="0"/>
            </w:tcBorders>
            <w:vAlign w:val="center"/>
          </w:tcPr>
          <w:p w14:paraId="1CEC4878">
            <w:pPr>
              <w:spacing w:line="240" w:lineRule="auto"/>
              <w:ind w:firstLine="0" w:firstLineChars="0"/>
              <w:jc w:val="center"/>
              <w:rPr>
                <w:rFonts w:cs="Times New Roman"/>
                <w:sz w:val="24"/>
                <w:szCs w:val="24"/>
              </w:rPr>
            </w:pPr>
          </w:p>
        </w:tc>
      </w:tr>
      <w:tr w14:paraId="68474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continue"/>
            <w:tcBorders>
              <w:left w:val="single" w:color="auto" w:sz="4" w:space="0"/>
              <w:right w:val="single" w:color="auto" w:sz="4" w:space="0"/>
            </w:tcBorders>
            <w:vAlign w:val="center"/>
          </w:tcPr>
          <w:p w14:paraId="61C1C060">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right w:val="single" w:color="auto" w:sz="4" w:space="0"/>
            </w:tcBorders>
            <w:vAlign w:val="center"/>
          </w:tcPr>
          <w:p w14:paraId="60FDFAFD">
            <w:pPr>
              <w:spacing w:line="240" w:lineRule="auto"/>
              <w:ind w:firstLine="0" w:firstLineChars="0"/>
              <w:jc w:val="center"/>
              <w:rPr>
                <w:rFonts w:cs="Times New Roman"/>
                <w:sz w:val="24"/>
                <w:szCs w:val="24"/>
              </w:rPr>
            </w:pPr>
            <w:r>
              <w:rPr>
                <w:rFonts w:hint="eastAsia" w:cs="Times New Roman"/>
                <w:sz w:val="24"/>
                <w:szCs w:val="24"/>
              </w:rPr>
              <w:t>王明燕</w:t>
            </w:r>
          </w:p>
        </w:tc>
        <w:tc>
          <w:tcPr>
            <w:tcW w:w="1508" w:type="pct"/>
            <w:tcBorders>
              <w:top w:val="single" w:color="auto" w:sz="4" w:space="0"/>
              <w:left w:val="single" w:color="auto" w:sz="4" w:space="0"/>
              <w:right w:val="single" w:color="auto" w:sz="4" w:space="0"/>
            </w:tcBorders>
            <w:vAlign w:val="center"/>
          </w:tcPr>
          <w:p w14:paraId="0A92AD21">
            <w:pPr>
              <w:pStyle w:val="67"/>
              <w:spacing w:line="240" w:lineRule="auto"/>
              <w:ind w:left="-56" w:right="-56"/>
              <w:rPr>
                <w:rFonts w:cs="Times New Roman"/>
                <w:sz w:val="24"/>
                <w:szCs w:val="24"/>
              </w:rPr>
            </w:pPr>
            <w:r>
              <w:rPr>
                <w:rFonts w:hint="eastAsia" w:cs="Times New Roman"/>
                <w:sz w:val="24"/>
                <w:szCs w:val="24"/>
              </w:rPr>
              <w:t>1100000000300670</w:t>
            </w:r>
          </w:p>
        </w:tc>
        <w:tc>
          <w:tcPr>
            <w:tcW w:w="815" w:type="pct"/>
            <w:tcBorders>
              <w:top w:val="single" w:color="auto" w:sz="4" w:space="0"/>
              <w:left w:val="single" w:color="auto" w:sz="4" w:space="0"/>
              <w:right w:val="single" w:color="auto" w:sz="4" w:space="0"/>
            </w:tcBorders>
            <w:vAlign w:val="center"/>
          </w:tcPr>
          <w:p w14:paraId="38089013">
            <w:pPr>
              <w:spacing w:line="240" w:lineRule="auto"/>
              <w:ind w:firstLine="0" w:firstLineChars="0"/>
              <w:jc w:val="center"/>
              <w:rPr>
                <w:rFonts w:cs="Times New Roman"/>
                <w:sz w:val="24"/>
                <w:szCs w:val="24"/>
              </w:rPr>
            </w:pPr>
            <w:r>
              <w:rPr>
                <w:rFonts w:hint="eastAsia" w:cs="Times New Roman"/>
                <w:sz w:val="24"/>
                <w:szCs w:val="24"/>
              </w:rPr>
              <w:t>019338</w:t>
            </w:r>
          </w:p>
        </w:tc>
        <w:tc>
          <w:tcPr>
            <w:tcW w:w="668" w:type="pct"/>
            <w:tcBorders>
              <w:top w:val="single" w:color="auto" w:sz="4" w:space="0"/>
              <w:left w:val="single" w:color="auto" w:sz="4" w:space="0"/>
              <w:right w:val="single" w:color="auto" w:sz="4" w:space="0"/>
            </w:tcBorders>
            <w:vAlign w:val="center"/>
          </w:tcPr>
          <w:p w14:paraId="3B8BEE83">
            <w:pPr>
              <w:pStyle w:val="67"/>
              <w:spacing w:line="240" w:lineRule="auto"/>
              <w:ind w:left="-56" w:right="-56"/>
              <w:rPr>
                <w:rFonts w:cs="Times New Roman"/>
                <w:sz w:val="24"/>
                <w:szCs w:val="24"/>
              </w:rPr>
            </w:pPr>
            <w:r>
              <w:rPr>
                <w:rFonts w:cs="Times New Roman"/>
                <w:sz w:val="24"/>
                <w:szCs w:val="24"/>
              </w:rPr>
              <w:t>地质</w:t>
            </w:r>
          </w:p>
        </w:tc>
        <w:tc>
          <w:tcPr>
            <w:tcW w:w="842" w:type="pct"/>
            <w:tcBorders>
              <w:top w:val="single" w:color="auto" w:sz="4" w:space="0"/>
              <w:left w:val="single" w:color="auto" w:sz="4" w:space="0"/>
              <w:right w:val="single" w:color="auto" w:sz="4" w:space="0"/>
            </w:tcBorders>
            <w:vAlign w:val="center"/>
          </w:tcPr>
          <w:p w14:paraId="0249E79E">
            <w:pPr>
              <w:spacing w:line="240" w:lineRule="auto"/>
              <w:ind w:firstLine="0" w:firstLineChars="0"/>
              <w:jc w:val="center"/>
              <w:rPr>
                <w:rFonts w:cs="Times New Roman"/>
                <w:sz w:val="24"/>
                <w:szCs w:val="24"/>
              </w:rPr>
            </w:pPr>
          </w:p>
        </w:tc>
      </w:tr>
      <w:tr w14:paraId="5E972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continue"/>
            <w:tcBorders>
              <w:left w:val="single" w:color="auto" w:sz="4" w:space="0"/>
              <w:right w:val="single" w:color="auto" w:sz="4" w:space="0"/>
            </w:tcBorders>
            <w:vAlign w:val="center"/>
          </w:tcPr>
          <w:p w14:paraId="122B2292">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right w:val="single" w:color="auto" w:sz="4" w:space="0"/>
            </w:tcBorders>
            <w:vAlign w:val="center"/>
          </w:tcPr>
          <w:p w14:paraId="1BD9EF31">
            <w:pPr>
              <w:spacing w:line="240" w:lineRule="auto"/>
              <w:ind w:firstLine="0" w:firstLineChars="0"/>
              <w:jc w:val="center"/>
              <w:rPr>
                <w:rFonts w:cs="Times New Roman"/>
                <w:sz w:val="24"/>
                <w:szCs w:val="24"/>
              </w:rPr>
            </w:pPr>
            <w:r>
              <w:rPr>
                <w:rFonts w:cs="Times New Roman"/>
                <w:sz w:val="24"/>
                <w:szCs w:val="24"/>
              </w:rPr>
              <w:t>崔</w:t>
            </w:r>
            <w:r>
              <w:rPr>
                <w:rFonts w:hint="eastAsia" w:cs="Times New Roman"/>
                <w:sz w:val="24"/>
                <w:szCs w:val="24"/>
              </w:rPr>
              <w:t xml:space="preserve"> </w:t>
            </w:r>
            <w:r>
              <w:rPr>
                <w:rFonts w:cs="Times New Roman"/>
                <w:sz w:val="24"/>
                <w:szCs w:val="24"/>
              </w:rPr>
              <w:t xml:space="preserve">   旋</w:t>
            </w:r>
          </w:p>
        </w:tc>
        <w:tc>
          <w:tcPr>
            <w:tcW w:w="1508" w:type="pct"/>
            <w:tcBorders>
              <w:left w:val="single" w:color="auto" w:sz="4" w:space="0"/>
              <w:right w:val="single" w:color="auto" w:sz="4" w:space="0"/>
            </w:tcBorders>
            <w:vAlign w:val="center"/>
          </w:tcPr>
          <w:p w14:paraId="12B9EE77">
            <w:pPr>
              <w:pStyle w:val="67"/>
              <w:spacing w:line="240" w:lineRule="auto"/>
              <w:ind w:left="-56" w:right="-56"/>
              <w:rPr>
                <w:rFonts w:cs="Times New Roman"/>
                <w:sz w:val="24"/>
                <w:szCs w:val="24"/>
              </w:rPr>
            </w:pPr>
            <w:r>
              <w:rPr>
                <w:rFonts w:cs="Times New Roman"/>
                <w:sz w:val="24"/>
                <w:szCs w:val="24"/>
              </w:rPr>
              <w:t>1200000000300736</w:t>
            </w:r>
          </w:p>
        </w:tc>
        <w:tc>
          <w:tcPr>
            <w:tcW w:w="815" w:type="pct"/>
            <w:tcBorders>
              <w:left w:val="single" w:color="auto" w:sz="4" w:space="0"/>
              <w:right w:val="single" w:color="auto" w:sz="4" w:space="0"/>
            </w:tcBorders>
            <w:vAlign w:val="center"/>
          </w:tcPr>
          <w:p w14:paraId="01FDFF89">
            <w:pPr>
              <w:spacing w:line="240" w:lineRule="auto"/>
              <w:ind w:firstLine="0" w:firstLineChars="0"/>
              <w:jc w:val="center"/>
              <w:rPr>
                <w:rFonts w:cs="Times New Roman"/>
                <w:sz w:val="24"/>
                <w:szCs w:val="24"/>
              </w:rPr>
            </w:pPr>
            <w:r>
              <w:rPr>
                <w:rFonts w:cs="Times New Roman"/>
                <w:sz w:val="24"/>
                <w:szCs w:val="24"/>
              </w:rPr>
              <w:t>023439</w:t>
            </w:r>
          </w:p>
        </w:tc>
        <w:tc>
          <w:tcPr>
            <w:tcW w:w="668" w:type="pct"/>
            <w:tcBorders>
              <w:left w:val="single" w:color="auto" w:sz="4" w:space="0"/>
              <w:right w:val="single" w:color="auto" w:sz="4" w:space="0"/>
            </w:tcBorders>
            <w:vAlign w:val="center"/>
          </w:tcPr>
          <w:p w14:paraId="0840D602">
            <w:pPr>
              <w:pStyle w:val="67"/>
              <w:spacing w:line="240" w:lineRule="auto"/>
              <w:ind w:left="-56" w:right="-56"/>
              <w:rPr>
                <w:rFonts w:cs="Times New Roman"/>
                <w:sz w:val="24"/>
                <w:szCs w:val="24"/>
              </w:rPr>
            </w:pPr>
            <w:r>
              <w:rPr>
                <w:rFonts w:cs="Times New Roman"/>
                <w:sz w:val="24"/>
                <w:szCs w:val="24"/>
              </w:rPr>
              <w:t>水工结构</w:t>
            </w:r>
          </w:p>
        </w:tc>
        <w:tc>
          <w:tcPr>
            <w:tcW w:w="842" w:type="pct"/>
            <w:tcBorders>
              <w:left w:val="single" w:color="auto" w:sz="4" w:space="0"/>
              <w:right w:val="single" w:color="auto" w:sz="4" w:space="0"/>
            </w:tcBorders>
            <w:vAlign w:val="center"/>
          </w:tcPr>
          <w:p w14:paraId="3A5EB6CA">
            <w:pPr>
              <w:spacing w:line="240" w:lineRule="auto"/>
              <w:ind w:firstLine="0" w:firstLineChars="0"/>
              <w:jc w:val="center"/>
              <w:rPr>
                <w:rFonts w:cs="Times New Roman"/>
                <w:sz w:val="24"/>
                <w:szCs w:val="24"/>
              </w:rPr>
            </w:pPr>
          </w:p>
        </w:tc>
      </w:tr>
      <w:tr w14:paraId="30860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4" w:hRule="atLeast"/>
          <w:jc w:val="center"/>
        </w:trPr>
        <w:tc>
          <w:tcPr>
            <w:tcW w:w="665" w:type="pct"/>
            <w:vMerge w:val="continue"/>
            <w:tcBorders>
              <w:left w:val="single" w:color="auto" w:sz="4" w:space="0"/>
              <w:right w:val="single" w:color="auto" w:sz="4" w:space="0"/>
            </w:tcBorders>
            <w:vAlign w:val="center"/>
          </w:tcPr>
          <w:p w14:paraId="67A770CF">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right w:val="single" w:color="auto" w:sz="4" w:space="0"/>
            </w:tcBorders>
            <w:vAlign w:val="center"/>
          </w:tcPr>
          <w:p w14:paraId="1D9FA9CA">
            <w:pPr>
              <w:spacing w:line="240" w:lineRule="auto"/>
              <w:ind w:firstLine="0" w:firstLineChars="0"/>
              <w:jc w:val="center"/>
              <w:rPr>
                <w:rFonts w:cs="Times New Roman"/>
                <w:sz w:val="24"/>
                <w:szCs w:val="24"/>
              </w:rPr>
            </w:pPr>
            <w:r>
              <w:rPr>
                <w:rFonts w:cs="Times New Roman"/>
                <w:sz w:val="24"/>
                <w:szCs w:val="24"/>
              </w:rPr>
              <w:t>于跟波</w:t>
            </w:r>
          </w:p>
        </w:tc>
        <w:tc>
          <w:tcPr>
            <w:tcW w:w="1508" w:type="pct"/>
            <w:tcBorders>
              <w:left w:val="single" w:color="auto" w:sz="4" w:space="0"/>
              <w:right w:val="single" w:color="auto" w:sz="4" w:space="0"/>
            </w:tcBorders>
            <w:vAlign w:val="center"/>
          </w:tcPr>
          <w:p w14:paraId="11417623">
            <w:pPr>
              <w:pStyle w:val="67"/>
              <w:spacing w:line="240" w:lineRule="auto"/>
              <w:ind w:left="-56" w:right="-56"/>
              <w:rPr>
                <w:rFonts w:cs="Times New Roman"/>
                <w:sz w:val="24"/>
                <w:szCs w:val="24"/>
              </w:rPr>
            </w:pPr>
            <w:r>
              <w:rPr>
                <w:rFonts w:cs="Times New Roman"/>
                <w:sz w:val="24"/>
                <w:szCs w:val="24"/>
              </w:rPr>
              <w:t>1500000000301110</w:t>
            </w:r>
          </w:p>
        </w:tc>
        <w:tc>
          <w:tcPr>
            <w:tcW w:w="815" w:type="pct"/>
            <w:tcBorders>
              <w:left w:val="single" w:color="auto" w:sz="4" w:space="0"/>
              <w:right w:val="single" w:color="auto" w:sz="4" w:space="0"/>
            </w:tcBorders>
            <w:vAlign w:val="center"/>
          </w:tcPr>
          <w:p w14:paraId="175DE8B2">
            <w:pPr>
              <w:spacing w:line="240" w:lineRule="auto"/>
              <w:ind w:firstLine="0" w:firstLineChars="0"/>
              <w:jc w:val="center"/>
              <w:rPr>
                <w:rFonts w:cs="Times New Roman"/>
                <w:sz w:val="24"/>
                <w:szCs w:val="24"/>
              </w:rPr>
            </w:pPr>
            <w:r>
              <w:rPr>
                <w:rFonts w:cs="Times New Roman"/>
                <w:sz w:val="24"/>
                <w:szCs w:val="24"/>
              </w:rPr>
              <w:t>025715</w:t>
            </w:r>
          </w:p>
        </w:tc>
        <w:tc>
          <w:tcPr>
            <w:tcW w:w="668" w:type="pct"/>
            <w:tcBorders>
              <w:left w:val="single" w:color="auto" w:sz="4" w:space="0"/>
              <w:right w:val="single" w:color="auto" w:sz="4" w:space="0"/>
            </w:tcBorders>
            <w:vAlign w:val="center"/>
          </w:tcPr>
          <w:p w14:paraId="08B4AF30">
            <w:pPr>
              <w:pStyle w:val="67"/>
              <w:spacing w:line="240" w:lineRule="auto"/>
              <w:ind w:left="-56" w:right="-56"/>
              <w:rPr>
                <w:rFonts w:cs="Times New Roman"/>
                <w:sz w:val="24"/>
                <w:szCs w:val="24"/>
              </w:rPr>
            </w:pPr>
            <w:r>
              <w:rPr>
                <w:rFonts w:cs="Times New Roman"/>
                <w:sz w:val="24"/>
                <w:szCs w:val="24"/>
              </w:rPr>
              <w:t>通风</w:t>
            </w:r>
          </w:p>
        </w:tc>
        <w:tc>
          <w:tcPr>
            <w:tcW w:w="842" w:type="pct"/>
            <w:tcBorders>
              <w:left w:val="single" w:color="auto" w:sz="4" w:space="0"/>
              <w:right w:val="single" w:color="auto" w:sz="4" w:space="0"/>
            </w:tcBorders>
            <w:vAlign w:val="center"/>
          </w:tcPr>
          <w:p w14:paraId="16B17299">
            <w:pPr>
              <w:spacing w:line="240" w:lineRule="auto"/>
              <w:ind w:firstLine="0" w:firstLineChars="0"/>
              <w:jc w:val="center"/>
              <w:rPr>
                <w:rFonts w:cs="Times New Roman"/>
                <w:sz w:val="24"/>
                <w:szCs w:val="24"/>
              </w:rPr>
            </w:pPr>
          </w:p>
        </w:tc>
      </w:tr>
      <w:tr w14:paraId="356A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continue"/>
            <w:tcBorders>
              <w:left w:val="single" w:color="auto" w:sz="4" w:space="0"/>
              <w:right w:val="single" w:color="auto" w:sz="4" w:space="0"/>
            </w:tcBorders>
            <w:vAlign w:val="center"/>
          </w:tcPr>
          <w:p w14:paraId="20C2175E">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right w:val="single" w:color="auto" w:sz="4" w:space="0"/>
            </w:tcBorders>
            <w:vAlign w:val="center"/>
          </w:tcPr>
          <w:p w14:paraId="510724C6">
            <w:pPr>
              <w:spacing w:line="240" w:lineRule="auto"/>
              <w:ind w:firstLine="0" w:firstLineChars="0"/>
              <w:jc w:val="center"/>
              <w:rPr>
                <w:rFonts w:cs="Times New Roman"/>
                <w:sz w:val="24"/>
                <w:szCs w:val="24"/>
              </w:rPr>
            </w:pPr>
            <w:r>
              <w:rPr>
                <w:rFonts w:cs="Times New Roman"/>
                <w:sz w:val="24"/>
                <w:szCs w:val="24"/>
              </w:rPr>
              <w:t>韩金峰</w:t>
            </w:r>
          </w:p>
        </w:tc>
        <w:tc>
          <w:tcPr>
            <w:tcW w:w="1508" w:type="pct"/>
            <w:tcBorders>
              <w:left w:val="single" w:color="auto" w:sz="4" w:space="0"/>
              <w:right w:val="single" w:color="auto" w:sz="4" w:space="0"/>
            </w:tcBorders>
            <w:vAlign w:val="center"/>
          </w:tcPr>
          <w:p w14:paraId="1A1A9F8A">
            <w:pPr>
              <w:pStyle w:val="67"/>
              <w:spacing w:line="240" w:lineRule="auto"/>
              <w:ind w:left="-56" w:right="-56"/>
              <w:rPr>
                <w:rFonts w:cs="Times New Roman"/>
                <w:sz w:val="24"/>
                <w:szCs w:val="24"/>
              </w:rPr>
            </w:pPr>
            <w:r>
              <w:rPr>
                <w:rFonts w:cs="Times New Roman"/>
                <w:sz w:val="24"/>
                <w:szCs w:val="24"/>
              </w:rPr>
              <w:t>1500000000300763</w:t>
            </w:r>
          </w:p>
        </w:tc>
        <w:tc>
          <w:tcPr>
            <w:tcW w:w="815" w:type="pct"/>
            <w:tcBorders>
              <w:left w:val="single" w:color="auto" w:sz="4" w:space="0"/>
              <w:right w:val="single" w:color="auto" w:sz="4" w:space="0"/>
            </w:tcBorders>
            <w:vAlign w:val="center"/>
          </w:tcPr>
          <w:p w14:paraId="0A674249">
            <w:pPr>
              <w:spacing w:line="240" w:lineRule="auto"/>
              <w:ind w:firstLine="0" w:firstLineChars="0"/>
              <w:jc w:val="center"/>
              <w:rPr>
                <w:rFonts w:cs="Times New Roman"/>
                <w:sz w:val="24"/>
                <w:szCs w:val="24"/>
              </w:rPr>
            </w:pPr>
            <w:r>
              <w:rPr>
                <w:rFonts w:cs="Times New Roman"/>
                <w:sz w:val="24"/>
                <w:szCs w:val="24"/>
              </w:rPr>
              <w:t>025448</w:t>
            </w:r>
          </w:p>
        </w:tc>
        <w:tc>
          <w:tcPr>
            <w:tcW w:w="668" w:type="pct"/>
            <w:tcBorders>
              <w:left w:val="single" w:color="auto" w:sz="4" w:space="0"/>
              <w:right w:val="single" w:color="auto" w:sz="4" w:space="0"/>
            </w:tcBorders>
            <w:vAlign w:val="center"/>
          </w:tcPr>
          <w:p w14:paraId="36669322">
            <w:pPr>
              <w:pStyle w:val="67"/>
              <w:spacing w:line="240" w:lineRule="auto"/>
              <w:ind w:left="-56" w:right="-56"/>
              <w:rPr>
                <w:rFonts w:cs="Times New Roman"/>
                <w:sz w:val="24"/>
                <w:szCs w:val="24"/>
              </w:rPr>
            </w:pPr>
            <w:r>
              <w:rPr>
                <w:rFonts w:cs="Times New Roman"/>
                <w:sz w:val="24"/>
                <w:szCs w:val="24"/>
              </w:rPr>
              <w:t>安全</w:t>
            </w:r>
          </w:p>
        </w:tc>
        <w:tc>
          <w:tcPr>
            <w:tcW w:w="842" w:type="pct"/>
            <w:tcBorders>
              <w:left w:val="single" w:color="auto" w:sz="4" w:space="0"/>
              <w:right w:val="single" w:color="auto" w:sz="4" w:space="0"/>
            </w:tcBorders>
            <w:vAlign w:val="center"/>
          </w:tcPr>
          <w:p w14:paraId="18274410">
            <w:pPr>
              <w:spacing w:line="240" w:lineRule="auto"/>
              <w:ind w:firstLine="0" w:firstLineChars="0"/>
              <w:jc w:val="center"/>
              <w:rPr>
                <w:rFonts w:cs="Times New Roman"/>
                <w:sz w:val="24"/>
                <w:szCs w:val="24"/>
              </w:rPr>
            </w:pPr>
          </w:p>
        </w:tc>
      </w:tr>
      <w:tr w14:paraId="6CC1F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restart"/>
            <w:tcBorders>
              <w:top w:val="single" w:color="auto" w:sz="4" w:space="0"/>
              <w:left w:val="single" w:color="auto" w:sz="4" w:space="0"/>
              <w:right w:val="single" w:color="auto" w:sz="4" w:space="0"/>
            </w:tcBorders>
            <w:vAlign w:val="center"/>
          </w:tcPr>
          <w:p w14:paraId="60911C2E">
            <w:pPr>
              <w:spacing w:line="240" w:lineRule="auto"/>
              <w:ind w:left="-140" w:leftChars="-50" w:right="-140" w:rightChars="-50" w:firstLine="0" w:firstLineChars="0"/>
              <w:jc w:val="center"/>
              <w:rPr>
                <w:rFonts w:cs="Times New Roman"/>
                <w:sz w:val="24"/>
                <w:szCs w:val="24"/>
              </w:rPr>
            </w:pPr>
            <w:r>
              <w:rPr>
                <w:rFonts w:cs="Times New Roman"/>
                <w:sz w:val="24"/>
                <w:szCs w:val="24"/>
              </w:rPr>
              <w:t>报告编制人</w:t>
            </w:r>
          </w:p>
        </w:tc>
        <w:tc>
          <w:tcPr>
            <w:tcW w:w="502" w:type="pct"/>
            <w:tcBorders>
              <w:top w:val="single" w:color="auto" w:sz="4" w:space="0"/>
              <w:left w:val="single" w:color="auto" w:sz="4" w:space="0"/>
              <w:bottom w:val="single" w:color="auto" w:sz="4" w:space="0"/>
              <w:right w:val="single" w:color="auto" w:sz="4" w:space="0"/>
            </w:tcBorders>
            <w:vAlign w:val="center"/>
          </w:tcPr>
          <w:p w14:paraId="39F2E861">
            <w:pPr>
              <w:spacing w:line="240" w:lineRule="auto"/>
              <w:ind w:firstLine="0" w:firstLineChars="0"/>
              <w:jc w:val="center"/>
              <w:rPr>
                <w:rFonts w:cs="Times New Roman"/>
                <w:sz w:val="24"/>
                <w:szCs w:val="24"/>
              </w:rPr>
            </w:pPr>
            <w:r>
              <w:rPr>
                <w:rFonts w:cs="Times New Roman"/>
                <w:sz w:val="24"/>
                <w:szCs w:val="24"/>
              </w:rPr>
              <w:t>全永志</w:t>
            </w:r>
          </w:p>
        </w:tc>
        <w:tc>
          <w:tcPr>
            <w:tcW w:w="1508" w:type="pct"/>
            <w:tcBorders>
              <w:top w:val="single" w:color="auto" w:sz="4" w:space="0"/>
              <w:left w:val="single" w:color="auto" w:sz="4" w:space="0"/>
              <w:bottom w:val="single" w:color="auto" w:sz="4" w:space="0"/>
              <w:right w:val="single" w:color="auto" w:sz="4" w:space="0"/>
            </w:tcBorders>
            <w:vAlign w:val="center"/>
          </w:tcPr>
          <w:p w14:paraId="36C998A5">
            <w:pPr>
              <w:pStyle w:val="67"/>
              <w:spacing w:line="240" w:lineRule="auto"/>
              <w:ind w:left="-56" w:right="-56"/>
              <w:rPr>
                <w:rFonts w:cs="Times New Roman"/>
                <w:sz w:val="24"/>
                <w:szCs w:val="24"/>
              </w:rPr>
            </w:pPr>
            <w:r>
              <w:rPr>
                <w:rFonts w:cs="Times New Roman"/>
                <w:sz w:val="24"/>
                <w:szCs w:val="24"/>
              </w:rPr>
              <w:t>0800000000202661</w:t>
            </w:r>
          </w:p>
        </w:tc>
        <w:tc>
          <w:tcPr>
            <w:tcW w:w="815" w:type="pct"/>
            <w:tcBorders>
              <w:top w:val="single" w:color="auto" w:sz="4" w:space="0"/>
              <w:left w:val="single" w:color="auto" w:sz="4" w:space="0"/>
              <w:bottom w:val="single" w:color="auto" w:sz="4" w:space="0"/>
              <w:right w:val="single" w:color="auto" w:sz="4" w:space="0"/>
            </w:tcBorders>
            <w:vAlign w:val="center"/>
          </w:tcPr>
          <w:p w14:paraId="6EF1CFC0">
            <w:pPr>
              <w:spacing w:line="240" w:lineRule="auto"/>
              <w:ind w:firstLine="0" w:firstLineChars="0"/>
              <w:jc w:val="center"/>
              <w:rPr>
                <w:rFonts w:cs="Times New Roman"/>
                <w:sz w:val="24"/>
                <w:szCs w:val="24"/>
              </w:rPr>
            </w:pPr>
            <w:r>
              <w:rPr>
                <w:rFonts w:cs="Times New Roman"/>
                <w:sz w:val="24"/>
                <w:szCs w:val="24"/>
              </w:rPr>
              <w:t>006581</w:t>
            </w:r>
          </w:p>
        </w:tc>
        <w:tc>
          <w:tcPr>
            <w:tcW w:w="668" w:type="pct"/>
            <w:tcBorders>
              <w:top w:val="single" w:color="auto" w:sz="4" w:space="0"/>
              <w:left w:val="single" w:color="auto" w:sz="4" w:space="0"/>
              <w:bottom w:val="single" w:color="auto" w:sz="4" w:space="0"/>
              <w:right w:val="single" w:color="auto" w:sz="4" w:space="0"/>
            </w:tcBorders>
            <w:vAlign w:val="center"/>
          </w:tcPr>
          <w:p w14:paraId="4DBBE279">
            <w:pPr>
              <w:pStyle w:val="67"/>
              <w:spacing w:line="240" w:lineRule="auto"/>
              <w:ind w:left="-56" w:right="-56"/>
              <w:rPr>
                <w:rFonts w:cs="Times New Roman"/>
                <w:sz w:val="24"/>
                <w:szCs w:val="24"/>
              </w:rPr>
            </w:pPr>
            <w:r>
              <w:rPr>
                <w:rFonts w:cs="Times New Roman"/>
                <w:sz w:val="24"/>
                <w:szCs w:val="24"/>
              </w:rPr>
              <w:t>机械</w:t>
            </w:r>
          </w:p>
        </w:tc>
        <w:tc>
          <w:tcPr>
            <w:tcW w:w="842" w:type="pct"/>
            <w:tcBorders>
              <w:top w:val="single" w:color="auto" w:sz="4" w:space="0"/>
              <w:left w:val="single" w:color="auto" w:sz="4" w:space="0"/>
              <w:bottom w:val="single" w:color="auto" w:sz="4" w:space="0"/>
              <w:right w:val="single" w:color="auto" w:sz="4" w:space="0"/>
            </w:tcBorders>
            <w:vAlign w:val="center"/>
          </w:tcPr>
          <w:p w14:paraId="3BEC2130">
            <w:pPr>
              <w:spacing w:line="240" w:lineRule="auto"/>
              <w:ind w:firstLine="0" w:firstLineChars="0"/>
              <w:jc w:val="center"/>
              <w:rPr>
                <w:rFonts w:cs="Times New Roman"/>
                <w:b/>
                <w:sz w:val="24"/>
                <w:szCs w:val="24"/>
              </w:rPr>
            </w:pPr>
          </w:p>
        </w:tc>
      </w:tr>
      <w:tr w14:paraId="489B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vMerge w:val="continue"/>
            <w:tcBorders>
              <w:top w:val="single" w:color="auto" w:sz="4" w:space="0"/>
              <w:left w:val="single" w:color="auto" w:sz="4" w:space="0"/>
              <w:right w:val="single" w:color="auto" w:sz="4" w:space="0"/>
            </w:tcBorders>
            <w:vAlign w:val="center"/>
          </w:tcPr>
          <w:p w14:paraId="49AB9209">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bottom w:val="single" w:color="auto" w:sz="4" w:space="0"/>
              <w:right w:val="single" w:color="auto" w:sz="4" w:space="0"/>
            </w:tcBorders>
            <w:vAlign w:val="center"/>
          </w:tcPr>
          <w:p w14:paraId="560E4D97">
            <w:pPr>
              <w:spacing w:line="240" w:lineRule="auto"/>
              <w:ind w:firstLine="0" w:firstLineChars="0"/>
              <w:jc w:val="center"/>
              <w:rPr>
                <w:rFonts w:cs="Times New Roman"/>
                <w:sz w:val="24"/>
                <w:szCs w:val="24"/>
              </w:rPr>
            </w:pPr>
            <w:r>
              <w:rPr>
                <w:rFonts w:cs="Times New Roman"/>
                <w:sz w:val="24"/>
                <w:szCs w:val="24"/>
              </w:rPr>
              <w:t>吴永刚</w:t>
            </w:r>
          </w:p>
        </w:tc>
        <w:tc>
          <w:tcPr>
            <w:tcW w:w="1508" w:type="pct"/>
            <w:tcBorders>
              <w:top w:val="single" w:color="auto" w:sz="4" w:space="0"/>
              <w:left w:val="single" w:color="auto" w:sz="4" w:space="0"/>
              <w:bottom w:val="single" w:color="auto" w:sz="4" w:space="0"/>
              <w:right w:val="single" w:color="auto" w:sz="4" w:space="0"/>
            </w:tcBorders>
            <w:vAlign w:val="center"/>
          </w:tcPr>
          <w:p w14:paraId="7DC39063">
            <w:pPr>
              <w:pStyle w:val="67"/>
              <w:spacing w:line="240" w:lineRule="auto"/>
              <w:ind w:left="-56" w:right="-56"/>
              <w:rPr>
                <w:rFonts w:cs="Times New Roman"/>
                <w:sz w:val="24"/>
                <w:szCs w:val="24"/>
              </w:rPr>
            </w:pPr>
            <w:r>
              <w:rPr>
                <w:rFonts w:cs="Times New Roman"/>
                <w:sz w:val="24"/>
                <w:szCs w:val="24"/>
              </w:rPr>
              <w:t>1500000000300015</w:t>
            </w:r>
          </w:p>
        </w:tc>
        <w:tc>
          <w:tcPr>
            <w:tcW w:w="815" w:type="pct"/>
            <w:tcBorders>
              <w:top w:val="single" w:color="auto" w:sz="4" w:space="0"/>
              <w:left w:val="single" w:color="auto" w:sz="4" w:space="0"/>
              <w:bottom w:val="single" w:color="auto" w:sz="4" w:space="0"/>
              <w:right w:val="single" w:color="auto" w:sz="4" w:space="0"/>
            </w:tcBorders>
            <w:vAlign w:val="center"/>
          </w:tcPr>
          <w:p w14:paraId="528733CE">
            <w:pPr>
              <w:spacing w:line="240" w:lineRule="auto"/>
              <w:ind w:firstLine="0" w:firstLineChars="0"/>
              <w:jc w:val="center"/>
              <w:rPr>
                <w:rFonts w:cs="Times New Roman"/>
                <w:sz w:val="24"/>
                <w:szCs w:val="24"/>
              </w:rPr>
            </w:pPr>
            <w:r>
              <w:rPr>
                <w:rFonts w:cs="Times New Roman"/>
                <w:sz w:val="24"/>
                <w:szCs w:val="24"/>
              </w:rPr>
              <w:t>027297</w:t>
            </w:r>
          </w:p>
        </w:tc>
        <w:tc>
          <w:tcPr>
            <w:tcW w:w="668" w:type="pct"/>
            <w:tcBorders>
              <w:top w:val="single" w:color="auto" w:sz="4" w:space="0"/>
              <w:left w:val="single" w:color="auto" w:sz="4" w:space="0"/>
              <w:bottom w:val="single" w:color="auto" w:sz="4" w:space="0"/>
              <w:right w:val="single" w:color="auto" w:sz="4" w:space="0"/>
            </w:tcBorders>
            <w:vAlign w:val="center"/>
          </w:tcPr>
          <w:p w14:paraId="27DB39D5">
            <w:pPr>
              <w:pStyle w:val="67"/>
              <w:spacing w:line="240" w:lineRule="auto"/>
              <w:ind w:left="-56" w:right="-56"/>
              <w:rPr>
                <w:rFonts w:cs="Times New Roman"/>
                <w:sz w:val="24"/>
                <w:szCs w:val="24"/>
              </w:rPr>
            </w:pPr>
            <w:r>
              <w:rPr>
                <w:rFonts w:cs="Times New Roman"/>
                <w:sz w:val="24"/>
                <w:szCs w:val="24"/>
              </w:rPr>
              <w:t>采矿</w:t>
            </w:r>
          </w:p>
        </w:tc>
        <w:tc>
          <w:tcPr>
            <w:tcW w:w="842" w:type="pct"/>
            <w:tcBorders>
              <w:top w:val="single" w:color="auto" w:sz="4" w:space="0"/>
              <w:left w:val="single" w:color="auto" w:sz="4" w:space="0"/>
              <w:bottom w:val="single" w:color="auto" w:sz="4" w:space="0"/>
              <w:right w:val="single" w:color="auto" w:sz="4" w:space="0"/>
            </w:tcBorders>
            <w:vAlign w:val="center"/>
          </w:tcPr>
          <w:p w14:paraId="20466B9C">
            <w:pPr>
              <w:spacing w:line="240" w:lineRule="auto"/>
              <w:ind w:firstLine="0" w:firstLineChars="0"/>
              <w:jc w:val="center"/>
              <w:rPr>
                <w:rFonts w:cs="Times New Roman"/>
                <w:b/>
                <w:sz w:val="24"/>
                <w:szCs w:val="24"/>
              </w:rPr>
            </w:pPr>
          </w:p>
        </w:tc>
      </w:tr>
      <w:tr w14:paraId="57634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665" w:type="pct"/>
            <w:vMerge w:val="continue"/>
            <w:tcBorders>
              <w:top w:val="single" w:color="auto" w:sz="4" w:space="0"/>
              <w:left w:val="single" w:color="auto" w:sz="4" w:space="0"/>
              <w:right w:val="single" w:color="auto" w:sz="4" w:space="0"/>
            </w:tcBorders>
            <w:vAlign w:val="center"/>
          </w:tcPr>
          <w:p w14:paraId="674C256D">
            <w:pPr>
              <w:spacing w:line="240" w:lineRule="auto"/>
              <w:ind w:left="-140" w:leftChars="-50" w:right="-140" w:rightChars="-50" w:firstLine="0" w:firstLineChars="0"/>
              <w:jc w:val="center"/>
              <w:rPr>
                <w:rFonts w:cs="Times New Roman"/>
                <w:sz w:val="24"/>
                <w:szCs w:val="24"/>
              </w:rPr>
            </w:pPr>
          </w:p>
        </w:tc>
        <w:tc>
          <w:tcPr>
            <w:tcW w:w="502" w:type="pct"/>
            <w:tcBorders>
              <w:top w:val="single" w:color="auto" w:sz="4" w:space="0"/>
              <w:left w:val="single" w:color="auto" w:sz="4" w:space="0"/>
              <w:bottom w:val="single" w:color="auto" w:sz="4" w:space="0"/>
              <w:right w:val="single" w:color="auto" w:sz="4" w:space="0"/>
            </w:tcBorders>
            <w:vAlign w:val="center"/>
          </w:tcPr>
          <w:p w14:paraId="6F44A77A">
            <w:pPr>
              <w:spacing w:line="240" w:lineRule="auto"/>
              <w:ind w:firstLine="0" w:firstLineChars="0"/>
              <w:jc w:val="center"/>
              <w:rPr>
                <w:rFonts w:cs="Times New Roman"/>
                <w:sz w:val="24"/>
                <w:szCs w:val="24"/>
              </w:rPr>
            </w:pPr>
            <w:r>
              <w:rPr>
                <w:rFonts w:cs="Times New Roman"/>
                <w:sz w:val="24"/>
                <w:szCs w:val="24"/>
              </w:rPr>
              <w:t>韩金峰</w:t>
            </w:r>
          </w:p>
        </w:tc>
        <w:tc>
          <w:tcPr>
            <w:tcW w:w="1508" w:type="pct"/>
            <w:tcBorders>
              <w:top w:val="single" w:color="auto" w:sz="4" w:space="0"/>
              <w:left w:val="single" w:color="auto" w:sz="4" w:space="0"/>
              <w:bottom w:val="single" w:color="auto" w:sz="4" w:space="0"/>
              <w:right w:val="single" w:color="auto" w:sz="4" w:space="0"/>
            </w:tcBorders>
            <w:vAlign w:val="center"/>
          </w:tcPr>
          <w:p w14:paraId="37D9EE34">
            <w:pPr>
              <w:pStyle w:val="67"/>
              <w:spacing w:line="240" w:lineRule="auto"/>
              <w:ind w:left="-56" w:right="-56"/>
              <w:rPr>
                <w:rFonts w:cs="Times New Roman"/>
                <w:sz w:val="24"/>
                <w:szCs w:val="24"/>
              </w:rPr>
            </w:pPr>
            <w:r>
              <w:rPr>
                <w:rFonts w:cs="Times New Roman"/>
                <w:sz w:val="24"/>
                <w:szCs w:val="24"/>
              </w:rPr>
              <w:t>1500000000300763</w:t>
            </w:r>
          </w:p>
        </w:tc>
        <w:tc>
          <w:tcPr>
            <w:tcW w:w="815" w:type="pct"/>
            <w:tcBorders>
              <w:top w:val="single" w:color="auto" w:sz="4" w:space="0"/>
              <w:left w:val="single" w:color="auto" w:sz="4" w:space="0"/>
              <w:bottom w:val="single" w:color="auto" w:sz="4" w:space="0"/>
              <w:right w:val="single" w:color="auto" w:sz="4" w:space="0"/>
            </w:tcBorders>
            <w:vAlign w:val="center"/>
          </w:tcPr>
          <w:p w14:paraId="3E941689">
            <w:pPr>
              <w:spacing w:line="240" w:lineRule="auto"/>
              <w:ind w:firstLine="0" w:firstLineChars="0"/>
              <w:jc w:val="center"/>
              <w:rPr>
                <w:rFonts w:cs="Times New Roman"/>
                <w:sz w:val="24"/>
                <w:szCs w:val="24"/>
              </w:rPr>
            </w:pPr>
            <w:r>
              <w:rPr>
                <w:rFonts w:cs="Times New Roman"/>
                <w:sz w:val="24"/>
                <w:szCs w:val="24"/>
              </w:rPr>
              <w:t>025448</w:t>
            </w:r>
          </w:p>
        </w:tc>
        <w:tc>
          <w:tcPr>
            <w:tcW w:w="668" w:type="pct"/>
            <w:tcBorders>
              <w:top w:val="single" w:color="auto" w:sz="4" w:space="0"/>
              <w:left w:val="single" w:color="auto" w:sz="4" w:space="0"/>
              <w:bottom w:val="single" w:color="auto" w:sz="4" w:space="0"/>
              <w:right w:val="single" w:color="auto" w:sz="4" w:space="0"/>
            </w:tcBorders>
            <w:vAlign w:val="center"/>
          </w:tcPr>
          <w:p w14:paraId="523150D9">
            <w:pPr>
              <w:pStyle w:val="67"/>
              <w:spacing w:line="240" w:lineRule="auto"/>
              <w:ind w:left="-56" w:right="-56"/>
              <w:rPr>
                <w:rFonts w:cs="Times New Roman"/>
                <w:sz w:val="24"/>
                <w:szCs w:val="24"/>
              </w:rPr>
            </w:pPr>
            <w:r>
              <w:rPr>
                <w:rFonts w:cs="Times New Roman"/>
                <w:sz w:val="24"/>
                <w:szCs w:val="24"/>
              </w:rPr>
              <w:t>安全</w:t>
            </w:r>
          </w:p>
        </w:tc>
        <w:tc>
          <w:tcPr>
            <w:tcW w:w="842" w:type="pct"/>
            <w:tcBorders>
              <w:top w:val="single" w:color="auto" w:sz="4" w:space="0"/>
              <w:left w:val="single" w:color="auto" w:sz="4" w:space="0"/>
              <w:bottom w:val="single" w:color="auto" w:sz="4" w:space="0"/>
              <w:right w:val="single" w:color="auto" w:sz="4" w:space="0"/>
            </w:tcBorders>
            <w:vAlign w:val="center"/>
          </w:tcPr>
          <w:p w14:paraId="48F76ED2">
            <w:pPr>
              <w:spacing w:line="240" w:lineRule="auto"/>
              <w:ind w:firstLine="0" w:firstLineChars="0"/>
              <w:jc w:val="center"/>
              <w:rPr>
                <w:rFonts w:cs="Times New Roman"/>
                <w:sz w:val="24"/>
                <w:szCs w:val="24"/>
              </w:rPr>
            </w:pPr>
          </w:p>
        </w:tc>
      </w:tr>
      <w:tr w14:paraId="158E4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14:paraId="17B041B4">
            <w:pPr>
              <w:spacing w:line="240" w:lineRule="auto"/>
              <w:ind w:left="-140" w:leftChars="-50" w:right="-140" w:rightChars="-50" w:firstLine="0" w:firstLineChars="0"/>
              <w:jc w:val="center"/>
              <w:rPr>
                <w:rFonts w:cs="Times New Roman"/>
                <w:sz w:val="24"/>
                <w:szCs w:val="24"/>
              </w:rPr>
            </w:pPr>
            <w:r>
              <w:rPr>
                <w:rFonts w:cs="Times New Roman"/>
                <w:sz w:val="24"/>
                <w:szCs w:val="24"/>
              </w:rPr>
              <w:t>报告审核人</w:t>
            </w:r>
          </w:p>
        </w:tc>
        <w:tc>
          <w:tcPr>
            <w:tcW w:w="502" w:type="pct"/>
            <w:tcBorders>
              <w:top w:val="single" w:color="auto" w:sz="4" w:space="0"/>
              <w:left w:val="single" w:color="auto" w:sz="4" w:space="0"/>
              <w:bottom w:val="single" w:color="auto" w:sz="4" w:space="0"/>
              <w:right w:val="single" w:color="auto" w:sz="4" w:space="0"/>
            </w:tcBorders>
            <w:vAlign w:val="center"/>
          </w:tcPr>
          <w:p w14:paraId="5FD5655D">
            <w:pPr>
              <w:spacing w:line="240" w:lineRule="auto"/>
              <w:ind w:firstLine="0" w:firstLineChars="0"/>
              <w:jc w:val="center"/>
              <w:rPr>
                <w:rFonts w:cs="Times New Roman"/>
                <w:sz w:val="24"/>
                <w:szCs w:val="24"/>
              </w:rPr>
            </w:pPr>
            <w:r>
              <w:rPr>
                <w:rFonts w:hint="eastAsia" w:ascii="宋体" w:hAnsi="宋体" w:cs="宋体"/>
                <w:kern w:val="0"/>
                <w:sz w:val="24"/>
              </w:rPr>
              <w:t>牛淑慧</w:t>
            </w:r>
          </w:p>
        </w:tc>
        <w:tc>
          <w:tcPr>
            <w:tcW w:w="1508" w:type="pct"/>
            <w:tcBorders>
              <w:top w:val="single" w:color="auto" w:sz="4" w:space="0"/>
              <w:left w:val="single" w:color="auto" w:sz="4" w:space="0"/>
              <w:bottom w:val="single" w:color="auto" w:sz="4" w:space="0"/>
              <w:right w:val="single" w:color="auto" w:sz="4" w:space="0"/>
            </w:tcBorders>
            <w:vAlign w:val="center"/>
          </w:tcPr>
          <w:p w14:paraId="189E8BDC">
            <w:pPr>
              <w:pStyle w:val="67"/>
              <w:spacing w:line="240" w:lineRule="auto"/>
              <w:ind w:left="-56" w:right="-56"/>
              <w:rPr>
                <w:rFonts w:cs="Times New Roman"/>
                <w:sz w:val="24"/>
                <w:szCs w:val="24"/>
              </w:rPr>
            </w:pPr>
            <w:r>
              <w:rPr>
                <w:rFonts w:cs="Times New Roman"/>
                <w:kern w:val="0"/>
                <w:sz w:val="24"/>
              </w:rPr>
              <w:t>1600000000201286</w:t>
            </w:r>
          </w:p>
        </w:tc>
        <w:tc>
          <w:tcPr>
            <w:tcW w:w="815" w:type="pct"/>
            <w:tcBorders>
              <w:top w:val="single" w:color="auto" w:sz="4" w:space="0"/>
              <w:left w:val="single" w:color="auto" w:sz="4" w:space="0"/>
              <w:bottom w:val="single" w:color="auto" w:sz="4" w:space="0"/>
              <w:right w:val="single" w:color="auto" w:sz="4" w:space="0"/>
            </w:tcBorders>
            <w:vAlign w:val="center"/>
          </w:tcPr>
          <w:p w14:paraId="1568400E">
            <w:pPr>
              <w:spacing w:line="240" w:lineRule="auto"/>
              <w:ind w:firstLine="0" w:firstLineChars="0"/>
              <w:jc w:val="center"/>
              <w:rPr>
                <w:rFonts w:cs="Times New Roman"/>
                <w:sz w:val="24"/>
                <w:szCs w:val="24"/>
              </w:rPr>
            </w:pPr>
            <w:r>
              <w:rPr>
                <w:rFonts w:cs="Times New Roman"/>
                <w:kern w:val="0"/>
                <w:sz w:val="24"/>
              </w:rPr>
              <w:t>029930</w:t>
            </w:r>
          </w:p>
        </w:tc>
        <w:tc>
          <w:tcPr>
            <w:tcW w:w="668" w:type="pct"/>
            <w:tcBorders>
              <w:top w:val="single" w:color="auto" w:sz="4" w:space="0"/>
              <w:left w:val="single" w:color="auto" w:sz="4" w:space="0"/>
              <w:bottom w:val="single" w:color="auto" w:sz="4" w:space="0"/>
              <w:right w:val="single" w:color="auto" w:sz="4" w:space="0"/>
            </w:tcBorders>
            <w:vAlign w:val="center"/>
          </w:tcPr>
          <w:p w14:paraId="5B6E175A">
            <w:pPr>
              <w:pStyle w:val="67"/>
              <w:spacing w:line="240" w:lineRule="auto"/>
              <w:ind w:left="-56" w:right="-56"/>
              <w:rPr>
                <w:rFonts w:cs="Times New Roman"/>
                <w:sz w:val="24"/>
                <w:szCs w:val="24"/>
              </w:rPr>
            </w:pPr>
            <w:r>
              <w:rPr>
                <w:rFonts w:hint="eastAsia" w:ascii="宋体" w:hAnsi="宋体" w:cs="宋体"/>
                <w:kern w:val="0"/>
                <w:sz w:val="24"/>
              </w:rPr>
              <w:t>安全</w:t>
            </w:r>
          </w:p>
        </w:tc>
        <w:tc>
          <w:tcPr>
            <w:tcW w:w="842" w:type="pct"/>
            <w:tcBorders>
              <w:top w:val="single" w:color="auto" w:sz="4" w:space="0"/>
              <w:left w:val="single" w:color="auto" w:sz="4" w:space="0"/>
              <w:bottom w:val="single" w:color="auto" w:sz="4" w:space="0"/>
              <w:right w:val="single" w:color="auto" w:sz="4" w:space="0"/>
            </w:tcBorders>
            <w:vAlign w:val="center"/>
          </w:tcPr>
          <w:p w14:paraId="2982AF5D">
            <w:pPr>
              <w:spacing w:line="240" w:lineRule="auto"/>
              <w:ind w:firstLine="0" w:firstLineChars="0"/>
              <w:jc w:val="center"/>
              <w:rPr>
                <w:rFonts w:cs="Times New Roman"/>
                <w:sz w:val="24"/>
                <w:szCs w:val="24"/>
              </w:rPr>
            </w:pPr>
          </w:p>
        </w:tc>
      </w:tr>
      <w:tr w14:paraId="45153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14:paraId="0EC1179D">
            <w:pPr>
              <w:spacing w:line="240" w:lineRule="auto"/>
              <w:ind w:left="-140" w:leftChars="-50" w:right="-140" w:rightChars="-50" w:firstLine="0" w:firstLineChars="0"/>
              <w:jc w:val="center"/>
              <w:rPr>
                <w:rFonts w:cs="Times New Roman"/>
                <w:sz w:val="24"/>
                <w:szCs w:val="24"/>
              </w:rPr>
            </w:pPr>
            <w:r>
              <w:rPr>
                <w:rFonts w:cs="Times New Roman"/>
                <w:sz w:val="24"/>
                <w:szCs w:val="24"/>
              </w:rPr>
              <w:t>过程控制</w:t>
            </w:r>
          </w:p>
          <w:p w14:paraId="20B3A566">
            <w:pPr>
              <w:spacing w:line="240" w:lineRule="auto"/>
              <w:ind w:left="-140" w:leftChars="-50" w:right="-140" w:rightChars="-50" w:firstLine="0" w:firstLineChars="0"/>
              <w:jc w:val="center"/>
              <w:rPr>
                <w:rFonts w:cs="Times New Roman"/>
                <w:sz w:val="24"/>
                <w:szCs w:val="24"/>
              </w:rPr>
            </w:pPr>
            <w:r>
              <w:rPr>
                <w:rFonts w:cs="Times New Roman"/>
                <w:sz w:val="24"/>
                <w:szCs w:val="24"/>
              </w:rPr>
              <w:t>负责人</w:t>
            </w:r>
          </w:p>
        </w:tc>
        <w:tc>
          <w:tcPr>
            <w:tcW w:w="502" w:type="pct"/>
            <w:tcBorders>
              <w:top w:val="single" w:color="auto" w:sz="4" w:space="0"/>
              <w:left w:val="single" w:color="auto" w:sz="4" w:space="0"/>
              <w:bottom w:val="single" w:color="auto" w:sz="4" w:space="0"/>
              <w:right w:val="single" w:color="auto" w:sz="4" w:space="0"/>
            </w:tcBorders>
            <w:vAlign w:val="center"/>
          </w:tcPr>
          <w:p w14:paraId="26DCF8D9">
            <w:pPr>
              <w:spacing w:line="240" w:lineRule="auto"/>
              <w:ind w:firstLine="0" w:firstLineChars="0"/>
              <w:jc w:val="center"/>
              <w:rPr>
                <w:rFonts w:cs="Times New Roman"/>
                <w:sz w:val="24"/>
                <w:szCs w:val="24"/>
              </w:rPr>
            </w:pPr>
            <w:r>
              <w:rPr>
                <w:rFonts w:cs="Times New Roman"/>
                <w:sz w:val="24"/>
                <w:szCs w:val="24"/>
              </w:rPr>
              <w:t>徐伟兰</w:t>
            </w:r>
          </w:p>
        </w:tc>
        <w:tc>
          <w:tcPr>
            <w:tcW w:w="1508" w:type="pct"/>
            <w:tcBorders>
              <w:top w:val="single" w:color="auto" w:sz="4" w:space="0"/>
              <w:left w:val="single" w:color="auto" w:sz="4" w:space="0"/>
              <w:bottom w:val="single" w:color="auto" w:sz="4" w:space="0"/>
              <w:right w:val="single" w:color="auto" w:sz="4" w:space="0"/>
            </w:tcBorders>
            <w:vAlign w:val="center"/>
          </w:tcPr>
          <w:p w14:paraId="0643588E">
            <w:pPr>
              <w:pStyle w:val="67"/>
              <w:spacing w:line="240" w:lineRule="auto"/>
              <w:ind w:left="-56" w:right="-56"/>
              <w:rPr>
                <w:rFonts w:cs="Times New Roman"/>
                <w:sz w:val="24"/>
                <w:szCs w:val="24"/>
              </w:rPr>
            </w:pPr>
            <w:r>
              <w:rPr>
                <w:rFonts w:cs="Times New Roman"/>
                <w:sz w:val="24"/>
                <w:szCs w:val="24"/>
              </w:rPr>
              <w:t>1100000000303070</w:t>
            </w:r>
          </w:p>
        </w:tc>
        <w:tc>
          <w:tcPr>
            <w:tcW w:w="815" w:type="pct"/>
            <w:tcBorders>
              <w:top w:val="single" w:color="auto" w:sz="4" w:space="0"/>
              <w:left w:val="single" w:color="auto" w:sz="4" w:space="0"/>
              <w:bottom w:val="single" w:color="auto" w:sz="4" w:space="0"/>
              <w:right w:val="single" w:color="auto" w:sz="4" w:space="0"/>
            </w:tcBorders>
            <w:vAlign w:val="center"/>
          </w:tcPr>
          <w:p w14:paraId="60A8EA25">
            <w:pPr>
              <w:spacing w:line="240" w:lineRule="auto"/>
              <w:ind w:firstLine="0" w:firstLineChars="0"/>
              <w:jc w:val="center"/>
              <w:rPr>
                <w:rFonts w:cs="Times New Roman"/>
                <w:sz w:val="24"/>
                <w:szCs w:val="24"/>
              </w:rPr>
            </w:pPr>
            <w:r>
              <w:rPr>
                <w:rFonts w:cs="Times New Roman"/>
                <w:sz w:val="24"/>
                <w:szCs w:val="24"/>
              </w:rPr>
              <w:t>021358</w:t>
            </w:r>
          </w:p>
        </w:tc>
        <w:tc>
          <w:tcPr>
            <w:tcW w:w="668" w:type="pct"/>
            <w:tcBorders>
              <w:top w:val="single" w:color="auto" w:sz="4" w:space="0"/>
              <w:left w:val="single" w:color="auto" w:sz="4" w:space="0"/>
              <w:bottom w:val="single" w:color="auto" w:sz="4" w:space="0"/>
              <w:right w:val="single" w:color="auto" w:sz="4" w:space="0"/>
            </w:tcBorders>
            <w:vAlign w:val="center"/>
          </w:tcPr>
          <w:p w14:paraId="4B2B6DE0">
            <w:pPr>
              <w:pStyle w:val="67"/>
              <w:spacing w:line="240" w:lineRule="auto"/>
              <w:ind w:left="-56" w:right="-56"/>
              <w:rPr>
                <w:rFonts w:cs="Times New Roman"/>
                <w:sz w:val="24"/>
                <w:szCs w:val="24"/>
              </w:rPr>
            </w:pPr>
            <w:r>
              <w:rPr>
                <w:rFonts w:cs="Times New Roman"/>
                <w:sz w:val="24"/>
                <w:szCs w:val="24"/>
              </w:rPr>
              <w:t>采矿</w:t>
            </w:r>
          </w:p>
        </w:tc>
        <w:tc>
          <w:tcPr>
            <w:tcW w:w="842" w:type="pct"/>
            <w:tcBorders>
              <w:top w:val="single" w:color="auto" w:sz="4" w:space="0"/>
              <w:left w:val="single" w:color="auto" w:sz="4" w:space="0"/>
              <w:bottom w:val="single" w:color="auto" w:sz="4" w:space="0"/>
              <w:right w:val="single" w:color="auto" w:sz="4" w:space="0"/>
            </w:tcBorders>
            <w:vAlign w:val="center"/>
          </w:tcPr>
          <w:p w14:paraId="5C22FB72">
            <w:pPr>
              <w:spacing w:line="240" w:lineRule="auto"/>
              <w:ind w:firstLine="0" w:firstLineChars="0"/>
              <w:jc w:val="center"/>
              <w:rPr>
                <w:rFonts w:cs="Times New Roman"/>
                <w:sz w:val="24"/>
                <w:szCs w:val="24"/>
              </w:rPr>
            </w:pPr>
          </w:p>
        </w:tc>
      </w:tr>
      <w:tr w14:paraId="6948C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14:paraId="594A11D9">
            <w:pPr>
              <w:spacing w:line="240" w:lineRule="auto"/>
              <w:ind w:left="-140" w:leftChars="-50" w:right="-140" w:rightChars="-50" w:firstLine="0" w:firstLineChars="0"/>
              <w:jc w:val="center"/>
              <w:rPr>
                <w:rFonts w:cs="Times New Roman"/>
                <w:sz w:val="24"/>
                <w:szCs w:val="24"/>
              </w:rPr>
            </w:pPr>
            <w:r>
              <w:rPr>
                <w:rFonts w:cs="Times New Roman"/>
                <w:sz w:val="24"/>
                <w:szCs w:val="24"/>
              </w:rPr>
              <w:t>技术负责人</w:t>
            </w:r>
          </w:p>
        </w:tc>
        <w:tc>
          <w:tcPr>
            <w:tcW w:w="502" w:type="pct"/>
            <w:tcBorders>
              <w:top w:val="single" w:color="auto" w:sz="4" w:space="0"/>
              <w:left w:val="single" w:color="auto" w:sz="4" w:space="0"/>
              <w:bottom w:val="single" w:color="auto" w:sz="4" w:space="0"/>
              <w:right w:val="single" w:color="auto" w:sz="4" w:space="0"/>
            </w:tcBorders>
            <w:vAlign w:val="center"/>
          </w:tcPr>
          <w:p w14:paraId="099BA0F4">
            <w:pPr>
              <w:spacing w:line="240" w:lineRule="auto"/>
              <w:ind w:firstLine="0" w:firstLineChars="0"/>
              <w:jc w:val="center"/>
              <w:rPr>
                <w:rFonts w:cs="Times New Roman"/>
                <w:sz w:val="24"/>
                <w:szCs w:val="24"/>
              </w:rPr>
            </w:pPr>
            <w:r>
              <w:rPr>
                <w:rFonts w:cs="Times New Roman"/>
                <w:sz w:val="24"/>
                <w:szCs w:val="24"/>
              </w:rPr>
              <w:t>谢</w:t>
            </w:r>
            <w:r>
              <w:rPr>
                <w:rFonts w:hint="eastAsia" w:cs="Times New Roman"/>
                <w:sz w:val="24"/>
                <w:szCs w:val="24"/>
              </w:rPr>
              <w:t xml:space="preserve"> </w:t>
            </w:r>
            <w:r>
              <w:rPr>
                <w:rFonts w:cs="Times New Roman"/>
                <w:sz w:val="24"/>
                <w:szCs w:val="24"/>
              </w:rPr>
              <w:t xml:space="preserve">   源</w:t>
            </w:r>
          </w:p>
        </w:tc>
        <w:tc>
          <w:tcPr>
            <w:tcW w:w="1508" w:type="pct"/>
            <w:tcBorders>
              <w:top w:val="single" w:color="auto" w:sz="4" w:space="0"/>
              <w:left w:val="single" w:color="auto" w:sz="4" w:space="0"/>
              <w:bottom w:val="single" w:color="auto" w:sz="4" w:space="0"/>
              <w:right w:val="single" w:color="auto" w:sz="4" w:space="0"/>
            </w:tcBorders>
            <w:vAlign w:val="center"/>
          </w:tcPr>
          <w:p w14:paraId="327A726E">
            <w:pPr>
              <w:pStyle w:val="67"/>
              <w:spacing w:line="240" w:lineRule="auto"/>
              <w:ind w:left="-56" w:right="-56"/>
              <w:rPr>
                <w:rFonts w:cs="Times New Roman"/>
                <w:sz w:val="24"/>
                <w:szCs w:val="24"/>
              </w:rPr>
            </w:pPr>
            <w:r>
              <w:rPr>
                <w:rFonts w:cs="Times New Roman"/>
                <w:sz w:val="24"/>
                <w:szCs w:val="24"/>
              </w:rPr>
              <w:t>0800000000103653</w:t>
            </w:r>
          </w:p>
        </w:tc>
        <w:tc>
          <w:tcPr>
            <w:tcW w:w="815" w:type="pct"/>
            <w:tcBorders>
              <w:top w:val="single" w:color="auto" w:sz="4" w:space="0"/>
              <w:left w:val="single" w:color="auto" w:sz="4" w:space="0"/>
              <w:bottom w:val="single" w:color="auto" w:sz="4" w:space="0"/>
              <w:right w:val="single" w:color="auto" w:sz="4" w:space="0"/>
            </w:tcBorders>
            <w:vAlign w:val="center"/>
          </w:tcPr>
          <w:p w14:paraId="1E84ABDF">
            <w:pPr>
              <w:spacing w:line="240" w:lineRule="auto"/>
              <w:ind w:firstLine="0" w:firstLineChars="0"/>
              <w:jc w:val="center"/>
              <w:rPr>
                <w:rFonts w:cs="Times New Roman"/>
                <w:sz w:val="24"/>
                <w:szCs w:val="24"/>
              </w:rPr>
            </w:pPr>
            <w:r>
              <w:rPr>
                <w:rFonts w:cs="Times New Roman"/>
                <w:sz w:val="24"/>
                <w:szCs w:val="24"/>
              </w:rPr>
              <w:t>004532</w:t>
            </w:r>
          </w:p>
        </w:tc>
        <w:tc>
          <w:tcPr>
            <w:tcW w:w="668" w:type="pct"/>
            <w:tcBorders>
              <w:top w:val="single" w:color="auto" w:sz="4" w:space="0"/>
              <w:left w:val="single" w:color="auto" w:sz="4" w:space="0"/>
              <w:bottom w:val="single" w:color="auto" w:sz="4" w:space="0"/>
              <w:right w:val="single" w:color="auto" w:sz="4" w:space="0"/>
            </w:tcBorders>
            <w:vAlign w:val="center"/>
          </w:tcPr>
          <w:p w14:paraId="62C24F8B">
            <w:pPr>
              <w:pStyle w:val="67"/>
              <w:spacing w:line="240" w:lineRule="auto"/>
              <w:ind w:left="-56" w:right="-56"/>
              <w:rPr>
                <w:rFonts w:cs="Times New Roman"/>
                <w:sz w:val="24"/>
                <w:szCs w:val="24"/>
              </w:rPr>
            </w:pPr>
            <w:r>
              <w:rPr>
                <w:rFonts w:cs="Times New Roman"/>
                <w:sz w:val="24"/>
                <w:szCs w:val="24"/>
              </w:rPr>
              <w:t>采矿</w:t>
            </w:r>
          </w:p>
        </w:tc>
        <w:tc>
          <w:tcPr>
            <w:tcW w:w="842" w:type="pct"/>
            <w:tcBorders>
              <w:top w:val="single" w:color="auto" w:sz="4" w:space="0"/>
              <w:left w:val="single" w:color="auto" w:sz="4" w:space="0"/>
              <w:bottom w:val="single" w:color="auto" w:sz="4" w:space="0"/>
              <w:right w:val="single" w:color="auto" w:sz="4" w:space="0"/>
            </w:tcBorders>
            <w:vAlign w:val="center"/>
          </w:tcPr>
          <w:p w14:paraId="537276EA">
            <w:pPr>
              <w:spacing w:line="240" w:lineRule="auto"/>
              <w:ind w:firstLine="0" w:firstLineChars="0"/>
              <w:jc w:val="center"/>
              <w:rPr>
                <w:rFonts w:cs="Times New Roman"/>
                <w:sz w:val="24"/>
                <w:szCs w:val="24"/>
              </w:rPr>
            </w:pPr>
          </w:p>
        </w:tc>
      </w:tr>
    </w:tbl>
    <w:p w14:paraId="28E097E9">
      <w:pPr>
        <w:spacing w:before="190" w:beforeLines="50"/>
        <w:ind w:left="1" w:leftChars="-50" w:hanging="141" w:hangingChars="50"/>
        <w:rPr>
          <w:rFonts w:asciiTheme="minorHAnsi" w:hAnsiTheme="minorHAnsi" w:cstheme="minorHAnsi"/>
          <w:b/>
          <w:bCs/>
        </w:rPr>
      </w:pPr>
      <w:r>
        <w:rPr>
          <w:rFonts w:asciiTheme="minorHAnsi" w:hAnsiTheme="minorHAnsi" w:cstheme="minorHAnsi"/>
          <w:b/>
          <w:bCs/>
        </w:rPr>
        <w:t>出版审批：</w:t>
      </w:r>
    </w:p>
    <w:p w14:paraId="7F3F2B7B">
      <w:pPr>
        <w:spacing w:before="190" w:beforeLines="50"/>
        <w:ind w:leftChars="-50" w:hanging="140" w:hangingChars="50"/>
        <w:rPr>
          <w:rFonts w:asciiTheme="minorHAnsi" w:hAnsiTheme="minorHAnsi" w:cstheme="minorHAnsi"/>
        </w:rPr>
        <w:sectPr>
          <w:pgSz w:w="11906" w:h="16838"/>
          <w:pgMar w:top="1418" w:right="1418" w:bottom="1418" w:left="1418" w:header="851" w:footer="992" w:gutter="0"/>
          <w:cols w:space="425" w:num="1"/>
          <w:docGrid w:type="lines" w:linePitch="381" w:charSpace="0"/>
        </w:sectPr>
      </w:pPr>
    </w:p>
    <w:p w14:paraId="2091AA2F">
      <w:pPr>
        <w:pStyle w:val="3"/>
        <w:spacing w:beforeLines="0" w:afterLines="0"/>
        <w:rPr>
          <w:rFonts w:asciiTheme="minorHAnsi" w:hAnsiTheme="minorHAnsi" w:cstheme="minorHAnsi"/>
        </w:rPr>
      </w:pPr>
      <w:bookmarkStart w:id="26" w:name="_Toc199426926"/>
      <w:r>
        <w:rPr>
          <w:rFonts w:asciiTheme="minorHAnsi" w:hAnsiTheme="minorHAnsi" w:cstheme="minorHAnsi"/>
        </w:rPr>
        <w:t>前言</w:t>
      </w:r>
      <w:bookmarkEnd w:id="26"/>
    </w:p>
    <w:p w14:paraId="05CD920B">
      <w:pPr>
        <w:snapToGrid w:val="0"/>
        <w:spacing w:line="360" w:lineRule="auto"/>
        <w:ind w:firstLine="560"/>
        <w:rPr>
          <w:rFonts w:asciiTheme="minorHAnsi" w:hAnsiTheme="minorHAnsi" w:cstheme="minorHAnsi"/>
        </w:rPr>
      </w:pPr>
      <w:r>
        <w:rPr>
          <w:rFonts w:hint="eastAsia" w:asciiTheme="minorHAnsi" w:hAnsiTheme="minorHAnsi" w:cstheme="minorHAnsi"/>
        </w:rPr>
        <w:t>山东彭集矿业有限公司成立于2021年12月04日，注册地位于山东省泰安市东平经济开发区创业街创业创新公共平台2号楼502室，法定代表人为王博。经营范围包括一般项目：金属矿石销售；选矿；建筑材料销售；矿山机械销售；专用设备修理；地质勘查技术服务；劳务服务（不含劳务派遣）；工业工程设计服务。许可项目：矿产资源（非煤矿山）开采；道路货物运输（不含危险货物）；矿产资源勘查。</w:t>
      </w:r>
    </w:p>
    <w:p w14:paraId="4FFF5EAC">
      <w:pPr>
        <w:snapToGrid w:val="0"/>
        <w:spacing w:line="360" w:lineRule="auto"/>
        <w:ind w:firstLine="560"/>
        <w:rPr>
          <w:rFonts w:asciiTheme="minorHAnsi" w:hAnsiTheme="minorHAnsi" w:cstheme="minorHAnsi"/>
        </w:rPr>
      </w:pPr>
      <w:r>
        <w:rPr>
          <w:rFonts w:hint="eastAsia" w:asciiTheme="minorHAnsi" w:hAnsiTheme="minorHAnsi" w:cstheme="minorHAnsi"/>
        </w:rPr>
        <w:t>彭集铁矿于 2022 年 6 月 2 日取得了山东省自然资源厅颁发的采矿许可证，开采矿种：铁矿，开采方式：地下开采，生产规模：800.0万吨/年；2</w:t>
      </w:r>
      <w:r>
        <w:rPr>
          <w:rFonts w:asciiTheme="minorHAnsi" w:hAnsiTheme="minorHAnsi" w:cstheme="minorHAnsi"/>
        </w:rPr>
        <w:t>025</w:t>
      </w:r>
      <w:r>
        <w:rPr>
          <w:rFonts w:hint="eastAsia" w:asciiTheme="minorHAnsi" w:hAnsiTheme="minorHAnsi" w:cstheme="minorHAnsi"/>
        </w:rPr>
        <w:t>年1月，山东彭集矿业有限公司委托中冶北方（大连）工程技术有限公司编制了《山东彭集矿业有限公司彭集铁矿采选工程可行性研究报告》，彭集铁矿采矿工程为新建项目，设计彭集铁矿开采彭集矿段和冯家庄矿段，分两期进行开采，一期开采彭集矿段-475m水平以上矿体，二期开采彭集矿段-475m水平以下矿体和冯家庄矿段矿体。一期设计采用竖井开拓方式，垂直走向布置的阶段凿岩阶段空场嗣后充填采矿法和沿走向布置的分段凿岩阶段空场嗣后充填采矿方法，主要开拓工程有1条主井、1条副井、1条进风井、2条回风井和2条采区斜坡道；一期总生产规模为800万t/a，总体共服务22年（不含基建期），产量800万t/a，稳产11年。二期采用胶带斜井开拓系统，沿走向布置的分段凿岩阶段空场嗣后充填法，冯家庄矿段利用一期竖井开拓系统，彭集矿段开拓系统共设有1条胶带斜井、1条副井（利旧延伸）、1条倒段进风井、1条倒段回风井。二期总体规模可达450万t/a，总体共服务18年（不含基建期），产量450万t/a，稳产9年。</w:t>
      </w:r>
    </w:p>
    <w:p w14:paraId="1483114A">
      <w:pPr>
        <w:snapToGrid w:val="0"/>
        <w:spacing w:line="360" w:lineRule="auto"/>
        <w:ind w:firstLine="560"/>
        <w:rPr>
          <w:rFonts w:asciiTheme="minorHAnsi" w:hAnsiTheme="minorHAnsi" w:cstheme="minorHAnsi"/>
        </w:rPr>
      </w:pPr>
      <w:r>
        <w:rPr>
          <w:rFonts w:asciiTheme="minorHAnsi" w:hAnsiTheme="minorHAnsi" w:cstheme="minorHAnsi"/>
        </w:rPr>
        <w:t>根据《中华人民共和国安全生产法》、《建设项目安全设施“三同时”监督管理办法》等国家有关法律法规的要求，</w:t>
      </w:r>
      <w:r>
        <w:rPr>
          <w:rFonts w:hint="eastAsia" w:asciiTheme="minorHAnsi" w:hAnsiTheme="minorHAnsi" w:cstheme="minorHAnsi"/>
        </w:rPr>
        <w:t>新建</w:t>
      </w:r>
      <w:r>
        <w:rPr>
          <w:rFonts w:asciiTheme="minorHAnsi" w:hAnsiTheme="minorHAnsi" w:cstheme="minorHAnsi"/>
        </w:rPr>
        <w:t>矿山项目在其可行性研究阶段应进行安全预评价，为此，</w:t>
      </w:r>
      <w:r>
        <w:rPr>
          <w:rFonts w:hint="eastAsia" w:asciiTheme="minorHAnsi" w:hAnsiTheme="minorHAnsi" w:cstheme="minorHAnsi"/>
        </w:rPr>
        <w:t>山东彭集矿业有限公司</w:t>
      </w:r>
      <w:r>
        <w:rPr>
          <w:rFonts w:asciiTheme="minorHAnsi" w:hAnsiTheme="minorHAnsi" w:cstheme="minorHAnsi"/>
        </w:rPr>
        <w:t>委托我公司（北京国信安科技术有限公司）进行该项目安全预评价工作。我公司接受委托后立即组建了安全评价小组，到企业现场踏勘，与相关人员进行座谈，交换意见，并收集相关资料，完成了现场调查工作。</w:t>
      </w:r>
    </w:p>
    <w:p w14:paraId="033AF497">
      <w:pPr>
        <w:snapToGrid w:val="0"/>
        <w:spacing w:line="360" w:lineRule="auto"/>
        <w:ind w:firstLine="560"/>
        <w:rPr>
          <w:rFonts w:asciiTheme="minorHAnsi" w:hAnsiTheme="minorHAnsi" w:cstheme="minorHAnsi"/>
        </w:rPr>
      </w:pPr>
      <w:r>
        <w:rPr>
          <w:rFonts w:asciiTheme="minorHAnsi" w:hAnsiTheme="minorHAnsi" w:cstheme="minorHAnsi"/>
        </w:rPr>
        <w:t>本次安全预评价根据现行的《中华人民共和国安全生产法》、《中华人民共和国矿山安全法》和《国家安全监管总局关于印发金属非金属矿山建设项目安全评价报告编写提纲的通知》（安监总管一〔2016〕49号）等有关法律法规、规范性文件的要求，遵循科学性、公正性、合法性和针对性原则，对本项目可能存在的危险、有害因素的种类和危险有害程度进行客观、科学地分析评价，提出有针对性的安全对策措施及建议，形成本《安全预评价报告》。</w:t>
      </w:r>
    </w:p>
    <w:p w14:paraId="07C5FAE2">
      <w:pPr>
        <w:snapToGrid w:val="0"/>
        <w:spacing w:line="360" w:lineRule="auto"/>
        <w:ind w:firstLine="560"/>
        <w:rPr>
          <w:rFonts w:asciiTheme="minorHAnsi" w:hAnsiTheme="minorHAnsi" w:cstheme="minorHAnsi"/>
        </w:rPr>
      </w:pPr>
      <w:r>
        <w:rPr>
          <w:rFonts w:asciiTheme="minorHAnsi" w:hAnsiTheme="minorHAnsi" w:cstheme="minorHAnsi"/>
        </w:rPr>
        <w:t>在本安全预评价报告编制过程中，得到了国家矿山安全监察局、各级应急管理部门、非煤矿山方面的有关专家和</w:t>
      </w:r>
      <w:r>
        <w:rPr>
          <w:rFonts w:hint="eastAsia" w:asciiTheme="minorHAnsi" w:hAnsiTheme="minorHAnsi" w:cstheme="minorHAnsi"/>
        </w:rPr>
        <w:t>山东彭集矿业有限公司</w:t>
      </w:r>
      <w:r>
        <w:rPr>
          <w:rFonts w:asciiTheme="minorHAnsi" w:hAnsiTheme="minorHAnsi" w:cstheme="minorHAnsi"/>
        </w:rPr>
        <w:t>有关人员的大力支持，在此一并表示感谢！</w:t>
      </w:r>
    </w:p>
    <w:p w14:paraId="51366228">
      <w:pPr>
        <w:spacing w:line="480" w:lineRule="exact"/>
        <w:ind w:firstLine="560"/>
        <w:rPr>
          <w:rFonts w:asciiTheme="minorHAnsi" w:hAnsiTheme="minorHAnsi" w:cstheme="minorHAnsi"/>
        </w:rPr>
      </w:pPr>
    </w:p>
    <w:p w14:paraId="50835030">
      <w:pPr>
        <w:pStyle w:val="3"/>
        <w:snapToGrid w:val="0"/>
        <w:spacing w:beforeLines="0" w:afterLines="0"/>
        <w:rPr>
          <w:rFonts w:asciiTheme="minorHAnsi" w:hAnsiTheme="minorHAnsi" w:cstheme="minorHAnsi"/>
        </w:rPr>
        <w:sectPr>
          <w:headerReference r:id="rId11" w:type="default"/>
          <w:footerReference r:id="rId12" w:type="default"/>
          <w:pgSz w:w="11906" w:h="16838"/>
          <w:pgMar w:top="1418" w:right="1418" w:bottom="1418" w:left="1418" w:header="851" w:footer="992" w:gutter="0"/>
          <w:pgNumType w:fmt="upperRoman" w:start="1"/>
          <w:cols w:space="425" w:num="1"/>
          <w:docGrid w:type="lines" w:linePitch="381" w:charSpace="0"/>
        </w:sectPr>
      </w:pPr>
      <w:bookmarkStart w:id="27" w:name="_Toc89171636"/>
      <w:bookmarkStart w:id="28" w:name="_Toc102986551"/>
    </w:p>
    <w:p w14:paraId="3BB40C5F">
      <w:pPr>
        <w:pStyle w:val="3"/>
        <w:snapToGrid w:val="0"/>
        <w:spacing w:beforeLines="0" w:afterLines="0"/>
        <w:rPr>
          <w:rFonts w:cs="Times New Roman"/>
          <w:sz w:val="28"/>
          <w:szCs w:val="28"/>
        </w:rPr>
      </w:pPr>
      <w:bookmarkStart w:id="29" w:name="_Toc173312531"/>
      <w:bookmarkStart w:id="30" w:name="_Toc199426927"/>
      <w:r>
        <w:rPr>
          <w:rFonts w:asciiTheme="minorHAnsi" w:hAnsiTheme="minorHAnsi" w:cstheme="minorHAnsi"/>
        </w:rPr>
        <w:t>目录</w:t>
      </w:r>
      <w:bookmarkEnd w:id="27"/>
      <w:bookmarkEnd w:id="28"/>
      <w:bookmarkEnd w:id="29"/>
      <w:bookmarkEnd w:id="30"/>
      <w:r>
        <w:rPr>
          <w:rFonts w:cs="Times New Roman"/>
          <w:sz w:val="28"/>
          <w:szCs w:val="28"/>
        </w:rPr>
        <w:fldChar w:fldCharType="begin"/>
      </w:r>
      <w:r>
        <w:rPr>
          <w:rFonts w:cs="Times New Roman"/>
          <w:sz w:val="28"/>
          <w:szCs w:val="28"/>
        </w:rPr>
        <w:instrText xml:space="preserve">TOC \o "1-2" \h \z \u</w:instrText>
      </w:r>
      <w:r>
        <w:rPr>
          <w:rFonts w:cs="Times New Roman"/>
          <w:sz w:val="28"/>
          <w:szCs w:val="28"/>
        </w:rPr>
        <w:fldChar w:fldCharType="separate"/>
      </w:r>
    </w:p>
    <w:p w14:paraId="054B6372">
      <w:pPr>
        <w:pStyle w:val="36"/>
        <w:tabs>
          <w:tab w:val="right" w:leader="dot" w:pos="9060"/>
        </w:tabs>
        <w:snapToGrid w:val="0"/>
        <w:spacing w:after="0"/>
        <w:ind w:firstLine="562"/>
        <w:rPr>
          <w:b w:val="0"/>
          <w:kern w:val="2"/>
          <w:sz w:val="28"/>
          <w:szCs w:val="28"/>
        </w:rPr>
      </w:pPr>
      <w:r>
        <w:fldChar w:fldCharType="begin"/>
      </w:r>
      <w:r>
        <w:instrText xml:space="preserve"> HYPERLINK \l "_Toc199426926" </w:instrText>
      </w:r>
      <w:r>
        <w:fldChar w:fldCharType="separate"/>
      </w:r>
      <w:r>
        <w:rPr>
          <w:rStyle w:val="63"/>
          <w:sz w:val="28"/>
          <w:szCs w:val="28"/>
        </w:rPr>
        <w:t>前言</w:t>
      </w:r>
      <w:r>
        <w:rPr>
          <w:sz w:val="28"/>
          <w:szCs w:val="28"/>
        </w:rPr>
        <w:tab/>
      </w:r>
      <w:r>
        <w:rPr>
          <w:sz w:val="28"/>
          <w:szCs w:val="28"/>
        </w:rPr>
        <w:fldChar w:fldCharType="begin"/>
      </w:r>
      <w:r>
        <w:rPr>
          <w:sz w:val="28"/>
          <w:szCs w:val="28"/>
        </w:rPr>
        <w:instrText xml:space="preserve"> PAGEREF _Toc199426926 \h </w:instrText>
      </w:r>
      <w:r>
        <w:rPr>
          <w:sz w:val="28"/>
          <w:szCs w:val="28"/>
        </w:rPr>
        <w:fldChar w:fldCharType="separate"/>
      </w:r>
      <w:r>
        <w:rPr>
          <w:sz w:val="28"/>
          <w:szCs w:val="28"/>
        </w:rPr>
        <w:t>I</w:t>
      </w:r>
      <w:r>
        <w:rPr>
          <w:sz w:val="28"/>
          <w:szCs w:val="28"/>
        </w:rPr>
        <w:fldChar w:fldCharType="end"/>
      </w:r>
      <w:r>
        <w:rPr>
          <w:sz w:val="28"/>
          <w:szCs w:val="28"/>
        </w:rPr>
        <w:fldChar w:fldCharType="end"/>
      </w:r>
    </w:p>
    <w:p w14:paraId="3832B21B">
      <w:pPr>
        <w:pStyle w:val="36"/>
        <w:tabs>
          <w:tab w:val="right" w:leader="dot" w:pos="9060"/>
        </w:tabs>
        <w:snapToGrid w:val="0"/>
        <w:spacing w:after="0"/>
        <w:ind w:firstLine="562"/>
        <w:rPr>
          <w:b w:val="0"/>
          <w:kern w:val="2"/>
          <w:sz w:val="28"/>
          <w:szCs w:val="28"/>
        </w:rPr>
      </w:pPr>
      <w:r>
        <w:fldChar w:fldCharType="begin"/>
      </w:r>
      <w:r>
        <w:instrText xml:space="preserve"> HYPERLINK \l "_Toc199426927" </w:instrText>
      </w:r>
      <w:r>
        <w:fldChar w:fldCharType="separate"/>
      </w:r>
      <w:r>
        <w:rPr>
          <w:rStyle w:val="63"/>
          <w:sz w:val="28"/>
          <w:szCs w:val="28"/>
        </w:rPr>
        <w:t>目录</w:t>
      </w:r>
      <w:r>
        <w:rPr>
          <w:sz w:val="28"/>
          <w:szCs w:val="28"/>
        </w:rPr>
        <w:tab/>
      </w:r>
      <w:r>
        <w:rPr>
          <w:sz w:val="28"/>
          <w:szCs w:val="28"/>
        </w:rPr>
        <w:fldChar w:fldCharType="begin"/>
      </w:r>
      <w:r>
        <w:rPr>
          <w:sz w:val="28"/>
          <w:szCs w:val="28"/>
        </w:rPr>
        <w:instrText xml:space="preserve"> PAGEREF _Toc199426927 \h </w:instrText>
      </w:r>
      <w:r>
        <w:rPr>
          <w:sz w:val="28"/>
          <w:szCs w:val="28"/>
        </w:rPr>
        <w:fldChar w:fldCharType="separate"/>
      </w:r>
      <w:r>
        <w:rPr>
          <w:sz w:val="28"/>
          <w:szCs w:val="28"/>
        </w:rPr>
        <w:t>III</w:t>
      </w:r>
      <w:r>
        <w:rPr>
          <w:sz w:val="28"/>
          <w:szCs w:val="28"/>
        </w:rPr>
        <w:fldChar w:fldCharType="end"/>
      </w:r>
      <w:r>
        <w:rPr>
          <w:sz w:val="28"/>
          <w:szCs w:val="28"/>
        </w:rPr>
        <w:fldChar w:fldCharType="end"/>
      </w:r>
    </w:p>
    <w:p w14:paraId="0BE7774D">
      <w:pPr>
        <w:pStyle w:val="36"/>
        <w:tabs>
          <w:tab w:val="right" w:leader="dot" w:pos="9060"/>
        </w:tabs>
        <w:snapToGrid w:val="0"/>
        <w:spacing w:after="0"/>
        <w:ind w:firstLine="562"/>
        <w:rPr>
          <w:b w:val="0"/>
          <w:kern w:val="2"/>
          <w:sz w:val="28"/>
          <w:szCs w:val="28"/>
        </w:rPr>
      </w:pPr>
      <w:r>
        <w:fldChar w:fldCharType="begin"/>
      </w:r>
      <w:r>
        <w:instrText xml:space="preserve"> HYPERLINK \l "_Toc199426928" </w:instrText>
      </w:r>
      <w:r>
        <w:fldChar w:fldCharType="separate"/>
      </w:r>
      <w:r>
        <w:rPr>
          <w:rStyle w:val="63"/>
          <w:sz w:val="28"/>
          <w:szCs w:val="28"/>
        </w:rPr>
        <w:t>1评价对象与依据</w:t>
      </w:r>
      <w:r>
        <w:rPr>
          <w:sz w:val="28"/>
          <w:szCs w:val="28"/>
        </w:rPr>
        <w:tab/>
      </w:r>
      <w:r>
        <w:rPr>
          <w:sz w:val="28"/>
          <w:szCs w:val="28"/>
        </w:rPr>
        <w:fldChar w:fldCharType="begin"/>
      </w:r>
      <w:r>
        <w:rPr>
          <w:sz w:val="28"/>
          <w:szCs w:val="28"/>
        </w:rPr>
        <w:instrText xml:space="preserve"> PAGEREF _Toc199426928 \h </w:instrText>
      </w:r>
      <w:r>
        <w:rPr>
          <w:sz w:val="28"/>
          <w:szCs w:val="28"/>
        </w:rPr>
        <w:fldChar w:fldCharType="separate"/>
      </w:r>
      <w:r>
        <w:rPr>
          <w:sz w:val="28"/>
          <w:szCs w:val="28"/>
        </w:rPr>
        <w:t>1</w:t>
      </w:r>
      <w:r>
        <w:rPr>
          <w:sz w:val="28"/>
          <w:szCs w:val="28"/>
        </w:rPr>
        <w:fldChar w:fldCharType="end"/>
      </w:r>
      <w:r>
        <w:rPr>
          <w:sz w:val="28"/>
          <w:szCs w:val="28"/>
        </w:rPr>
        <w:fldChar w:fldCharType="end"/>
      </w:r>
    </w:p>
    <w:p w14:paraId="49D86F02">
      <w:pPr>
        <w:pStyle w:val="46"/>
        <w:tabs>
          <w:tab w:val="right" w:leader="dot" w:pos="9060"/>
        </w:tabs>
        <w:snapToGrid w:val="0"/>
        <w:ind w:left="560" w:firstLine="560"/>
        <w:rPr>
          <w:kern w:val="2"/>
          <w:sz w:val="28"/>
          <w:szCs w:val="28"/>
        </w:rPr>
      </w:pPr>
      <w:r>
        <w:fldChar w:fldCharType="begin"/>
      </w:r>
      <w:r>
        <w:instrText xml:space="preserve"> HYPERLINK \l "_Toc199426929" </w:instrText>
      </w:r>
      <w:r>
        <w:fldChar w:fldCharType="separate"/>
      </w:r>
      <w:r>
        <w:rPr>
          <w:rStyle w:val="63"/>
          <w:sz w:val="28"/>
          <w:szCs w:val="28"/>
        </w:rPr>
        <w:t>1.1评价对象和范围</w:t>
      </w:r>
      <w:r>
        <w:rPr>
          <w:sz w:val="28"/>
          <w:szCs w:val="28"/>
        </w:rPr>
        <w:tab/>
      </w:r>
      <w:r>
        <w:rPr>
          <w:sz w:val="28"/>
          <w:szCs w:val="28"/>
        </w:rPr>
        <w:fldChar w:fldCharType="begin"/>
      </w:r>
      <w:r>
        <w:rPr>
          <w:sz w:val="28"/>
          <w:szCs w:val="28"/>
        </w:rPr>
        <w:instrText xml:space="preserve"> PAGEREF _Toc199426929 \h </w:instrText>
      </w:r>
      <w:r>
        <w:rPr>
          <w:sz w:val="28"/>
          <w:szCs w:val="28"/>
        </w:rPr>
        <w:fldChar w:fldCharType="separate"/>
      </w:r>
      <w:r>
        <w:rPr>
          <w:sz w:val="28"/>
          <w:szCs w:val="28"/>
        </w:rPr>
        <w:t>1</w:t>
      </w:r>
      <w:r>
        <w:rPr>
          <w:sz w:val="28"/>
          <w:szCs w:val="28"/>
        </w:rPr>
        <w:fldChar w:fldCharType="end"/>
      </w:r>
      <w:r>
        <w:rPr>
          <w:sz w:val="28"/>
          <w:szCs w:val="28"/>
        </w:rPr>
        <w:fldChar w:fldCharType="end"/>
      </w:r>
    </w:p>
    <w:p w14:paraId="0F2775BF">
      <w:pPr>
        <w:pStyle w:val="46"/>
        <w:tabs>
          <w:tab w:val="right" w:leader="dot" w:pos="9060"/>
        </w:tabs>
        <w:snapToGrid w:val="0"/>
        <w:ind w:left="560" w:firstLine="560"/>
        <w:rPr>
          <w:kern w:val="2"/>
          <w:sz w:val="28"/>
          <w:szCs w:val="28"/>
        </w:rPr>
      </w:pPr>
      <w:r>
        <w:fldChar w:fldCharType="begin"/>
      </w:r>
      <w:r>
        <w:instrText xml:space="preserve"> HYPERLINK \l "_Toc199426930" </w:instrText>
      </w:r>
      <w:r>
        <w:fldChar w:fldCharType="separate"/>
      </w:r>
      <w:r>
        <w:rPr>
          <w:rStyle w:val="63"/>
          <w:sz w:val="28"/>
          <w:szCs w:val="28"/>
        </w:rPr>
        <w:t>1.2评价依据</w:t>
      </w:r>
      <w:r>
        <w:rPr>
          <w:sz w:val="28"/>
          <w:szCs w:val="28"/>
        </w:rPr>
        <w:tab/>
      </w:r>
      <w:r>
        <w:rPr>
          <w:sz w:val="28"/>
          <w:szCs w:val="28"/>
        </w:rPr>
        <w:fldChar w:fldCharType="begin"/>
      </w:r>
      <w:r>
        <w:rPr>
          <w:sz w:val="28"/>
          <w:szCs w:val="28"/>
        </w:rPr>
        <w:instrText xml:space="preserve"> PAGEREF _Toc199426930 \h </w:instrText>
      </w:r>
      <w:r>
        <w:rPr>
          <w:sz w:val="28"/>
          <w:szCs w:val="28"/>
        </w:rPr>
        <w:fldChar w:fldCharType="separate"/>
      </w:r>
      <w:r>
        <w:rPr>
          <w:sz w:val="28"/>
          <w:szCs w:val="28"/>
        </w:rPr>
        <w:t>1</w:t>
      </w:r>
      <w:r>
        <w:rPr>
          <w:sz w:val="28"/>
          <w:szCs w:val="28"/>
        </w:rPr>
        <w:fldChar w:fldCharType="end"/>
      </w:r>
      <w:r>
        <w:rPr>
          <w:sz w:val="28"/>
          <w:szCs w:val="28"/>
        </w:rPr>
        <w:fldChar w:fldCharType="end"/>
      </w:r>
    </w:p>
    <w:p w14:paraId="77DCE7F1">
      <w:pPr>
        <w:pStyle w:val="36"/>
        <w:tabs>
          <w:tab w:val="right" w:leader="dot" w:pos="9060"/>
        </w:tabs>
        <w:snapToGrid w:val="0"/>
        <w:spacing w:after="0"/>
        <w:ind w:firstLine="562"/>
        <w:rPr>
          <w:b w:val="0"/>
          <w:kern w:val="2"/>
          <w:sz w:val="28"/>
          <w:szCs w:val="28"/>
        </w:rPr>
      </w:pPr>
      <w:r>
        <w:fldChar w:fldCharType="begin"/>
      </w:r>
      <w:r>
        <w:instrText xml:space="preserve"> HYPERLINK \l "_Toc199426931" </w:instrText>
      </w:r>
      <w:r>
        <w:fldChar w:fldCharType="separate"/>
      </w:r>
      <w:r>
        <w:rPr>
          <w:rStyle w:val="63"/>
          <w:sz w:val="28"/>
          <w:szCs w:val="28"/>
        </w:rPr>
        <w:t>2建设项目概述</w:t>
      </w:r>
      <w:r>
        <w:rPr>
          <w:sz w:val="28"/>
          <w:szCs w:val="28"/>
        </w:rPr>
        <w:tab/>
      </w:r>
      <w:r>
        <w:rPr>
          <w:sz w:val="28"/>
          <w:szCs w:val="28"/>
        </w:rPr>
        <w:fldChar w:fldCharType="begin"/>
      </w:r>
      <w:r>
        <w:rPr>
          <w:sz w:val="28"/>
          <w:szCs w:val="28"/>
        </w:rPr>
        <w:instrText xml:space="preserve"> PAGEREF _Toc199426931 \h </w:instrText>
      </w:r>
      <w:r>
        <w:rPr>
          <w:sz w:val="28"/>
          <w:szCs w:val="28"/>
        </w:rPr>
        <w:fldChar w:fldCharType="separate"/>
      </w:r>
      <w:r>
        <w:rPr>
          <w:sz w:val="28"/>
          <w:szCs w:val="28"/>
        </w:rPr>
        <w:t>10</w:t>
      </w:r>
      <w:r>
        <w:rPr>
          <w:sz w:val="28"/>
          <w:szCs w:val="28"/>
        </w:rPr>
        <w:fldChar w:fldCharType="end"/>
      </w:r>
      <w:r>
        <w:rPr>
          <w:sz w:val="28"/>
          <w:szCs w:val="28"/>
        </w:rPr>
        <w:fldChar w:fldCharType="end"/>
      </w:r>
    </w:p>
    <w:p w14:paraId="70BAF44C">
      <w:pPr>
        <w:pStyle w:val="46"/>
        <w:tabs>
          <w:tab w:val="right" w:leader="dot" w:pos="9060"/>
        </w:tabs>
        <w:snapToGrid w:val="0"/>
        <w:ind w:left="560" w:firstLine="560"/>
        <w:rPr>
          <w:kern w:val="2"/>
          <w:sz w:val="28"/>
          <w:szCs w:val="28"/>
        </w:rPr>
      </w:pPr>
      <w:r>
        <w:fldChar w:fldCharType="begin"/>
      </w:r>
      <w:r>
        <w:instrText xml:space="preserve"> HYPERLINK \l "_Toc199426932" </w:instrText>
      </w:r>
      <w:r>
        <w:fldChar w:fldCharType="separate"/>
      </w:r>
      <w:r>
        <w:rPr>
          <w:rStyle w:val="63"/>
          <w:sz w:val="28"/>
          <w:szCs w:val="28"/>
        </w:rPr>
        <w:t>2.1建设单位概况</w:t>
      </w:r>
      <w:r>
        <w:rPr>
          <w:sz w:val="28"/>
          <w:szCs w:val="28"/>
        </w:rPr>
        <w:tab/>
      </w:r>
      <w:r>
        <w:rPr>
          <w:sz w:val="28"/>
          <w:szCs w:val="28"/>
        </w:rPr>
        <w:fldChar w:fldCharType="begin"/>
      </w:r>
      <w:r>
        <w:rPr>
          <w:sz w:val="28"/>
          <w:szCs w:val="28"/>
        </w:rPr>
        <w:instrText xml:space="preserve"> PAGEREF _Toc199426932 \h </w:instrText>
      </w:r>
      <w:r>
        <w:rPr>
          <w:sz w:val="28"/>
          <w:szCs w:val="28"/>
        </w:rPr>
        <w:fldChar w:fldCharType="separate"/>
      </w:r>
      <w:r>
        <w:rPr>
          <w:sz w:val="28"/>
          <w:szCs w:val="28"/>
        </w:rPr>
        <w:t>10</w:t>
      </w:r>
      <w:r>
        <w:rPr>
          <w:sz w:val="28"/>
          <w:szCs w:val="28"/>
        </w:rPr>
        <w:fldChar w:fldCharType="end"/>
      </w:r>
      <w:r>
        <w:rPr>
          <w:sz w:val="28"/>
          <w:szCs w:val="28"/>
        </w:rPr>
        <w:fldChar w:fldCharType="end"/>
      </w:r>
    </w:p>
    <w:p w14:paraId="4F3AE93E">
      <w:pPr>
        <w:pStyle w:val="46"/>
        <w:tabs>
          <w:tab w:val="right" w:leader="dot" w:pos="9060"/>
        </w:tabs>
        <w:snapToGrid w:val="0"/>
        <w:ind w:left="560" w:firstLine="560"/>
        <w:rPr>
          <w:kern w:val="2"/>
          <w:sz w:val="28"/>
          <w:szCs w:val="28"/>
        </w:rPr>
      </w:pPr>
      <w:r>
        <w:fldChar w:fldCharType="begin"/>
      </w:r>
      <w:r>
        <w:instrText xml:space="preserve"> HYPERLINK \l "_Toc199426933" </w:instrText>
      </w:r>
      <w:r>
        <w:fldChar w:fldCharType="separate"/>
      </w:r>
      <w:r>
        <w:rPr>
          <w:rStyle w:val="63"/>
          <w:sz w:val="28"/>
          <w:szCs w:val="28"/>
        </w:rPr>
        <w:t>2.2自然环境概况</w:t>
      </w:r>
      <w:r>
        <w:rPr>
          <w:sz w:val="28"/>
          <w:szCs w:val="28"/>
        </w:rPr>
        <w:tab/>
      </w:r>
      <w:r>
        <w:rPr>
          <w:sz w:val="28"/>
          <w:szCs w:val="28"/>
        </w:rPr>
        <w:fldChar w:fldCharType="begin"/>
      </w:r>
      <w:r>
        <w:rPr>
          <w:sz w:val="28"/>
          <w:szCs w:val="28"/>
        </w:rPr>
        <w:instrText xml:space="preserve"> PAGEREF _Toc199426933 \h </w:instrText>
      </w:r>
      <w:r>
        <w:rPr>
          <w:sz w:val="28"/>
          <w:szCs w:val="28"/>
        </w:rPr>
        <w:fldChar w:fldCharType="separate"/>
      </w:r>
      <w:r>
        <w:rPr>
          <w:sz w:val="28"/>
          <w:szCs w:val="28"/>
        </w:rPr>
        <w:t>13</w:t>
      </w:r>
      <w:r>
        <w:rPr>
          <w:sz w:val="28"/>
          <w:szCs w:val="28"/>
        </w:rPr>
        <w:fldChar w:fldCharType="end"/>
      </w:r>
      <w:r>
        <w:rPr>
          <w:sz w:val="28"/>
          <w:szCs w:val="28"/>
        </w:rPr>
        <w:fldChar w:fldCharType="end"/>
      </w:r>
    </w:p>
    <w:p w14:paraId="2212BD14">
      <w:pPr>
        <w:pStyle w:val="46"/>
        <w:tabs>
          <w:tab w:val="right" w:leader="dot" w:pos="9060"/>
        </w:tabs>
        <w:snapToGrid w:val="0"/>
        <w:ind w:left="560" w:firstLine="560"/>
        <w:rPr>
          <w:kern w:val="2"/>
          <w:sz w:val="28"/>
          <w:szCs w:val="28"/>
        </w:rPr>
      </w:pPr>
      <w:r>
        <w:fldChar w:fldCharType="begin"/>
      </w:r>
      <w:r>
        <w:instrText xml:space="preserve"> HYPERLINK \l "_Toc199426934" </w:instrText>
      </w:r>
      <w:r>
        <w:fldChar w:fldCharType="separate"/>
      </w:r>
      <w:r>
        <w:rPr>
          <w:rStyle w:val="63"/>
          <w:sz w:val="28"/>
          <w:szCs w:val="28"/>
        </w:rPr>
        <w:t>2.3建设项目地质概况</w:t>
      </w:r>
      <w:r>
        <w:rPr>
          <w:sz w:val="28"/>
          <w:szCs w:val="28"/>
        </w:rPr>
        <w:tab/>
      </w:r>
      <w:r>
        <w:rPr>
          <w:sz w:val="28"/>
          <w:szCs w:val="28"/>
        </w:rPr>
        <w:fldChar w:fldCharType="begin"/>
      </w:r>
      <w:r>
        <w:rPr>
          <w:sz w:val="28"/>
          <w:szCs w:val="28"/>
        </w:rPr>
        <w:instrText xml:space="preserve"> PAGEREF _Toc199426934 \h </w:instrText>
      </w:r>
      <w:r>
        <w:rPr>
          <w:sz w:val="28"/>
          <w:szCs w:val="28"/>
        </w:rPr>
        <w:fldChar w:fldCharType="separate"/>
      </w:r>
      <w:r>
        <w:rPr>
          <w:sz w:val="28"/>
          <w:szCs w:val="28"/>
        </w:rPr>
        <w:t>14</w:t>
      </w:r>
      <w:r>
        <w:rPr>
          <w:sz w:val="28"/>
          <w:szCs w:val="28"/>
        </w:rPr>
        <w:fldChar w:fldCharType="end"/>
      </w:r>
      <w:r>
        <w:rPr>
          <w:sz w:val="28"/>
          <w:szCs w:val="28"/>
        </w:rPr>
        <w:fldChar w:fldCharType="end"/>
      </w:r>
    </w:p>
    <w:p w14:paraId="43EC5BAB">
      <w:pPr>
        <w:pStyle w:val="46"/>
        <w:tabs>
          <w:tab w:val="right" w:leader="dot" w:pos="9060"/>
        </w:tabs>
        <w:snapToGrid w:val="0"/>
        <w:ind w:left="560" w:firstLine="560"/>
        <w:rPr>
          <w:kern w:val="2"/>
          <w:sz w:val="28"/>
          <w:szCs w:val="28"/>
        </w:rPr>
      </w:pPr>
      <w:r>
        <w:fldChar w:fldCharType="begin"/>
      </w:r>
      <w:r>
        <w:instrText xml:space="preserve"> HYPERLINK \l "_Toc199426935" </w:instrText>
      </w:r>
      <w:r>
        <w:fldChar w:fldCharType="separate"/>
      </w:r>
      <w:r>
        <w:rPr>
          <w:rStyle w:val="63"/>
          <w:sz w:val="28"/>
          <w:szCs w:val="28"/>
        </w:rPr>
        <w:t>2.4工程建设方案概况</w:t>
      </w:r>
      <w:r>
        <w:rPr>
          <w:sz w:val="28"/>
          <w:szCs w:val="28"/>
        </w:rPr>
        <w:tab/>
      </w:r>
      <w:r>
        <w:rPr>
          <w:sz w:val="28"/>
          <w:szCs w:val="28"/>
        </w:rPr>
        <w:fldChar w:fldCharType="begin"/>
      </w:r>
      <w:r>
        <w:rPr>
          <w:sz w:val="28"/>
          <w:szCs w:val="28"/>
        </w:rPr>
        <w:instrText xml:space="preserve"> PAGEREF _Toc199426935 \h </w:instrText>
      </w:r>
      <w:r>
        <w:rPr>
          <w:sz w:val="28"/>
          <w:szCs w:val="28"/>
        </w:rPr>
        <w:fldChar w:fldCharType="separate"/>
      </w:r>
      <w:r>
        <w:rPr>
          <w:sz w:val="28"/>
          <w:szCs w:val="28"/>
        </w:rPr>
        <w:t>27</w:t>
      </w:r>
      <w:r>
        <w:rPr>
          <w:sz w:val="28"/>
          <w:szCs w:val="28"/>
        </w:rPr>
        <w:fldChar w:fldCharType="end"/>
      </w:r>
      <w:r>
        <w:rPr>
          <w:sz w:val="28"/>
          <w:szCs w:val="28"/>
        </w:rPr>
        <w:fldChar w:fldCharType="end"/>
      </w:r>
    </w:p>
    <w:p w14:paraId="5D8579D3">
      <w:pPr>
        <w:pStyle w:val="36"/>
        <w:tabs>
          <w:tab w:val="right" w:leader="dot" w:pos="9060"/>
        </w:tabs>
        <w:snapToGrid w:val="0"/>
        <w:spacing w:after="0"/>
        <w:ind w:firstLine="562"/>
        <w:rPr>
          <w:b w:val="0"/>
          <w:kern w:val="2"/>
          <w:sz w:val="28"/>
          <w:szCs w:val="28"/>
        </w:rPr>
      </w:pPr>
      <w:r>
        <w:fldChar w:fldCharType="begin"/>
      </w:r>
      <w:r>
        <w:instrText xml:space="preserve"> HYPERLINK \l "_Toc199426936" </w:instrText>
      </w:r>
      <w:r>
        <w:fldChar w:fldCharType="separate"/>
      </w:r>
      <w:r>
        <w:rPr>
          <w:rStyle w:val="63"/>
          <w:sz w:val="28"/>
          <w:szCs w:val="28"/>
        </w:rPr>
        <w:t>3定性定量评价</w:t>
      </w:r>
      <w:r>
        <w:rPr>
          <w:sz w:val="28"/>
          <w:szCs w:val="28"/>
        </w:rPr>
        <w:tab/>
      </w:r>
      <w:r>
        <w:rPr>
          <w:sz w:val="28"/>
          <w:szCs w:val="28"/>
        </w:rPr>
        <w:fldChar w:fldCharType="begin"/>
      </w:r>
      <w:r>
        <w:rPr>
          <w:sz w:val="28"/>
          <w:szCs w:val="28"/>
        </w:rPr>
        <w:instrText xml:space="preserve"> PAGEREF _Toc199426936 \h </w:instrText>
      </w:r>
      <w:r>
        <w:rPr>
          <w:sz w:val="28"/>
          <w:szCs w:val="28"/>
        </w:rPr>
        <w:fldChar w:fldCharType="separate"/>
      </w:r>
      <w:r>
        <w:rPr>
          <w:sz w:val="28"/>
          <w:szCs w:val="28"/>
        </w:rPr>
        <w:t>58</w:t>
      </w:r>
      <w:r>
        <w:rPr>
          <w:sz w:val="28"/>
          <w:szCs w:val="28"/>
        </w:rPr>
        <w:fldChar w:fldCharType="end"/>
      </w:r>
      <w:r>
        <w:rPr>
          <w:sz w:val="28"/>
          <w:szCs w:val="28"/>
        </w:rPr>
        <w:fldChar w:fldCharType="end"/>
      </w:r>
    </w:p>
    <w:p w14:paraId="649F7129">
      <w:pPr>
        <w:pStyle w:val="46"/>
        <w:tabs>
          <w:tab w:val="right" w:leader="dot" w:pos="9060"/>
        </w:tabs>
        <w:snapToGrid w:val="0"/>
        <w:ind w:left="560" w:firstLine="560"/>
        <w:rPr>
          <w:kern w:val="2"/>
          <w:sz w:val="28"/>
          <w:szCs w:val="28"/>
        </w:rPr>
      </w:pPr>
      <w:r>
        <w:fldChar w:fldCharType="begin"/>
      </w:r>
      <w:r>
        <w:instrText xml:space="preserve"> HYPERLINK \l "_Toc199426937" </w:instrText>
      </w:r>
      <w:r>
        <w:fldChar w:fldCharType="separate"/>
      </w:r>
      <w:r>
        <w:rPr>
          <w:rStyle w:val="63"/>
          <w:sz w:val="28"/>
          <w:szCs w:val="28"/>
        </w:rPr>
        <w:t>3.1总平面布置单元</w:t>
      </w:r>
      <w:r>
        <w:rPr>
          <w:sz w:val="28"/>
          <w:szCs w:val="28"/>
        </w:rPr>
        <w:tab/>
      </w:r>
      <w:r>
        <w:rPr>
          <w:sz w:val="28"/>
          <w:szCs w:val="28"/>
        </w:rPr>
        <w:fldChar w:fldCharType="begin"/>
      </w:r>
      <w:r>
        <w:rPr>
          <w:sz w:val="28"/>
          <w:szCs w:val="28"/>
        </w:rPr>
        <w:instrText xml:space="preserve"> PAGEREF _Toc199426937 \h </w:instrText>
      </w:r>
      <w:r>
        <w:rPr>
          <w:sz w:val="28"/>
          <w:szCs w:val="28"/>
        </w:rPr>
        <w:fldChar w:fldCharType="separate"/>
      </w:r>
      <w:r>
        <w:rPr>
          <w:sz w:val="28"/>
          <w:szCs w:val="28"/>
        </w:rPr>
        <w:t>59</w:t>
      </w:r>
      <w:r>
        <w:rPr>
          <w:sz w:val="28"/>
          <w:szCs w:val="28"/>
        </w:rPr>
        <w:fldChar w:fldCharType="end"/>
      </w:r>
      <w:r>
        <w:rPr>
          <w:sz w:val="28"/>
          <w:szCs w:val="28"/>
        </w:rPr>
        <w:fldChar w:fldCharType="end"/>
      </w:r>
    </w:p>
    <w:p w14:paraId="53C5261C">
      <w:pPr>
        <w:pStyle w:val="46"/>
        <w:tabs>
          <w:tab w:val="right" w:leader="dot" w:pos="9060"/>
        </w:tabs>
        <w:snapToGrid w:val="0"/>
        <w:ind w:left="560" w:firstLine="560"/>
        <w:rPr>
          <w:kern w:val="2"/>
          <w:sz w:val="28"/>
          <w:szCs w:val="28"/>
        </w:rPr>
      </w:pPr>
      <w:r>
        <w:fldChar w:fldCharType="begin"/>
      </w:r>
      <w:r>
        <w:instrText xml:space="preserve"> HYPERLINK \l "_Toc199426938" </w:instrText>
      </w:r>
      <w:r>
        <w:fldChar w:fldCharType="separate"/>
      </w:r>
      <w:r>
        <w:rPr>
          <w:rStyle w:val="63"/>
          <w:sz w:val="28"/>
          <w:szCs w:val="28"/>
        </w:rPr>
        <w:t>3.2开拓单元</w:t>
      </w:r>
      <w:r>
        <w:rPr>
          <w:sz w:val="28"/>
          <w:szCs w:val="28"/>
        </w:rPr>
        <w:tab/>
      </w:r>
      <w:r>
        <w:rPr>
          <w:sz w:val="28"/>
          <w:szCs w:val="28"/>
        </w:rPr>
        <w:fldChar w:fldCharType="begin"/>
      </w:r>
      <w:r>
        <w:rPr>
          <w:sz w:val="28"/>
          <w:szCs w:val="28"/>
        </w:rPr>
        <w:instrText xml:space="preserve"> PAGEREF _Toc199426938 \h </w:instrText>
      </w:r>
      <w:r>
        <w:rPr>
          <w:sz w:val="28"/>
          <w:szCs w:val="28"/>
        </w:rPr>
        <w:fldChar w:fldCharType="separate"/>
      </w:r>
      <w:r>
        <w:rPr>
          <w:sz w:val="28"/>
          <w:szCs w:val="28"/>
        </w:rPr>
        <w:t>88</w:t>
      </w:r>
      <w:r>
        <w:rPr>
          <w:sz w:val="28"/>
          <w:szCs w:val="28"/>
        </w:rPr>
        <w:fldChar w:fldCharType="end"/>
      </w:r>
      <w:r>
        <w:rPr>
          <w:sz w:val="28"/>
          <w:szCs w:val="28"/>
        </w:rPr>
        <w:fldChar w:fldCharType="end"/>
      </w:r>
    </w:p>
    <w:p w14:paraId="4D53CF72">
      <w:pPr>
        <w:pStyle w:val="46"/>
        <w:tabs>
          <w:tab w:val="right" w:leader="dot" w:pos="9060"/>
        </w:tabs>
        <w:snapToGrid w:val="0"/>
        <w:ind w:left="560" w:firstLine="560"/>
        <w:rPr>
          <w:kern w:val="2"/>
          <w:sz w:val="28"/>
          <w:szCs w:val="28"/>
        </w:rPr>
      </w:pPr>
      <w:r>
        <w:fldChar w:fldCharType="begin"/>
      </w:r>
      <w:r>
        <w:instrText xml:space="preserve"> HYPERLINK \l "_Toc199426939" </w:instrText>
      </w:r>
      <w:r>
        <w:fldChar w:fldCharType="separate"/>
      </w:r>
      <w:r>
        <w:rPr>
          <w:rStyle w:val="63"/>
          <w:sz w:val="28"/>
          <w:szCs w:val="28"/>
        </w:rPr>
        <w:t>3.3提升和运输单元</w:t>
      </w:r>
      <w:r>
        <w:rPr>
          <w:sz w:val="28"/>
          <w:szCs w:val="28"/>
        </w:rPr>
        <w:tab/>
      </w:r>
      <w:r>
        <w:rPr>
          <w:sz w:val="28"/>
          <w:szCs w:val="28"/>
        </w:rPr>
        <w:fldChar w:fldCharType="begin"/>
      </w:r>
      <w:r>
        <w:rPr>
          <w:sz w:val="28"/>
          <w:szCs w:val="28"/>
        </w:rPr>
        <w:instrText xml:space="preserve"> PAGEREF _Toc199426939 \h </w:instrText>
      </w:r>
      <w:r>
        <w:rPr>
          <w:sz w:val="28"/>
          <w:szCs w:val="28"/>
        </w:rPr>
        <w:fldChar w:fldCharType="separate"/>
      </w:r>
      <w:r>
        <w:rPr>
          <w:sz w:val="28"/>
          <w:szCs w:val="28"/>
        </w:rPr>
        <w:t>122</w:t>
      </w:r>
      <w:r>
        <w:rPr>
          <w:sz w:val="28"/>
          <w:szCs w:val="28"/>
        </w:rPr>
        <w:fldChar w:fldCharType="end"/>
      </w:r>
      <w:r>
        <w:rPr>
          <w:sz w:val="28"/>
          <w:szCs w:val="28"/>
        </w:rPr>
        <w:fldChar w:fldCharType="end"/>
      </w:r>
    </w:p>
    <w:p w14:paraId="234A2900">
      <w:pPr>
        <w:pStyle w:val="46"/>
        <w:tabs>
          <w:tab w:val="right" w:leader="dot" w:pos="9060"/>
        </w:tabs>
        <w:snapToGrid w:val="0"/>
        <w:ind w:left="560" w:firstLine="560"/>
        <w:rPr>
          <w:kern w:val="2"/>
          <w:sz w:val="28"/>
          <w:szCs w:val="28"/>
        </w:rPr>
      </w:pPr>
      <w:r>
        <w:fldChar w:fldCharType="begin"/>
      </w:r>
      <w:r>
        <w:instrText xml:space="preserve"> HYPERLINK \l "_Toc199426940" </w:instrText>
      </w:r>
      <w:r>
        <w:fldChar w:fldCharType="separate"/>
      </w:r>
      <w:r>
        <w:rPr>
          <w:rStyle w:val="63"/>
          <w:sz w:val="28"/>
          <w:szCs w:val="28"/>
        </w:rPr>
        <w:t>3.4采掘单元</w:t>
      </w:r>
      <w:r>
        <w:rPr>
          <w:sz w:val="28"/>
          <w:szCs w:val="28"/>
        </w:rPr>
        <w:tab/>
      </w:r>
      <w:r>
        <w:rPr>
          <w:sz w:val="28"/>
          <w:szCs w:val="28"/>
        </w:rPr>
        <w:fldChar w:fldCharType="begin"/>
      </w:r>
      <w:r>
        <w:rPr>
          <w:sz w:val="28"/>
          <w:szCs w:val="28"/>
        </w:rPr>
        <w:instrText xml:space="preserve"> PAGEREF _Toc199426940 \h </w:instrText>
      </w:r>
      <w:r>
        <w:rPr>
          <w:sz w:val="28"/>
          <w:szCs w:val="28"/>
        </w:rPr>
        <w:fldChar w:fldCharType="separate"/>
      </w:r>
      <w:r>
        <w:rPr>
          <w:sz w:val="28"/>
          <w:szCs w:val="28"/>
        </w:rPr>
        <w:t>132</w:t>
      </w:r>
      <w:r>
        <w:rPr>
          <w:sz w:val="28"/>
          <w:szCs w:val="28"/>
        </w:rPr>
        <w:fldChar w:fldCharType="end"/>
      </w:r>
      <w:r>
        <w:rPr>
          <w:sz w:val="28"/>
          <w:szCs w:val="28"/>
        </w:rPr>
        <w:fldChar w:fldCharType="end"/>
      </w:r>
    </w:p>
    <w:p w14:paraId="6F139DA5">
      <w:pPr>
        <w:pStyle w:val="46"/>
        <w:tabs>
          <w:tab w:val="right" w:leader="dot" w:pos="9060"/>
        </w:tabs>
        <w:snapToGrid w:val="0"/>
        <w:ind w:left="560" w:firstLine="560"/>
        <w:rPr>
          <w:kern w:val="2"/>
          <w:sz w:val="28"/>
          <w:szCs w:val="28"/>
        </w:rPr>
      </w:pPr>
      <w:r>
        <w:fldChar w:fldCharType="begin"/>
      </w:r>
      <w:r>
        <w:instrText xml:space="preserve"> HYPERLINK \l "_Toc199426941" </w:instrText>
      </w:r>
      <w:r>
        <w:fldChar w:fldCharType="separate"/>
      </w:r>
      <w:r>
        <w:rPr>
          <w:rStyle w:val="63"/>
          <w:sz w:val="28"/>
          <w:szCs w:val="28"/>
        </w:rPr>
        <w:t>3.5充填单元</w:t>
      </w:r>
      <w:r>
        <w:rPr>
          <w:sz w:val="28"/>
          <w:szCs w:val="28"/>
        </w:rPr>
        <w:tab/>
      </w:r>
      <w:r>
        <w:rPr>
          <w:sz w:val="28"/>
          <w:szCs w:val="28"/>
        </w:rPr>
        <w:fldChar w:fldCharType="begin"/>
      </w:r>
      <w:r>
        <w:rPr>
          <w:sz w:val="28"/>
          <w:szCs w:val="28"/>
        </w:rPr>
        <w:instrText xml:space="preserve"> PAGEREF _Toc199426941 \h </w:instrText>
      </w:r>
      <w:r>
        <w:rPr>
          <w:sz w:val="28"/>
          <w:szCs w:val="28"/>
        </w:rPr>
        <w:fldChar w:fldCharType="separate"/>
      </w:r>
      <w:r>
        <w:rPr>
          <w:sz w:val="28"/>
          <w:szCs w:val="28"/>
        </w:rPr>
        <w:t>149</w:t>
      </w:r>
      <w:r>
        <w:rPr>
          <w:sz w:val="28"/>
          <w:szCs w:val="28"/>
        </w:rPr>
        <w:fldChar w:fldCharType="end"/>
      </w:r>
      <w:r>
        <w:rPr>
          <w:sz w:val="28"/>
          <w:szCs w:val="28"/>
        </w:rPr>
        <w:fldChar w:fldCharType="end"/>
      </w:r>
    </w:p>
    <w:p w14:paraId="5E93A911">
      <w:pPr>
        <w:pStyle w:val="46"/>
        <w:tabs>
          <w:tab w:val="right" w:leader="dot" w:pos="9060"/>
        </w:tabs>
        <w:snapToGrid w:val="0"/>
        <w:ind w:left="560" w:firstLine="560"/>
        <w:rPr>
          <w:kern w:val="2"/>
          <w:sz w:val="28"/>
          <w:szCs w:val="28"/>
        </w:rPr>
      </w:pPr>
      <w:r>
        <w:fldChar w:fldCharType="begin"/>
      </w:r>
      <w:r>
        <w:instrText xml:space="preserve"> HYPERLINK \l "_Toc199426942" </w:instrText>
      </w:r>
      <w:r>
        <w:fldChar w:fldCharType="separate"/>
      </w:r>
      <w:r>
        <w:rPr>
          <w:rStyle w:val="63"/>
          <w:sz w:val="28"/>
          <w:szCs w:val="28"/>
        </w:rPr>
        <w:t>3.6通风单元</w:t>
      </w:r>
      <w:r>
        <w:rPr>
          <w:sz w:val="28"/>
          <w:szCs w:val="28"/>
        </w:rPr>
        <w:tab/>
      </w:r>
      <w:r>
        <w:rPr>
          <w:sz w:val="28"/>
          <w:szCs w:val="28"/>
        </w:rPr>
        <w:fldChar w:fldCharType="begin"/>
      </w:r>
      <w:r>
        <w:rPr>
          <w:sz w:val="28"/>
          <w:szCs w:val="28"/>
        </w:rPr>
        <w:instrText xml:space="preserve"> PAGEREF _Toc199426942 \h </w:instrText>
      </w:r>
      <w:r>
        <w:rPr>
          <w:sz w:val="28"/>
          <w:szCs w:val="28"/>
        </w:rPr>
        <w:fldChar w:fldCharType="separate"/>
      </w:r>
      <w:r>
        <w:rPr>
          <w:sz w:val="28"/>
          <w:szCs w:val="28"/>
        </w:rPr>
        <w:t>150</w:t>
      </w:r>
      <w:r>
        <w:rPr>
          <w:sz w:val="28"/>
          <w:szCs w:val="28"/>
        </w:rPr>
        <w:fldChar w:fldCharType="end"/>
      </w:r>
      <w:r>
        <w:rPr>
          <w:sz w:val="28"/>
          <w:szCs w:val="28"/>
        </w:rPr>
        <w:fldChar w:fldCharType="end"/>
      </w:r>
    </w:p>
    <w:p w14:paraId="61C9E131">
      <w:pPr>
        <w:pStyle w:val="46"/>
        <w:tabs>
          <w:tab w:val="right" w:leader="dot" w:pos="9060"/>
        </w:tabs>
        <w:snapToGrid w:val="0"/>
        <w:ind w:left="560" w:firstLine="560"/>
        <w:rPr>
          <w:kern w:val="2"/>
          <w:sz w:val="28"/>
          <w:szCs w:val="28"/>
        </w:rPr>
      </w:pPr>
      <w:r>
        <w:fldChar w:fldCharType="begin"/>
      </w:r>
      <w:r>
        <w:instrText xml:space="preserve"> HYPERLINK \l "_Toc199426943" </w:instrText>
      </w:r>
      <w:r>
        <w:fldChar w:fldCharType="separate"/>
      </w:r>
      <w:r>
        <w:rPr>
          <w:rStyle w:val="63"/>
          <w:sz w:val="28"/>
          <w:szCs w:val="28"/>
        </w:rPr>
        <w:t>3.7防排水与防灭火单元</w:t>
      </w:r>
      <w:r>
        <w:rPr>
          <w:sz w:val="28"/>
          <w:szCs w:val="28"/>
        </w:rPr>
        <w:tab/>
      </w:r>
      <w:r>
        <w:rPr>
          <w:sz w:val="28"/>
          <w:szCs w:val="28"/>
        </w:rPr>
        <w:fldChar w:fldCharType="begin"/>
      </w:r>
      <w:r>
        <w:rPr>
          <w:sz w:val="28"/>
          <w:szCs w:val="28"/>
        </w:rPr>
        <w:instrText xml:space="preserve"> PAGEREF _Toc199426943 \h </w:instrText>
      </w:r>
      <w:r>
        <w:rPr>
          <w:sz w:val="28"/>
          <w:szCs w:val="28"/>
        </w:rPr>
        <w:fldChar w:fldCharType="separate"/>
      </w:r>
      <w:r>
        <w:rPr>
          <w:sz w:val="28"/>
          <w:szCs w:val="28"/>
        </w:rPr>
        <w:t>166</w:t>
      </w:r>
      <w:r>
        <w:rPr>
          <w:sz w:val="28"/>
          <w:szCs w:val="28"/>
        </w:rPr>
        <w:fldChar w:fldCharType="end"/>
      </w:r>
      <w:r>
        <w:rPr>
          <w:sz w:val="28"/>
          <w:szCs w:val="28"/>
        </w:rPr>
        <w:fldChar w:fldCharType="end"/>
      </w:r>
    </w:p>
    <w:p w14:paraId="18D103D9">
      <w:pPr>
        <w:pStyle w:val="46"/>
        <w:tabs>
          <w:tab w:val="right" w:leader="dot" w:pos="9060"/>
        </w:tabs>
        <w:snapToGrid w:val="0"/>
        <w:ind w:left="560" w:firstLine="560"/>
        <w:rPr>
          <w:kern w:val="2"/>
          <w:sz w:val="28"/>
          <w:szCs w:val="28"/>
        </w:rPr>
      </w:pPr>
      <w:r>
        <w:fldChar w:fldCharType="begin"/>
      </w:r>
      <w:r>
        <w:instrText xml:space="preserve"> HYPERLINK \l "_Toc199426944" </w:instrText>
      </w:r>
      <w:r>
        <w:fldChar w:fldCharType="separate"/>
      </w:r>
      <w:r>
        <w:rPr>
          <w:rStyle w:val="63"/>
          <w:sz w:val="28"/>
          <w:szCs w:val="28"/>
        </w:rPr>
        <w:t>3.8矿山供配电设施单元</w:t>
      </w:r>
      <w:r>
        <w:rPr>
          <w:sz w:val="28"/>
          <w:szCs w:val="28"/>
        </w:rPr>
        <w:tab/>
      </w:r>
      <w:r>
        <w:rPr>
          <w:sz w:val="28"/>
          <w:szCs w:val="28"/>
        </w:rPr>
        <w:fldChar w:fldCharType="begin"/>
      </w:r>
      <w:r>
        <w:rPr>
          <w:sz w:val="28"/>
          <w:szCs w:val="28"/>
        </w:rPr>
        <w:instrText xml:space="preserve"> PAGEREF _Toc199426944 \h </w:instrText>
      </w:r>
      <w:r>
        <w:rPr>
          <w:sz w:val="28"/>
          <w:szCs w:val="28"/>
        </w:rPr>
        <w:fldChar w:fldCharType="separate"/>
      </w:r>
      <w:r>
        <w:rPr>
          <w:sz w:val="28"/>
          <w:szCs w:val="28"/>
        </w:rPr>
        <w:t>180</w:t>
      </w:r>
      <w:r>
        <w:rPr>
          <w:sz w:val="28"/>
          <w:szCs w:val="28"/>
        </w:rPr>
        <w:fldChar w:fldCharType="end"/>
      </w:r>
      <w:r>
        <w:rPr>
          <w:sz w:val="28"/>
          <w:szCs w:val="28"/>
        </w:rPr>
        <w:fldChar w:fldCharType="end"/>
      </w:r>
    </w:p>
    <w:p w14:paraId="258D56A7">
      <w:pPr>
        <w:pStyle w:val="46"/>
        <w:tabs>
          <w:tab w:val="right" w:leader="dot" w:pos="9060"/>
        </w:tabs>
        <w:snapToGrid w:val="0"/>
        <w:ind w:left="560" w:firstLine="560"/>
        <w:rPr>
          <w:kern w:val="2"/>
          <w:sz w:val="28"/>
          <w:szCs w:val="28"/>
        </w:rPr>
      </w:pPr>
      <w:r>
        <w:fldChar w:fldCharType="begin"/>
      </w:r>
      <w:r>
        <w:instrText xml:space="preserve"> HYPERLINK \l "_Toc199426945" </w:instrText>
      </w:r>
      <w:r>
        <w:fldChar w:fldCharType="separate"/>
      </w:r>
      <w:r>
        <w:rPr>
          <w:rStyle w:val="63"/>
          <w:sz w:val="28"/>
          <w:szCs w:val="28"/>
        </w:rPr>
        <w:t>3.9安全避险“六大系统”系统</w:t>
      </w:r>
      <w:r>
        <w:rPr>
          <w:sz w:val="28"/>
          <w:szCs w:val="28"/>
        </w:rPr>
        <w:tab/>
      </w:r>
      <w:r>
        <w:rPr>
          <w:sz w:val="28"/>
          <w:szCs w:val="28"/>
        </w:rPr>
        <w:fldChar w:fldCharType="begin"/>
      </w:r>
      <w:r>
        <w:rPr>
          <w:sz w:val="28"/>
          <w:szCs w:val="28"/>
        </w:rPr>
        <w:instrText xml:space="preserve"> PAGEREF _Toc199426945 \h </w:instrText>
      </w:r>
      <w:r>
        <w:rPr>
          <w:sz w:val="28"/>
          <w:szCs w:val="28"/>
        </w:rPr>
        <w:fldChar w:fldCharType="separate"/>
      </w:r>
      <w:r>
        <w:rPr>
          <w:sz w:val="28"/>
          <w:szCs w:val="28"/>
        </w:rPr>
        <w:t>184</w:t>
      </w:r>
      <w:r>
        <w:rPr>
          <w:sz w:val="28"/>
          <w:szCs w:val="28"/>
        </w:rPr>
        <w:fldChar w:fldCharType="end"/>
      </w:r>
      <w:r>
        <w:rPr>
          <w:sz w:val="28"/>
          <w:szCs w:val="28"/>
        </w:rPr>
        <w:fldChar w:fldCharType="end"/>
      </w:r>
    </w:p>
    <w:p w14:paraId="3A420EB3">
      <w:pPr>
        <w:pStyle w:val="46"/>
        <w:tabs>
          <w:tab w:val="right" w:leader="dot" w:pos="9060"/>
        </w:tabs>
        <w:snapToGrid w:val="0"/>
        <w:ind w:left="560" w:firstLine="560"/>
        <w:rPr>
          <w:kern w:val="2"/>
          <w:sz w:val="28"/>
          <w:szCs w:val="28"/>
        </w:rPr>
      </w:pPr>
      <w:r>
        <w:fldChar w:fldCharType="begin"/>
      </w:r>
      <w:r>
        <w:instrText xml:space="preserve"> HYPERLINK \l "_Toc199426946" </w:instrText>
      </w:r>
      <w:r>
        <w:fldChar w:fldCharType="separate"/>
      </w:r>
      <w:r>
        <w:rPr>
          <w:rStyle w:val="63"/>
          <w:sz w:val="28"/>
          <w:szCs w:val="28"/>
        </w:rPr>
        <w:t>3.10安全管理单元</w:t>
      </w:r>
      <w:r>
        <w:rPr>
          <w:sz w:val="28"/>
          <w:szCs w:val="28"/>
        </w:rPr>
        <w:tab/>
      </w:r>
      <w:r>
        <w:rPr>
          <w:sz w:val="28"/>
          <w:szCs w:val="28"/>
        </w:rPr>
        <w:fldChar w:fldCharType="begin"/>
      </w:r>
      <w:r>
        <w:rPr>
          <w:sz w:val="28"/>
          <w:szCs w:val="28"/>
        </w:rPr>
        <w:instrText xml:space="preserve"> PAGEREF _Toc199426946 \h </w:instrText>
      </w:r>
      <w:r>
        <w:rPr>
          <w:sz w:val="28"/>
          <w:szCs w:val="28"/>
        </w:rPr>
        <w:fldChar w:fldCharType="separate"/>
      </w:r>
      <w:r>
        <w:rPr>
          <w:sz w:val="28"/>
          <w:szCs w:val="28"/>
        </w:rPr>
        <w:t>189</w:t>
      </w:r>
      <w:r>
        <w:rPr>
          <w:sz w:val="28"/>
          <w:szCs w:val="28"/>
        </w:rPr>
        <w:fldChar w:fldCharType="end"/>
      </w:r>
      <w:r>
        <w:rPr>
          <w:sz w:val="28"/>
          <w:szCs w:val="28"/>
        </w:rPr>
        <w:fldChar w:fldCharType="end"/>
      </w:r>
    </w:p>
    <w:p w14:paraId="133AAE30">
      <w:pPr>
        <w:pStyle w:val="46"/>
        <w:tabs>
          <w:tab w:val="right" w:leader="dot" w:pos="9060"/>
        </w:tabs>
        <w:snapToGrid w:val="0"/>
        <w:ind w:left="560" w:firstLine="560"/>
        <w:rPr>
          <w:kern w:val="2"/>
          <w:sz w:val="28"/>
          <w:szCs w:val="28"/>
        </w:rPr>
      </w:pPr>
      <w:r>
        <w:fldChar w:fldCharType="begin"/>
      </w:r>
      <w:r>
        <w:instrText xml:space="preserve"> HYPERLINK \l "_Toc199426947" </w:instrText>
      </w:r>
      <w:r>
        <w:fldChar w:fldCharType="separate"/>
      </w:r>
      <w:r>
        <w:rPr>
          <w:rStyle w:val="63"/>
          <w:sz w:val="28"/>
          <w:szCs w:val="28"/>
        </w:rPr>
        <w:t>3.11重大危险源辨识单元</w:t>
      </w:r>
      <w:r>
        <w:rPr>
          <w:sz w:val="28"/>
          <w:szCs w:val="28"/>
        </w:rPr>
        <w:tab/>
      </w:r>
      <w:r>
        <w:rPr>
          <w:sz w:val="28"/>
          <w:szCs w:val="28"/>
        </w:rPr>
        <w:fldChar w:fldCharType="begin"/>
      </w:r>
      <w:r>
        <w:rPr>
          <w:sz w:val="28"/>
          <w:szCs w:val="28"/>
        </w:rPr>
        <w:instrText xml:space="preserve"> PAGEREF _Toc199426947 \h </w:instrText>
      </w:r>
      <w:r>
        <w:rPr>
          <w:sz w:val="28"/>
          <w:szCs w:val="28"/>
        </w:rPr>
        <w:fldChar w:fldCharType="separate"/>
      </w:r>
      <w:r>
        <w:rPr>
          <w:sz w:val="28"/>
          <w:szCs w:val="28"/>
        </w:rPr>
        <w:t>196</w:t>
      </w:r>
      <w:r>
        <w:rPr>
          <w:sz w:val="28"/>
          <w:szCs w:val="28"/>
        </w:rPr>
        <w:fldChar w:fldCharType="end"/>
      </w:r>
      <w:r>
        <w:rPr>
          <w:sz w:val="28"/>
          <w:szCs w:val="28"/>
        </w:rPr>
        <w:fldChar w:fldCharType="end"/>
      </w:r>
    </w:p>
    <w:p w14:paraId="4D393404">
      <w:pPr>
        <w:pStyle w:val="36"/>
        <w:tabs>
          <w:tab w:val="right" w:leader="dot" w:pos="9060"/>
        </w:tabs>
        <w:snapToGrid w:val="0"/>
        <w:spacing w:after="0"/>
        <w:ind w:firstLine="562"/>
        <w:rPr>
          <w:b w:val="0"/>
          <w:kern w:val="2"/>
          <w:sz w:val="28"/>
          <w:szCs w:val="28"/>
        </w:rPr>
      </w:pPr>
      <w:r>
        <w:fldChar w:fldCharType="begin"/>
      </w:r>
      <w:r>
        <w:instrText xml:space="preserve"> HYPERLINK \l "_Toc199426948" </w:instrText>
      </w:r>
      <w:r>
        <w:fldChar w:fldCharType="separate"/>
      </w:r>
      <w:r>
        <w:rPr>
          <w:rStyle w:val="63"/>
          <w:sz w:val="28"/>
          <w:szCs w:val="28"/>
        </w:rPr>
        <w:t>4安全对策措施及建议</w:t>
      </w:r>
      <w:r>
        <w:rPr>
          <w:sz w:val="28"/>
          <w:szCs w:val="28"/>
        </w:rPr>
        <w:tab/>
      </w:r>
      <w:r>
        <w:rPr>
          <w:sz w:val="28"/>
          <w:szCs w:val="28"/>
        </w:rPr>
        <w:fldChar w:fldCharType="begin"/>
      </w:r>
      <w:r>
        <w:rPr>
          <w:sz w:val="28"/>
          <w:szCs w:val="28"/>
        </w:rPr>
        <w:instrText xml:space="preserve"> PAGEREF _Toc199426948 \h </w:instrText>
      </w:r>
      <w:r>
        <w:rPr>
          <w:sz w:val="28"/>
          <w:szCs w:val="28"/>
        </w:rPr>
        <w:fldChar w:fldCharType="separate"/>
      </w:r>
      <w:r>
        <w:rPr>
          <w:sz w:val="28"/>
          <w:szCs w:val="28"/>
        </w:rPr>
        <w:t>197</w:t>
      </w:r>
      <w:r>
        <w:rPr>
          <w:sz w:val="28"/>
          <w:szCs w:val="28"/>
        </w:rPr>
        <w:fldChar w:fldCharType="end"/>
      </w:r>
      <w:r>
        <w:rPr>
          <w:sz w:val="28"/>
          <w:szCs w:val="28"/>
        </w:rPr>
        <w:fldChar w:fldCharType="end"/>
      </w:r>
    </w:p>
    <w:p w14:paraId="268D495B">
      <w:pPr>
        <w:pStyle w:val="46"/>
        <w:tabs>
          <w:tab w:val="right" w:leader="dot" w:pos="9060"/>
        </w:tabs>
        <w:snapToGrid w:val="0"/>
        <w:ind w:left="560" w:firstLine="560"/>
        <w:rPr>
          <w:kern w:val="2"/>
          <w:sz w:val="28"/>
          <w:szCs w:val="28"/>
        </w:rPr>
      </w:pPr>
      <w:r>
        <w:fldChar w:fldCharType="begin"/>
      </w:r>
      <w:r>
        <w:instrText xml:space="preserve"> HYPERLINK \l "_Toc199426949" </w:instrText>
      </w:r>
      <w:r>
        <w:fldChar w:fldCharType="separate"/>
      </w:r>
      <w:r>
        <w:rPr>
          <w:rStyle w:val="63"/>
          <w:sz w:val="28"/>
          <w:szCs w:val="28"/>
        </w:rPr>
        <w:t>4.1总平面布置</w:t>
      </w:r>
      <w:r>
        <w:rPr>
          <w:sz w:val="28"/>
          <w:szCs w:val="28"/>
        </w:rPr>
        <w:tab/>
      </w:r>
      <w:r>
        <w:rPr>
          <w:sz w:val="28"/>
          <w:szCs w:val="28"/>
        </w:rPr>
        <w:fldChar w:fldCharType="begin"/>
      </w:r>
      <w:r>
        <w:rPr>
          <w:sz w:val="28"/>
          <w:szCs w:val="28"/>
        </w:rPr>
        <w:instrText xml:space="preserve"> PAGEREF _Toc199426949 \h </w:instrText>
      </w:r>
      <w:r>
        <w:rPr>
          <w:sz w:val="28"/>
          <w:szCs w:val="28"/>
        </w:rPr>
        <w:fldChar w:fldCharType="separate"/>
      </w:r>
      <w:r>
        <w:rPr>
          <w:sz w:val="28"/>
          <w:szCs w:val="28"/>
        </w:rPr>
        <w:t>197</w:t>
      </w:r>
      <w:r>
        <w:rPr>
          <w:sz w:val="28"/>
          <w:szCs w:val="28"/>
        </w:rPr>
        <w:fldChar w:fldCharType="end"/>
      </w:r>
      <w:r>
        <w:rPr>
          <w:sz w:val="28"/>
          <w:szCs w:val="28"/>
        </w:rPr>
        <w:fldChar w:fldCharType="end"/>
      </w:r>
    </w:p>
    <w:p w14:paraId="154401FA">
      <w:pPr>
        <w:pStyle w:val="46"/>
        <w:tabs>
          <w:tab w:val="right" w:leader="dot" w:pos="9060"/>
        </w:tabs>
        <w:snapToGrid w:val="0"/>
        <w:ind w:left="560" w:firstLine="560"/>
        <w:rPr>
          <w:kern w:val="2"/>
          <w:sz w:val="28"/>
          <w:szCs w:val="28"/>
        </w:rPr>
      </w:pPr>
      <w:r>
        <w:fldChar w:fldCharType="begin"/>
      </w:r>
      <w:r>
        <w:instrText xml:space="preserve"> HYPERLINK \l "_Toc199426950" </w:instrText>
      </w:r>
      <w:r>
        <w:fldChar w:fldCharType="separate"/>
      </w:r>
      <w:r>
        <w:rPr>
          <w:rStyle w:val="63"/>
          <w:sz w:val="28"/>
          <w:szCs w:val="28"/>
        </w:rPr>
        <w:t>4.2开拓运输</w:t>
      </w:r>
      <w:r>
        <w:rPr>
          <w:sz w:val="28"/>
          <w:szCs w:val="28"/>
        </w:rPr>
        <w:tab/>
      </w:r>
      <w:r>
        <w:rPr>
          <w:sz w:val="28"/>
          <w:szCs w:val="28"/>
        </w:rPr>
        <w:fldChar w:fldCharType="begin"/>
      </w:r>
      <w:r>
        <w:rPr>
          <w:sz w:val="28"/>
          <w:szCs w:val="28"/>
        </w:rPr>
        <w:instrText xml:space="preserve"> PAGEREF _Toc199426950 \h </w:instrText>
      </w:r>
      <w:r>
        <w:rPr>
          <w:sz w:val="28"/>
          <w:szCs w:val="28"/>
        </w:rPr>
        <w:fldChar w:fldCharType="separate"/>
      </w:r>
      <w:r>
        <w:rPr>
          <w:sz w:val="28"/>
          <w:szCs w:val="28"/>
        </w:rPr>
        <w:t>197</w:t>
      </w:r>
      <w:r>
        <w:rPr>
          <w:sz w:val="28"/>
          <w:szCs w:val="28"/>
        </w:rPr>
        <w:fldChar w:fldCharType="end"/>
      </w:r>
      <w:r>
        <w:rPr>
          <w:sz w:val="28"/>
          <w:szCs w:val="28"/>
        </w:rPr>
        <w:fldChar w:fldCharType="end"/>
      </w:r>
    </w:p>
    <w:p w14:paraId="6D0C8618">
      <w:pPr>
        <w:pStyle w:val="46"/>
        <w:tabs>
          <w:tab w:val="right" w:leader="dot" w:pos="9060"/>
        </w:tabs>
        <w:snapToGrid w:val="0"/>
        <w:ind w:left="560" w:firstLine="560"/>
        <w:rPr>
          <w:kern w:val="2"/>
          <w:sz w:val="28"/>
          <w:szCs w:val="28"/>
        </w:rPr>
      </w:pPr>
      <w:r>
        <w:fldChar w:fldCharType="begin"/>
      </w:r>
      <w:r>
        <w:instrText xml:space="preserve"> HYPERLINK \l "_Toc199426951" </w:instrText>
      </w:r>
      <w:r>
        <w:fldChar w:fldCharType="separate"/>
      </w:r>
      <w:r>
        <w:rPr>
          <w:rStyle w:val="63"/>
          <w:sz w:val="28"/>
          <w:szCs w:val="28"/>
        </w:rPr>
        <w:t>4.3提升和运输单元</w:t>
      </w:r>
      <w:r>
        <w:rPr>
          <w:sz w:val="28"/>
          <w:szCs w:val="28"/>
        </w:rPr>
        <w:tab/>
      </w:r>
      <w:r>
        <w:rPr>
          <w:sz w:val="28"/>
          <w:szCs w:val="28"/>
        </w:rPr>
        <w:fldChar w:fldCharType="begin"/>
      </w:r>
      <w:r>
        <w:rPr>
          <w:sz w:val="28"/>
          <w:szCs w:val="28"/>
        </w:rPr>
        <w:instrText xml:space="preserve"> PAGEREF _Toc199426951 \h </w:instrText>
      </w:r>
      <w:r>
        <w:rPr>
          <w:sz w:val="28"/>
          <w:szCs w:val="28"/>
        </w:rPr>
        <w:fldChar w:fldCharType="separate"/>
      </w:r>
      <w:r>
        <w:rPr>
          <w:sz w:val="28"/>
          <w:szCs w:val="28"/>
        </w:rPr>
        <w:t>199</w:t>
      </w:r>
      <w:r>
        <w:rPr>
          <w:sz w:val="28"/>
          <w:szCs w:val="28"/>
        </w:rPr>
        <w:fldChar w:fldCharType="end"/>
      </w:r>
      <w:r>
        <w:rPr>
          <w:sz w:val="28"/>
          <w:szCs w:val="28"/>
        </w:rPr>
        <w:fldChar w:fldCharType="end"/>
      </w:r>
    </w:p>
    <w:p w14:paraId="1481425A">
      <w:pPr>
        <w:pStyle w:val="46"/>
        <w:tabs>
          <w:tab w:val="right" w:leader="dot" w:pos="9060"/>
        </w:tabs>
        <w:snapToGrid w:val="0"/>
        <w:ind w:left="560" w:firstLine="560"/>
        <w:rPr>
          <w:kern w:val="2"/>
          <w:sz w:val="28"/>
          <w:szCs w:val="28"/>
        </w:rPr>
      </w:pPr>
      <w:r>
        <w:fldChar w:fldCharType="begin"/>
      </w:r>
      <w:r>
        <w:instrText xml:space="preserve"> HYPERLINK \l "_Toc199426952" </w:instrText>
      </w:r>
      <w:r>
        <w:fldChar w:fldCharType="separate"/>
      </w:r>
      <w:r>
        <w:rPr>
          <w:rStyle w:val="63"/>
          <w:sz w:val="28"/>
          <w:szCs w:val="28"/>
        </w:rPr>
        <w:t>4.4采掘单元</w:t>
      </w:r>
      <w:r>
        <w:rPr>
          <w:sz w:val="28"/>
          <w:szCs w:val="28"/>
        </w:rPr>
        <w:tab/>
      </w:r>
      <w:r>
        <w:rPr>
          <w:sz w:val="28"/>
          <w:szCs w:val="28"/>
        </w:rPr>
        <w:fldChar w:fldCharType="begin"/>
      </w:r>
      <w:r>
        <w:rPr>
          <w:sz w:val="28"/>
          <w:szCs w:val="28"/>
        </w:rPr>
        <w:instrText xml:space="preserve"> PAGEREF _Toc199426952 \h </w:instrText>
      </w:r>
      <w:r>
        <w:rPr>
          <w:sz w:val="28"/>
          <w:szCs w:val="28"/>
        </w:rPr>
        <w:fldChar w:fldCharType="separate"/>
      </w:r>
      <w:r>
        <w:rPr>
          <w:sz w:val="28"/>
          <w:szCs w:val="28"/>
        </w:rPr>
        <w:t>201</w:t>
      </w:r>
      <w:r>
        <w:rPr>
          <w:sz w:val="28"/>
          <w:szCs w:val="28"/>
        </w:rPr>
        <w:fldChar w:fldCharType="end"/>
      </w:r>
      <w:r>
        <w:rPr>
          <w:sz w:val="28"/>
          <w:szCs w:val="28"/>
        </w:rPr>
        <w:fldChar w:fldCharType="end"/>
      </w:r>
    </w:p>
    <w:p w14:paraId="3DDB4572">
      <w:pPr>
        <w:pStyle w:val="46"/>
        <w:tabs>
          <w:tab w:val="right" w:leader="dot" w:pos="9060"/>
        </w:tabs>
        <w:snapToGrid w:val="0"/>
        <w:ind w:left="560" w:firstLine="560"/>
        <w:rPr>
          <w:kern w:val="2"/>
          <w:sz w:val="28"/>
          <w:szCs w:val="28"/>
        </w:rPr>
      </w:pPr>
      <w:r>
        <w:fldChar w:fldCharType="begin"/>
      </w:r>
      <w:r>
        <w:instrText xml:space="preserve"> HYPERLINK \l "_Toc199426953" </w:instrText>
      </w:r>
      <w:r>
        <w:fldChar w:fldCharType="separate"/>
      </w:r>
      <w:r>
        <w:rPr>
          <w:rStyle w:val="63"/>
          <w:sz w:val="28"/>
          <w:szCs w:val="28"/>
        </w:rPr>
        <w:t>4.5充填单元</w:t>
      </w:r>
      <w:r>
        <w:rPr>
          <w:sz w:val="28"/>
          <w:szCs w:val="28"/>
        </w:rPr>
        <w:tab/>
      </w:r>
      <w:r>
        <w:rPr>
          <w:sz w:val="28"/>
          <w:szCs w:val="28"/>
        </w:rPr>
        <w:fldChar w:fldCharType="begin"/>
      </w:r>
      <w:r>
        <w:rPr>
          <w:sz w:val="28"/>
          <w:szCs w:val="28"/>
        </w:rPr>
        <w:instrText xml:space="preserve"> PAGEREF _Toc199426953 \h </w:instrText>
      </w:r>
      <w:r>
        <w:rPr>
          <w:sz w:val="28"/>
          <w:szCs w:val="28"/>
        </w:rPr>
        <w:fldChar w:fldCharType="separate"/>
      </w:r>
      <w:r>
        <w:rPr>
          <w:sz w:val="28"/>
          <w:szCs w:val="28"/>
        </w:rPr>
        <w:t>202</w:t>
      </w:r>
      <w:r>
        <w:rPr>
          <w:sz w:val="28"/>
          <w:szCs w:val="28"/>
        </w:rPr>
        <w:fldChar w:fldCharType="end"/>
      </w:r>
      <w:r>
        <w:rPr>
          <w:sz w:val="28"/>
          <w:szCs w:val="28"/>
        </w:rPr>
        <w:fldChar w:fldCharType="end"/>
      </w:r>
    </w:p>
    <w:p w14:paraId="2003FC95">
      <w:pPr>
        <w:pStyle w:val="46"/>
        <w:tabs>
          <w:tab w:val="right" w:leader="dot" w:pos="9060"/>
        </w:tabs>
        <w:snapToGrid w:val="0"/>
        <w:ind w:left="560" w:firstLine="560"/>
        <w:rPr>
          <w:kern w:val="2"/>
          <w:sz w:val="28"/>
          <w:szCs w:val="28"/>
        </w:rPr>
      </w:pPr>
      <w:r>
        <w:fldChar w:fldCharType="begin"/>
      </w:r>
      <w:r>
        <w:instrText xml:space="preserve"> HYPERLINK \l "_Toc199426954" </w:instrText>
      </w:r>
      <w:r>
        <w:fldChar w:fldCharType="separate"/>
      </w:r>
      <w:r>
        <w:rPr>
          <w:rStyle w:val="63"/>
          <w:sz w:val="28"/>
          <w:szCs w:val="28"/>
        </w:rPr>
        <w:t>4.6通风单元</w:t>
      </w:r>
      <w:r>
        <w:rPr>
          <w:sz w:val="28"/>
          <w:szCs w:val="28"/>
        </w:rPr>
        <w:tab/>
      </w:r>
      <w:r>
        <w:rPr>
          <w:sz w:val="28"/>
          <w:szCs w:val="28"/>
        </w:rPr>
        <w:fldChar w:fldCharType="begin"/>
      </w:r>
      <w:r>
        <w:rPr>
          <w:sz w:val="28"/>
          <w:szCs w:val="28"/>
        </w:rPr>
        <w:instrText xml:space="preserve"> PAGEREF _Toc199426954 \h </w:instrText>
      </w:r>
      <w:r>
        <w:rPr>
          <w:sz w:val="28"/>
          <w:szCs w:val="28"/>
        </w:rPr>
        <w:fldChar w:fldCharType="separate"/>
      </w:r>
      <w:r>
        <w:rPr>
          <w:sz w:val="28"/>
          <w:szCs w:val="28"/>
        </w:rPr>
        <w:t>202</w:t>
      </w:r>
      <w:r>
        <w:rPr>
          <w:sz w:val="28"/>
          <w:szCs w:val="28"/>
        </w:rPr>
        <w:fldChar w:fldCharType="end"/>
      </w:r>
      <w:r>
        <w:rPr>
          <w:sz w:val="28"/>
          <w:szCs w:val="28"/>
        </w:rPr>
        <w:fldChar w:fldCharType="end"/>
      </w:r>
    </w:p>
    <w:p w14:paraId="53FDB59F">
      <w:pPr>
        <w:pStyle w:val="46"/>
        <w:tabs>
          <w:tab w:val="right" w:leader="dot" w:pos="9060"/>
        </w:tabs>
        <w:snapToGrid w:val="0"/>
        <w:ind w:left="560" w:firstLine="560"/>
        <w:rPr>
          <w:kern w:val="2"/>
          <w:sz w:val="28"/>
          <w:szCs w:val="28"/>
        </w:rPr>
      </w:pPr>
      <w:r>
        <w:fldChar w:fldCharType="begin"/>
      </w:r>
      <w:r>
        <w:instrText xml:space="preserve"> HYPERLINK \l "_Toc199426955" </w:instrText>
      </w:r>
      <w:r>
        <w:fldChar w:fldCharType="separate"/>
      </w:r>
      <w:r>
        <w:rPr>
          <w:rStyle w:val="63"/>
          <w:sz w:val="28"/>
          <w:szCs w:val="28"/>
        </w:rPr>
        <w:t>4.7防排水与防灭火</w:t>
      </w:r>
      <w:r>
        <w:rPr>
          <w:sz w:val="28"/>
          <w:szCs w:val="28"/>
        </w:rPr>
        <w:tab/>
      </w:r>
      <w:r>
        <w:rPr>
          <w:sz w:val="28"/>
          <w:szCs w:val="28"/>
        </w:rPr>
        <w:fldChar w:fldCharType="begin"/>
      </w:r>
      <w:r>
        <w:rPr>
          <w:sz w:val="28"/>
          <w:szCs w:val="28"/>
        </w:rPr>
        <w:instrText xml:space="preserve"> PAGEREF _Toc199426955 \h </w:instrText>
      </w:r>
      <w:r>
        <w:rPr>
          <w:sz w:val="28"/>
          <w:szCs w:val="28"/>
        </w:rPr>
        <w:fldChar w:fldCharType="separate"/>
      </w:r>
      <w:r>
        <w:rPr>
          <w:sz w:val="28"/>
          <w:szCs w:val="28"/>
        </w:rPr>
        <w:t>203</w:t>
      </w:r>
      <w:r>
        <w:rPr>
          <w:sz w:val="28"/>
          <w:szCs w:val="28"/>
        </w:rPr>
        <w:fldChar w:fldCharType="end"/>
      </w:r>
      <w:r>
        <w:rPr>
          <w:sz w:val="28"/>
          <w:szCs w:val="28"/>
        </w:rPr>
        <w:fldChar w:fldCharType="end"/>
      </w:r>
    </w:p>
    <w:p w14:paraId="472D7844">
      <w:pPr>
        <w:pStyle w:val="46"/>
        <w:tabs>
          <w:tab w:val="right" w:leader="dot" w:pos="9060"/>
        </w:tabs>
        <w:snapToGrid w:val="0"/>
        <w:ind w:left="560" w:firstLine="560"/>
        <w:rPr>
          <w:kern w:val="2"/>
          <w:sz w:val="28"/>
          <w:szCs w:val="28"/>
        </w:rPr>
      </w:pPr>
      <w:r>
        <w:fldChar w:fldCharType="begin"/>
      </w:r>
      <w:r>
        <w:instrText xml:space="preserve"> HYPERLINK \l "_Toc199426956" </w:instrText>
      </w:r>
      <w:r>
        <w:fldChar w:fldCharType="separate"/>
      </w:r>
      <w:r>
        <w:rPr>
          <w:rStyle w:val="63"/>
          <w:sz w:val="28"/>
          <w:szCs w:val="28"/>
        </w:rPr>
        <w:t>4.8矿山供配电设施单元</w:t>
      </w:r>
      <w:r>
        <w:rPr>
          <w:sz w:val="28"/>
          <w:szCs w:val="28"/>
        </w:rPr>
        <w:tab/>
      </w:r>
      <w:r>
        <w:rPr>
          <w:sz w:val="28"/>
          <w:szCs w:val="28"/>
        </w:rPr>
        <w:fldChar w:fldCharType="begin"/>
      </w:r>
      <w:r>
        <w:rPr>
          <w:sz w:val="28"/>
          <w:szCs w:val="28"/>
        </w:rPr>
        <w:instrText xml:space="preserve"> PAGEREF _Toc199426956 \h </w:instrText>
      </w:r>
      <w:r>
        <w:rPr>
          <w:sz w:val="28"/>
          <w:szCs w:val="28"/>
        </w:rPr>
        <w:fldChar w:fldCharType="separate"/>
      </w:r>
      <w:r>
        <w:rPr>
          <w:sz w:val="28"/>
          <w:szCs w:val="28"/>
        </w:rPr>
        <w:t>204</w:t>
      </w:r>
      <w:r>
        <w:rPr>
          <w:sz w:val="28"/>
          <w:szCs w:val="28"/>
        </w:rPr>
        <w:fldChar w:fldCharType="end"/>
      </w:r>
      <w:r>
        <w:rPr>
          <w:sz w:val="28"/>
          <w:szCs w:val="28"/>
        </w:rPr>
        <w:fldChar w:fldCharType="end"/>
      </w:r>
    </w:p>
    <w:p w14:paraId="366BAAEF">
      <w:pPr>
        <w:pStyle w:val="46"/>
        <w:tabs>
          <w:tab w:val="right" w:leader="dot" w:pos="9060"/>
        </w:tabs>
        <w:snapToGrid w:val="0"/>
        <w:ind w:left="560" w:firstLine="560"/>
        <w:rPr>
          <w:kern w:val="2"/>
          <w:sz w:val="28"/>
          <w:szCs w:val="28"/>
        </w:rPr>
      </w:pPr>
      <w:r>
        <w:fldChar w:fldCharType="begin"/>
      </w:r>
      <w:r>
        <w:instrText xml:space="preserve"> HYPERLINK \l "_Toc199426957" </w:instrText>
      </w:r>
      <w:r>
        <w:fldChar w:fldCharType="separate"/>
      </w:r>
      <w:r>
        <w:rPr>
          <w:rStyle w:val="63"/>
          <w:sz w:val="28"/>
          <w:szCs w:val="28"/>
        </w:rPr>
        <w:t>4.9 安全避险“六大系统”系统单元</w:t>
      </w:r>
      <w:r>
        <w:rPr>
          <w:sz w:val="28"/>
          <w:szCs w:val="28"/>
        </w:rPr>
        <w:tab/>
      </w:r>
      <w:r>
        <w:rPr>
          <w:sz w:val="28"/>
          <w:szCs w:val="28"/>
        </w:rPr>
        <w:fldChar w:fldCharType="begin"/>
      </w:r>
      <w:r>
        <w:rPr>
          <w:sz w:val="28"/>
          <w:szCs w:val="28"/>
        </w:rPr>
        <w:instrText xml:space="preserve"> PAGEREF _Toc199426957 \h </w:instrText>
      </w:r>
      <w:r>
        <w:rPr>
          <w:sz w:val="28"/>
          <w:szCs w:val="28"/>
        </w:rPr>
        <w:fldChar w:fldCharType="separate"/>
      </w:r>
      <w:r>
        <w:rPr>
          <w:sz w:val="28"/>
          <w:szCs w:val="28"/>
        </w:rPr>
        <w:t>204</w:t>
      </w:r>
      <w:r>
        <w:rPr>
          <w:sz w:val="28"/>
          <w:szCs w:val="28"/>
        </w:rPr>
        <w:fldChar w:fldCharType="end"/>
      </w:r>
      <w:r>
        <w:rPr>
          <w:sz w:val="28"/>
          <w:szCs w:val="28"/>
        </w:rPr>
        <w:fldChar w:fldCharType="end"/>
      </w:r>
    </w:p>
    <w:p w14:paraId="5B8971AF">
      <w:pPr>
        <w:pStyle w:val="46"/>
        <w:tabs>
          <w:tab w:val="right" w:leader="dot" w:pos="9060"/>
        </w:tabs>
        <w:snapToGrid w:val="0"/>
        <w:ind w:left="560" w:firstLine="560"/>
        <w:rPr>
          <w:kern w:val="2"/>
          <w:sz w:val="28"/>
          <w:szCs w:val="28"/>
        </w:rPr>
      </w:pPr>
      <w:r>
        <w:fldChar w:fldCharType="begin"/>
      </w:r>
      <w:r>
        <w:instrText xml:space="preserve"> HYPERLINK \l "_Toc199426958" </w:instrText>
      </w:r>
      <w:r>
        <w:fldChar w:fldCharType="separate"/>
      </w:r>
      <w:r>
        <w:rPr>
          <w:rStyle w:val="63"/>
          <w:sz w:val="28"/>
          <w:szCs w:val="28"/>
        </w:rPr>
        <w:t>4.10安全管理及其他</w:t>
      </w:r>
      <w:r>
        <w:rPr>
          <w:sz w:val="28"/>
          <w:szCs w:val="28"/>
        </w:rPr>
        <w:tab/>
      </w:r>
      <w:r>
        <w:rPr>
          <w:sz w:val="28"/>
          <w:szCs w:val="28"/>
        </w:rPr>
        <w:fldChar w:fldCharType="begin"/>
      </w:r>
      <w:r>
        <w:rPr>
          <w:sz w:val="28"/>
          <w:szCs w:val="28"/>
        </w:rPr>
        <w:instrText xml:space="preserve"> PAGEREF _Toc199426958 \h </w:instrText>
      </w:r>
      <w:r>
        <w:rPr>
          <w:sz w:val="28"/>
          <w:szCs w:val="28"/>
        </w:rPr>
        <w:fldChar w:fldCharType="separate"/>
      </w:r>
      <w:r>
        <w:rPr>
          <w:sz w:val="28"/>
          <w:szCs w:val="28"/>
        </w:rPr>
        <w:t>205</w:t>
      </w:r>
      <w:r>
        <w:rPr>
          <w:sz w:val="28"/>
          <w:szCs w:val="28"/>
        </w:rPr>
        <w:fldChar w:fldCharType="end"/>
      </w:r>
      <w:r>
        <w:rPr>
          <w:sz w:val="28"/>
          <w:szCs w:val="28"/>
        </w:rPr>
        <w:fldChar w:fldCharType="end"/>
      </w:r>
    </w:p>
    <w:p w14:paraId="42DB1EC4">
      <w:pPr>
        <w:pStyle w:val="36"/>
        <w:tabs>
          <w:tab w:val="right" w:leader="dot" w:pos="9060"/>
        </w:tabs>
        <w:snapToGrid w:val="0"/>
        <w:spacing w:after="0"/>
        <w:ind w:firstLine="562"/>
        <w:rPr>
          <w:b w:val="0"/>
          <w:kern w:val="2"/>
          <w:sz w:val="28"/>
          <w:szCs w:val="28"/>
        </w:rPr>
      </w:pPr>
      <w:r>
        <w:fldChar w:fldCharType="begin"/>
      </w:r>
      <w:r>
        <w:instrText xml:space="preserve"> HYPERLINK \l "_Toc199426959" </w:instrText>
      </w:r>
      <w:r>
        <w:fldChar w:fldCharType="separate"/>
      </w:r>
      <w:r>
        <w:rPr>
          <w:rStyle w:val="63"/>
          <w:sz w:val="28"/>
          <w:szCs w:val="28"/>
        </w:rPr>
        <w:t>5评价结论</w:t>
      </w:r>
      <w:r>
        <w:rPr>
          <w:sz w:val="28"/>
          <w:szCs w:val="28"/>
        </w:rPr>
        <w:tab/>
      </w:r>
      <w:r>
        <w:rPr>
          <w:sz w:val="28"/>
          <w:szCs w:val="28"/>
        </w:rPr>
        <w:fldChar w:fldCharType="begin"/>
      </w:r>
      <w:r>
        <w:rPr>
          <w:sz w:val="28"/>
          <w:szCs w:val="28"/>
        </w:rPr>
        <w:instrText xml:space="preserve"> PAGEREF _Toc199426959 \h </w:instrText>
      </w:r>
      <w:r>
        <w:rPr>
          <w:sz w:val="28"/>
          <w:szCs w:val="28"/>
        </w:rPr>
        <w:fldChar w:fldCharType="separate"/>
      </w:r>
      <w:r>
        <w:rPr>
          <w:sz w:val="28"/>
          <w:szCs w:val="28"/>
        </w:rPr>
        <w:t>208</w:t>
      </w:r>
      <w:r>
        <w:rPr>
          <w:sz w:val="28"/>
          <w:szCs w:val="28"/>
        </w:rPr>
        <w:fldChar w:fldCharType="end"/>
      </w:r>
      <w:r>
        <w:rPr>
          <w:sz w:val="28"/>
          <w:szCs w:val="28"/>
        </w:rPr>
        <w:fldChar w:fldCharType="end"/>
      </w:r>
    </w:p>
    <w:p w14:paraId="6B381706">
      <w:pPr>
        <w:pStyle w:val="46"/>
        <w:tabs>
          <w:tab w:val="right" w:leader="dot" w:pos="9060"/>
        </w:tabs>
        <w:snapToGrid w:val="0"/>
        <w:ind w:left="560" w:firstLine="560"/>
        <w:rPr>
          <w:kern w:val="2"/>
          <w:sz w:val="28"/>
          <w:szCs w:val="28"/>
        </w:rPr>
      </w:pPr>
      <w:r>
        <w:fldChar w:fldCharType="begin"/>
      </w:r>
      <w:r>
        <w:instrText xml:space="preserve"> HYPERLINK \l "_Toc199426960" </w:instrText>
      </w:r>
      <w:r>
        <w:fldChar w:fldCharType="separate"/>
      </w:r>
      <w:r>
        <w:rPr>
          <w:rStyle w:val="63"/>
          <w:sz w:val="28"/>
          <w:szCs w:val="28"/>
        </w:rPr>
        <w:t>5.1本项目存在的主要危险、有害因素</w:t>
      </w:r>
      <w:r>
        <w:rPr>
          <w:sz w:val="28"/>
          <w:szCs w:val="28"/>
        </w:rPr>
        <w:tab/>
      </w:r>
      <w:r>
        <w:rPr>
          <w:sz w:val="28"/>
          <w:szCs w:val="28"/>
        </w:rPr>
        <w:fldChar w:fldCharType="begin"/>
      </w:r>
      <w:r>
        <w:rPr>
          <w:sz w:val="28"/>
          <w:szCs w:val="28"/>
        </w:rPr>
        <w:instrText xml:space="preserve"> PAGEREF _Toc199426960 \h </w:instrText>
      </w:r>
      <w:r>
        <w:rPr>
          <w:sz w:val="28"/>
          <w:szCs w:val="28"/>
        </w:rPr>
        <w:fldChar w:fldCharType="separate"/>
      </w:r>
      <w:r>
        <w:rPr>
          <w:sz w:val="28"/>
          <w:szCs w:val="28"/>
        </w:rPr>
        <w:t>208</w:t>
      </w:r>
      <w:r>
        <w:rPr>
          <w:sz w:val="28"/>
          <w:szCs w:val="28"/>
        </w:rPr>
        <w:fldChar w:fldCharType="end"/>
      </w:r>
      <w:r>
        <w:rPr>
          <w:sz w:val="28"/>
          <w:szCs w:val="28"/>
        </w:rPr>
        <w:fldChar w:fldCharType="end"/>
      </w:r>
    </w:p>
    <w:p w14:paraId="61D82881">
      <w:pPr>
        <w:pStyle w:val="46"/>
        <w:tabs>
          <w:tab w:val="right" w:leader="dot" w:pos="9060"/>
        </w:tabs>
        <w:snapToGrid w:val="0"/>
        <w:ind w:left="560" w:firstLine="560"/>
        <w:rPr>
          <w:kern w:val="2"/>
          <w:sz w:val="28"/>
          <w:szCs w:val="28"/>
        </w:rPr>
      </w:pPr>
      <w:r>
        <w:fldChar w:fldCharType="begin"/>
      </w:r>
      <w:r>
        <w:instrText xml:space="preserve"> HYPERLINK \l "_Toc199426961" </w:instrText>
      </w:r>
      <w:r>
        <w:fldChar w:fldCharType="separate"/>
      </w:r>
      <w:r>
        <w:rPr>
          <w:rStyle w:val="63"/>
          <w:sz w:val="28"/>
          <w:szCs w:val="28"/>
        </w:rPr>
        <w:t>5.2本项目应重点防范的重大危险、有害因素</w:t>
      </w:r>
      <w:r>
        <w:rPr>
          <w:sz w:val="28"/>
          <w:szCs w:val="28"/>
        </w:rPr>
        <w:tab/>
      </w:r>
      <w:r>
        <w:rPr>
          <w:sz w:val="28"/>
          <w:szCs w:val="28"/>
        </w:rPr>
        <w:fldChar w:fldCharType="begin"/>
      </w:r>
      <w:r>
        <w:rPr>
          <w:sz w:val="28"/>
          <w:szCs w:val="28"/>
        </w:rPr>
        <w:instrText xml:space="preserve"> PAGEREF _Toc199426961 \h </w:instrText>
      </w:r>
      <w:r>
        <w:rPr>
          <w:sz w:val="28"/>
          <w:szCs w:val="28"/>
        </w:rPr>
        <w:fldChar w:fldCharType="separate"/>
      </w:r>
      <w:r>
        <w:rPr>
          <w:sz w:val="28"/>
          <w:szCs w:val="28"/>
        </w:rPr>
        <w:t>208</w:t>
      </w:r>
      <w:r>
        <w:rPr>
          <w:sz w:val="28"/>
          <w:szCs w:val="28"/>
        </w:rPr>
        <w:fldChar w:fldCharType="end"/>
      </w:r>
      <w:r>
        <w:rPr>
          <w:sz w:val="28"/>
          <w:szCs w:val="28"/>
        </w:rPr>
        <w:fldChar w:fldCharType="end"/>
      </w:r>
    </w:p>
    <w:p w14:paraId="3C96C949">
      <w:pPr>
        <w:pStyle w:val="46"/>
        <w:tabs>
          <w:tab w:val="right" w:leader="dot" w:pos="9060"/>
        </w:tabs>
        <w:snapToGrid w:val="0"/>
        <w:ind w:left="560" w:firstLine="560"/>
        <w:rPr>
          <w:kern w:val="2"/>
          <w:sz w:val="28"/>
          <w:szCs w:val="28"/>
        </w:rPr>
      </w:pPr>
      <w:r>
        <w:fldChar w:fldCharType="begin"/>
      </w:r>
      <w:r>
        <w:instrText xml:space="preserve"> HYPERLINK \l "_Toc199426962" </w:instrText>
      </w:r>
      <w:r>
        <w:fldChar w:fldCharType="separate"/>
      </w:r>
      <w:r>
        <w:rPr>
          <w:rStyle w:val="63"/>
          <w:sz w:val="28"/>
          <w:szCs w:val="28"/>
        </w:rPr>
        <w:t>5.3应重视的安全对策措施建议</w:t>
      </w:r>
      <w:r>
        <w:rPr>
          <w:sz w:val="28"/>
          <w:szCs w:val="28"/>
        </w:rPr>
        <w:tab/>
      </w:r>
      <w:r>
        <w:rPr>
          <w:sz w:val="28"/>
          <w:szCs w:val="28"/>
        </w:rPr>
        <w:fldChar w:fldCharType="begin"/>
      </w:r>
      <w:r>
        <w:rPr>
          <w:sz w:val="28"/>
          <w:szCs w:val="28"/>
        </w:rPr>
        <w:instrText xml:space="preserve"> PAGEREF _Toc199426962 \h </w:instrText>
      </w:r>
      <w:r>
        <w:rPr>
          <w:sz w:val="28"/>
          <w:szCs w:val="28"/>
        </w:rPr>
        <w:fldChar w:fldCharType="separate"/>
      </w:r>
      <w:r>
        <w:rPr>
          <w:sz w:val="28"/>
          <w:szCs w:val="28"/>
        </w:rPr>
        <w:t>208</w:t>
      </w:r>
      <w:r>
        <w:rPr>
          <w:sz w:val="28"/>
          <w:szCs w:val="28"/>
        </w:rPr>
        <w:fldChar w:fldCharType="end"/>
      </w:r>
      <w:r>
        <w:rPr>
          <w:sz w:val="28"/>
          <w:szCs w:val="28"/>
        </w:rPr>
        <w:fldChar w:fldCharType="end"/>
      </w:r>
    </w:p>
    <w:p w14:paraId="7FB4C8FC">
      <w:pPr>
        <w:pStyle w:val="46"/>
        <w:tabs>
          <w:tab w:val="right" w:leader="dot" w:pos="9060"/>
        </w:tabs>
        <w:snapToGrid w:val="0"/>
        <w:ind w:left="560" w:firstLine="560"/>
        <w:rPr>
          <w:kern w:val="2"/>
          <w:sz w:val="28"/>
          <w:szCs w:val="28"/>
        </w:rPr>
      </w:pPr>
      <w:r>
        <w:fldChar w:fldCharType="begin"/>
      </w:r>
      <w:r>
        <w:instrText xml:space="preserve"> HYPERLINK \l "_Toc199426963" </w:instrText>
      </w:r>
      <w:r>
        <w:fldChar w:fldCharType="separate"/>
      </w:r>
      <w:r>
        <w:rPr>
          <w:rStyle w:val="63"/>
          <w:sz w:val="28"/>
          <w:szCs w:val="28"/>
        </w:rPr>
        <w:t>5.4评价结果综述</w:t>
      </w:r>
      <w:r>
        <w:rPr>
          <w:sz w:val="28"/>
          <w:szCs w:val="28"/>
        </w:rPr>
        <w:tab/>
      </w:r>
      <w:r>
        <w:rPr>
          <w:sz w:val="28"/>
          <w:szCs w:val="28"/>
        </w:rPr>
        <w:fldChar w:fldCharType="begin"/>
      </w:r>
      <w:r>
        <w:rPr>
          <w:sz w:val="28"/>
          <w:szCs w:val="28"/>
        </w:rPr>
        <w:instrText xml:space="preserve"> PAGEREF _Toc199426963 \h </w:instrText>
      </w:r>
      <w:r>
        <w:rPr>
          <w:sz w:val="28"/>
          <w:szCs w:val="28"/>
        </w:rPr>
        <w:fldChar w:fldCharType="separate"/>
      </w:r>
      <w:r>
        <w:rPr>
          <w:sz w:val="28"/>
          <w:szCs w:val="28"/>
        </w:rPr>
        <w:t>210</w:t>
      </w:r>
      <w:r>
        <w:rPr>
          <w:sz w:val="28"/>
          <w:szCs w:val="28"/>
        </w:rPr>
        <w:fldChar w:fldCharType="end"/>
      </w:r>
      <w:r>
        <w:rPr>
          <w:sz w:val="28"/>
          <w:szCs w:val="28"/>
        </w:rPr>
        <w:fldChar w:fldCharType="end"/>
      </w:r>
    </w:p>
    <w:p w14:paraId="558F7916">
      <w:pPr>
        <w:pStyle w:val="46"/>
        <w:tabs>
          <w:tab w:val="right" w:leader="dot" w:pos="9060"/>
        </w:tabs>
        <w:snapToGrid w:val="0"/>
        <w:ind w:left="560" w:firstLine="560"/>
        <w:rPr>
          <w:kern w:val="2"/>
          <w:sz w:val="28"/>
          <w:szCs w:val="28"/>
        </w:rPr>
      </w:pPr>
      <w:r>
        <w:fldChar w:fldCharType="begin"/>
      </w:r>
      <w:r>
        <w:instrText xml:space="preserve"> HYPERLINK \l "_Toc199426964" </w:instrText>
      </w:r>
      <w:r>
        <w:fldChar w:fldCharType="separate"/>
      </w:r>
      <w:r>
        <w:rPr>
          <w:rStyle w:val="63"/>
          <w:sz w:val="28"/>
          <w:szCs w:val="28"/>
        </w:rPr>
        <w:t>5.5安全预评价结论</w:t>
      </w:r>
      <w:r>
        <w:rPr>
          <w:sz w:val="28"/>
          <w:szCs w:val="28"/>
        </w:rPr>
        <w:tab/>
      </w:r>
      <w:r>
        <w:rPr>
          <w:sz w:val="28"/>
          <w:szCs w:val="28"/>
        </w:rPr>
        <w:fldChar w:fldCharType="begin"/>
      </w:r>
      <w:r>
        <w:rPr>
          <w:sz w:val="28"/>
          <w:szCs w:val="28"/>
        </w:rPr>
        <w:instrText xml:space="preserve"> PAGEREF _Toc199426964 \h </w:instrText>
      </w:r>
      <w:r>
        <w:rPr>
          <w:sz w:val="28"/>
          <w:szCs w:val="28"/>
        </w:rPr>
        <w:fldChar w:fldCharType="separate"/>
      </w:r>
      <w:r>
        <w:rPr>
          <w:sz w:val="28"/>
          <w:szCs w:val="28"/>
        </w:rPr>
        <w:t>210</w:t>
      </w:r>
      <w:r>
        <w:rPr>
          <w:sz w:val="28"/>
          <w:szCs w:val="28"/>
        </w:rPr>
        <w:fldChar w:fldCharType="end"/>
      </w:r>
      <w:r>
        <w:rPr>
          <w:sz w:val="28"/>
          <w:szCs w:val="28"/>
        </w:rPr>
        <w:fldChar w:fldCharType="end"/>
      </w:r>
    </w:p>
    <w:p w14:paraId="7C251F79">
      <w:pPr>
        <w:pStyle w:val="36"/>
        <w:tabs>
          <w:tab w:val="right" w:leader="dot" w:pos="9060"/>
        </w:tabs>
        <w:snapToGrid w:val="0"/>
        <w:spacing w:after="0"/>
        <w:ind w:firstLine="562"/>
        <w:rPr>
          <w:b w:val="0"/>
          <w:kern w:val="2"/>
          <w:sz w:val="28"/>
          <w:szCs w:val="28"/>
        </w:rPr>
      </w:pPr>
      <w:r>
        <w:fldChar w:fldCharType="begin"/>
      </w:r>
      <w:r>
        <w:instrText xml:space="preserve"> HYPERLINK \l "_Toc199426965" </w:instrText>
      </w:r>
      <w:r>
        <w:fldChar w:fldCharType="separate"/>
      </w:r>
      <w:r>
        <w:rPr>
          <w:rStyle w:val="63"/>
          <w:sz w:val="28"/>
          <w:szCs w:val="28"/>
        </w:rPr>
        <w:t>附件</w:t>
      </w:r>
      <w:r>
        <w:rPr>
          <w:sz w:val="28"/>
          <w:szCs w:val="28"/>
        </w:rPr>
        <w:tab/>
      </w:r>
      <w:r>
        <w:rPr>
          <w:sz w:val="28"/>
          <w:szCs w:val="28"/>
        </w:rPr>
        <w:fldChar w:fldCharType="begin"/>
      </w:r>
      <w:r>
        <w:rPr>
          <w:sz w:val="28"/>
          <w:szCs w:val="28"/>
        </w:rPr>
        <w:instrText xml:space="preserve"> PAGEREF _Toc199426965 \h </w:instrText>
      </w:r>
      <w:r>
        <w:rPr>
          <w:sz w:val="28"/>
          <w:szCs w:val="28"/>
        </w:rPr>
        <w:fldChar w:fldCharType="separate"/>
      </w:r>
      <w:r>
        <w:rPr>
          <w:sz w:val="28"/>
          <w:szCs w:val="28"/>
        </w:rPr>
        <w:t>212</w:t>
      </w:r>
      <w:r>
        <w:rPr>
          <w:sz w:val="28"/>
          <w:szCs w:val="28"/>
        </w:rPr>
        <w:fldChar w:fldCharType="end"/>
      </w:r>
      <w:r>
        <w:rPr>
          <w:sz w:val="28"/>
          <w:szCs w:val="28"/>
        </w:rPr>
        <w:fldChar w:fldCharType="end"/>
      </w:r>
    </w:p>
    <w:p w14:paraId="37356709">
      <w:pPr>
        <w:pStyle w:val="36"/>
        <w:tabs>
          <w:tab w:val="right" w:leader="dot" w:pos="9060"/>
        </w:tabs>
        <w:snapToGrid w:val="0"/>
        <w:spacing w:after="0"/>
        <w:ind w:firstLine="562"/>
        <w:rPr>
          <w:b w:val="0"/>
          <w:kern w:val="2"/>
          <w:sz w:val="28"/>
          <w:szCs w:val="28"/>
        </w:rPr>
      </w:pPr>
      <w:r>
        <w:fldChar w:fldCharType="begin"/>
      </w:r>
      <w:r>
        <w:instrText xml:space="preserve"> HYPERLINK \l "_Toc199426966" </w:instrText>
      </w:r>
      <w:r>
        <w:fldChar w:fldCharType="separate"/>
      </w:r>
      <w:r>
        <w:rPr>
          <w:rStyle w:val="63"/>
          <w:sz w:val="28"/>
          <w:szCs w:val="28"/>
        </w:rPr>
        <w:t>附图</w:t>
      </w:r>
      <w:r>
        <w:rPr>
          <w:sz w:val="28"/>
          <w:szCs w:val="28"/>
        </w:rPr>
        <w:tab/>
      </w:r>
      <w:r>
        <w:rPr>
          <w:sz w:val="28"/>
          <w:szCs w:val="28"/>
        </w:rPr>
        <w:fldChar w:fldCharType="begin"/>
      </w:r>
      <w:r>
        <w:rPr>
          <w:sz w:val="28"/>
          <w:szCs w:val="28"/>
        </w:rPr>
        <w:instrText xml:space="preserve"> PAGEREF _Toc199426966 \h </w:instrText>
      </w:r>
      <w:r>
        <w:rPr>
          <w:sz w:val="28"/>
          <w:szCs w:val="28"/>
        </w:rPr>
        <w:fldChar w:fldCharType="separate"/>
      </w:r>
      <w:r>
        <w:rPr>
          <w:sz w:val="28"/>
          <w:szCs w:val="28"/>
        </w:rPr>
        <w:t>213</w:t>
      </w:r>
      <w:r>
        <w:rPr>
          <w:sz w:val="28"/>
          <w:szCs w:val="28"/>
        </w:rPr>
        <w:fldChar w:fldCharType="end"/>
      </w:r>
      <w:r>
        <w:rPr>
          <w:sz w:val="28"/>
          <w:szCs w:val="28"/>
        </w:rPr>
        <w:fldChar w:fldCharType="end"/>
      </w:r>
    </w:p>
    <w:p w14:paraId="61E283AF">
      <w:pPr>
        <w:pStyle w:val="36"/>
        <w:tabs>
          <w:tab w:val="right" w:leader="dot" w:pos="9060"/>
        </w:tabs>
        <w:snapToGrid w:val="0"/>
        <w:spacing w:after="0"/>
        <w:ind w:firstLine="0" w:firstLineChars="0"/>
        <w:jc w:val="both"/>
        <w:rPr>
          <w:sz w:val="28"/>
          <w:szCs w:val="28"/>
        </w:rPr>
      </w:pPr>
      <w:r>
        <w:rPr>
          <w:sz w:val="28"/>
          <w:szCs w:val="28"/>
        </w:rPr>
        <w:fldChar w:fldCharType="end"/>
      </w:r>
    </w:p>
    <w:p w14:paraId="49E2BF51">
      <w:pPr>
        <w:snapToGrid w:val="0"/>
        <w:spacing w:line="360" w:lineRule="auto"/>
        <w:ind w:firstLine="560"/>
        <w:rPr>
          <w:rFonts w:asciiTheme="minorHAnsi" w:hAnsiTheme="minorHAnsi" w:cstheme="minorHAnsi"/>
          <w:szCs w:val="28"/>
        </w:rPr>
      </w:pPr>
    </w:p>
    <w:p w14:paraId="1AD2721A">
      <w:pPr>
        <w:ind w:firstLine="560"/>
        <w:rPr>
          <w:rFonts w:asciiTheme="minorHAnsi" w:hAnsiTheme="minorHAnsi" w:cstheme="minorHAnsi"/>
          <w:szCs w:val="28"/>
        </w:rPr>
      </w:pPr>
    </w:p>
    <w:p w14:paraId="3063160D">
      <w:pPr>
        <w:tabs>
          <w:tab w:val="left" w:pos="5020"/>
        </w:tabs>
        <w:ind w:firstLine="560"/>
        <w:rPr>
          <w:rFonts w:asciiTheme="minorHAnsi" w:hAnsiTheme="minorHAnsi" w:cstheme="minorHAnsi"/>
          <w:szCs w:val="28"/>
        </w:rPr>
        <w:sectPr>
          <w:pgSz w:w="11906" w:h="16838"/>
          <w:pgMar w:top="1418" w:right="1418" w:bottom="1418" w:left="1418" w:header="851" w:footer="992" w:gutter="0"/>
          <w:pgNumType w:fmt="upperRoman"/>
          <w:cols w:space="425" w:num="1"/>
          <w:docGrid w:type="lines" w:linePitch="381" w:charSpace="0"/>
        </w:sectPr>
      </w:pPr>
      <w:r>
        <w:rPr>
          <w:rFonts w:asciiTheme="minorHAnsi" w:hAnsiTheme="minorHAnsi" w:cstheme="minorHAnsi"/>
          <w:szCs w:val="28"/>
        </w:rPr>
        <w:tab/>
      </w:r>
    </w:p>
    <w:p w14:paraId="6246C83E">
      <w:pPr>
        <w:pStyle w:val="3"/>
        <w:spacing w:before="190" w:after="190"/>
        <w:rPr>
          <w:rFonts w:asciiTheme="minorHAnsi" w:hAnsiTheme="minorHAnsi" w:cstheme="minorHAnsi"/>
        </w:rPr>
      </w:pPr>
      <w:bookmarkStart w:id="31" w:name="_Toc199426928"/>
      <w:r>
        <w:rPr>
          <w:rFonts w:asciiTheme="minorHAnsi" w:hAnsiTheme="minorHAnsi" w:cstheme="minorHAnsi"/>
        </w:rPr>
        <w:t>1评价对象与依据</w:t>
      </w:r>
      <w:bookmarkEnd w:id="31"/>
    </w:p>
    <w:p w14:paraId="507CCD30">
      <w:pPr>
        <w:pStyle w:val="4"/>
        <w:spacing w:before="190" w:after="190" w:line="360" w:lineRule="exact"/>
        <w:rPr>
          <w:rFonts w:asciiTheme="minorHAnsi" w:hAnsiTheme="minorHAnsi" w:cstheme="minorHAnsi"/>
        </w:rPr>
      </w:pPr>
      <w:bookmarkStart w:id="32" w:name="_Toc199426929"/>
      <w:r>
        <w:rPr>
          <w:rFonts w:asciiTheme="minorHAnsi" w:hAnsiTheme="minorHAnsi" w:cstheme="minorHAnsi"/>
        </w:rPr>
        <w:t>1.1评价对象和范围</w:t>
      </w:r>
      <w:bookmarkEnd w:id="32"/>
    </w:p>
    <w:p w14:paraId="5ED87C08">
      <w:pPr>
        <w:snapToGrid w:val="0"/>
        <w:spacing w:line="360" w:lineRule="auto"/>
        <w:ind w:firstLine="560"/>
        <w:rPr>
          <w:rFonts w:asciiTheme="minorHAnsi" w:hAnsiTheme="minorHAnsi" w:cstheme="minorHAnsi"/>
        </w:rPr>
      </w:pPr>
      <w:r>
        <w:rPr>
          <w:rFonts w:asciiTheme="minorHAnsi" w:hAnsiTheme="minorHAnsi" w:cstheme="minorHAnsi"/>
        </w:rPr>
        <w:t>评价对象为：</w:t>
      </w:r>
      <w:r>
        <w:rPr>
          <w:rFonts w:hint="eastAsia" w:asciiTheme="minorHAnsi" w:hAnsiTheme="minorHAnsi" w:cstheme="minorHAnsi"/>
        </w:rPr>
        <w:t>山东彭集矿业有限公司彭集铁矿采矿工程</w:t>
      </w:r>
      <w:r>
        <w:rPr>
          <w:rFonts w:asciiTheme="minorHAnsi" w:hAnsiTheme="minorHAnsi" w:cstheme="minorHAnsi"/>
        </w:rPr>
        <w:t>。</w:t>
      </w:r>
    </w:p>
    <w:p w14:paraId="321B37B1">
      <w:pPr>
        <w:snapToGrid w:val="0"/>
        <w:spacing w:line="360" w:lineRule="auto"/>
        <w:ind w:firstLine="560"/>
        <w:rPr>
          <w:rFonts w:asciiTheme="minorHAnsi" w:hAnsiTheme="minorHAnsi" w:cstheme="minorHAnsi"/>
        </w:rPr>
      </w:pPr>
      <w:r>
        <w:rPr>
          <w:rFonts w:asciiTheme="minorHAnsi" w:hAnsiTheme="minorHAnsi" w:cstheme="minorHAnsi"/>
        </w:rPr>
        <w:t>评价范围为：可行性研究报告所涉及的矿山总平面布置、开拓运输、</w:t>
      </w:r>
      <w:r>
        <w:rPr>
          <w:rFonts w:hint="eastAsia" w:asciiTheme="minorHAnsi" w:hAnsiTheme="minorHAnsi" w:cstheme="minorHAnsi"/>
        </w:rPr>
        <w:t>提升运输、采矿</w:t>
      </w:r>
      <w:r>
        <w:rPr>
          <w:rFonts w:asciiTheme="minorHAnsi" w:hAnsiTheme="minorHAnsi" w:cstheme="minorHAnsi"/>
        </w:rPr>
        <w:t>工艺、</w:t>
      </w:r>
      <w:r>
        <w:rPr>
          <w:rFonts w:asciiTheme="minorHAnsi" w:hAnsiTheme="minorHAnsi" w:cstheme="minorHAnsi"/>
          <w:szCs w:val="28"/>
        </w:rPr>
        <w:t>通风系统、</w:t>
      </w:r>
      <w:r>
        <w:rPr>
          <w:rFonts w:asciiTheme="minorHAnsi" w:hAnsiTheme="minorHAnsi" w:cstheme="minorHAnsi"/>
        </w:rPr>
        <w:t>矿山供配电设施、防排水</w:t>
      </w:r>
      <w:r>
        <w:rPr>
          <w:rFonts w:hint="eastAsia" w:asciiTheme="minorHAnsi" w:hAnsiTheme="minorHAnsi" w:cstheme="minorHAnsi"/>
        </w:rPr>
        <w:t>与防灭火、压风及供水系统、安全避险“六大系统”</w:t>
      </w:r>
      <w:r>
        <w:rPr>
          <w:rFonts w:asciiTheme="minorHAnsi" w:hAnsiTheme="minorHAnsi" w:cstheme="minorHAnsi"/>
        </w:rPr>
        <w:t>及安全管理等。</w:t>
      </w:r>
    </w:p>
    <w:p w14:paraId="593453A5">
      <w:pPr>
        <w:snapToGrid w:val="0"/>
        <w:spacing w:line="360" w:lineRule="auto"/>
        <w:ind w:firstLine="560"/>
        <w:rPr>
          <w:rFonts w:asciiTheme="minorHAnsi" w:hAnsiTheme="minorHAnsi" w:cstheme="minorHAnsi"/>
          <w:bCs/>
        </w:rPr>
      </w:pPr>
      <w:r>
        <w:rPr>
          <w:rFonts w:hint="eastAsia" w:asciiTheme="minorHAnsi" w:hAnsiTheme="minorHAnsi" w:cstheme="minorHAnsi"/>
          <w:bCs/>
        </w:rPr>
        <w:t>评价坐标范围：</w:t>
      </w:r>
      <w:r>
        <w:rPr>
          <w:rFonts w:hint="eastAsia" w:asciiTheme="minorHAnsi" w:hAnsiTheme="minorHAnsi" w:cstheme="minorHAnsi"/>
        </w:rPr>
        <w:t>彭集矿段5~19勘探线-100m~-805m之间矿体和冯家庄矿段-100m~475m之间矿体</w:t>
      </w:r>
      <w:r>
        <w:rPr>
          <w:rFonts w:hint="eastAsia" w:asciiTheme="minorHAnsi" w:hAnsiTheme="minorHAnsi" w:cstheme="minorHAnsi"/>
          <w:bCs/>
        </w:rPr>
        <w:t>。</w:t>
      </w:r>
    </w:p>
    <w:p w14:paraId="4779D2AF">
      <w:pPr>
        <w:snapToGrid w:val="0"/>
        <w:spacing w:line="360" w:lineRule="auto"/>
        <w:ind w:firstLine="560"/>
        <w:rPr>
          <w:rFonts w:asciiTheme="minorHAnsi" w:hAnsiTheme="minorHAnsi" w:cstheme="minorHAnsi"/>
          <w:bCs/>
        </w:rPr>
      </w:pPr>
      <w:r>
        <w:rPr>
          <w:rFonts w:asciiTheme="minorHAnsi" w:hAnsiTheme="minorHAnsi" w:cstheme="minorHAnsi"/>
          <w:bCs/>
        </w:rPr>
        <w:t>本评价报告主要对评价范围内的安全设施进行评价，炸药库、选矿厂、</w:t>
      </w:r>
      <w:r>
        <w:rPr>
          <w:rFonts w:hint="eastAsia" w:asciiTheme="minorHAnsi" w:hAnsiTheme="minorHAnsi" w:cstheme="minorHAnsi"/>
          <w:bCs/>
        </w:rPr>
        <w:t>尾矿库、</w:t>
      </w:r>
      <w:r>
        <w:rPr>
          <w:rFonts w:asciiTheme="minorHAnsi" w:hAnsiTheme="minorHAnsi" w:cstheme="minorHAnsi"/>
          <w:bCs/>
        </w:rPr>
        <w:t>职业卫生、环境影响评价及地质灾害评估等问题，不在本次评价范围之内，但报告中会涉及到相关内容，本报告只进行介绍，不做评价，企业应执行国家相关法律、法规、标准和规范要求。</w:t>
      </w:r>
    </w:p>
    <w:p w14:paraId="27945313">
      <w:pPr>
        <w:pStyle w:val="4"/>
        <w:spacing w:before="190" w:after="190" w:line="360" w:lineRule="exact"/>
        <w:rPr>
          <w:rFonts w:asciiTheme="minorHAnsi" w:hAnsiTheme="minorHAnsi" w:cstheme="minorHAnsi"/>
        </w:rPr>
      </w:pPr>
      <w:bookmarkStart w:id="33" w:name="_Toc74410906"/>
      <w:bookmarkStart w:id="34" w:name="_Toc185932596"/>
      <w:bookmarkStart w:id="35" w:name="_Toc312843792"/>
      <w:bookmarkStart w:id="36" w:name="_Toc312842780"/>
      <w:bookmarkStart w:id="37" w:name="_Toc312845922"/>
      <w:bookmarkStart w:id="38" w:name="_Toc313438765"/>
      <w:bookmarkStart w:id="39" w:name="_Toc53991621"/>
      <w:bookmarkStart w:id="40" w:name="_Toc81213013"/>
      <w:bookmarkStart w:id="41" w:name="_Toc199426930"/>
      <w:r>
        <w:rPr>
          <w:rFonts w:asciiTheme="minorHAnsi" w:hAnsiTheme="minorHAnsi" w:cstheme="minorHAnsi"/>
        </w:rPr>
        <w:t>1.2</w:t>
      </w:r>
      <w:bookmarkEnd w:id="33"/>
      <w:bookmarkEnd w:id="34"/>
      <w:bookmarkEnd w:id="35"/>
      <w:bookmarkEnd w:id="36"/>
      <w:bookmarkEnd w:id="37"/>
      <w:bookmarkEnd w:id="38"/>
      <w:bookmarkEnd w:id="39"/>
      <w:bookmarkStart w:id="42" w:name="_Toc74410907"/>
      <w:bookmarkStart w:id="43" w:name="_Toc312843794"/>
      <w:bookmarkStart w:id="44" w:name="_Toc185932597"/>
      <w:bookmarkStart w:id="45" w:name="_Toc312845924"/>
      <w:bookmarkStart w:id="46" w:name="_Toc312842782"/>
      <w:bookmarkStart w:id="47" w:name="_Toc53991622"/>
      <w:bookmarkStart w:id="48" w:name="_Toc313438766"/>
      <w:r>
        <w:rPr>
          <w:rFonts w:asciiTheme="minorHAnsi" w:hAnsiTheme="minorHAnsi" w:cstheme="minorHAnsi"/>
        </w:rPr>
        <w:t>评价依据</w:t>
      </w:r>
      <w:bookmarkEnd w:id="40"/>
      <w:bookmarkEnd w:id="41"/>
      <w:bookmarkEnd w:id="42"/>
      <w:bookmarkEnd w:id="43"/>
      <w:bookmarkEnd w:id="44"/>
      <w:bookmarkEnd w:id="45"/>
      <w:bookmarkEnd w:id="46"/>
      <w:bookmarkEnd w:id="47"/>
      <w:bookmarkEnd w:id="48"/>
    </w:p>
    <w:p w14:paraId="0043CF08">
      <w:pPr>
        <w:pStyle w:val="5"/>
        <w:spacing w:after="190"/>
        <w:rPr>
          <w:rFonts w:asciiTheme="minorHAnsi" w:hAnsiTheme="minorHAnsi" w:cstheme="minorHAnsi"/>
        </w:rPr>
      </w:pPr>
      <w:bookmarkStart w:id="49" w:name="_Toc74410908"/>
      <w:bookmarkStart w:id="50" w:name="_Toc53991623"/>
      <w:r>
        <w:rPr>
          <w:rFonts w:asciiTheme="minorHAnsi" w:hAnsiTheme="minorHAnsi" w:cstheme="minorHAnsi"/>
        </w:rPr>
        <w:t>1.2.1法律法规</w:t>
      </w:r>
      <w:bookmarkEnd w:id="49"/>
      <w:bookmarkEnd w:id="50"/>
    </w:p>
    <w:p w14:paraId="446A1230">
      <w:pPr>
        <w:pStyle w:val="6"/>
        <w:snapToGrid w:val="0"/>
        <w:spacing w:line="360" w:lineRule="auto"/>
        <w:rPr>
          <w:rFonts w:asciiTheme="minorHAnsi" w:hAnsiTheme="minorHAnsi" w:cstheme="minorHAnsi"/>
        </w:rPr>
      </w:pPr>
      <w:r>
        <w:rPr>
          <w:rFonts w:asciiTheme="minorHAnsi" w:hAnsiTheme="minorHAnsi" w:cstheme="minorHAnsi"/>
        </w:rPr>
        <w:t>1.2.1.1法律</w:t>
      </w:r>
    </w:p>
    <w:p w14:paraId="3448A2B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华人民共和国安全生产法》（2002年6月29日第九届全国人民代表大会常务委员会第二十八次会议通过，根据2009年8月27日第十一届全国人民代表大会常务委员会第十次会议《关于修改部分法律的决定》第一次修正，根据2014年8月31日第十二届全国人民代表大会常务委员会第十次会议《关于修改&lt;中华人民共和国安全生产法&gt;的决定》第二次修正，根据2021年6月10日第十三届全国人民代表大会常务委员会第二十九次会议《关于修改&lt;中华人民共和国安全生产法&gt;的决定》第三次修正）</w:t>
      </w:r>
    </w:p>
    <w:p w14:paraId="61962DB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《中华人民共和国矿山安全法》（1992年11月7日第七届全国人民代表大会常务委员会第二十八次会议通过根据2009年8月27日第十一届全国人民代表大会常务委员会第十次会议《关于修改部分法律的决定》修正）</w:t>
      </w:r>
    </w:p>
    <w:p w14:paraId="59641E3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《中华人民共和国矿产资源法》（1986年3月19日第六届全国人民代表大会常务委员会第十五次会议通过  根据1996年8月29日第八届全国人民代表大会常务委员会第二十一次会议《关于修改〈中华人民共和国矿产资源法〉的决定》第一次修正  根据2009年8月27日第十一届全国人民代表大会常务委员会第十次会议《关于修改部分法律的决定》第二次修正  2024年11月8日第十四届全国人民代表大会常务委员会第十二次会议修订）</w:t>
      </w:r>
    </w:p>
    <w:p w14:paraId="70E81D4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华人民共和国消防法》（1998年4月29日第九届全国人民代表大会常务委员会第二次会议通过2008年10月28日第十一届全国人民代表大会常务委员会第五次会议修订根据2019年4月23日第十三届全国人民代表大会常务委员会第十次会议《关于修改〈中华人民共和国建筑法〉等八部法律的决定》第一次修正根据2021年4月29日第十三届全国人民代表大会常务委员会第二十八次会议《关于修改〈中华人民共和国道路交通安全法〉等八部法律的决定》第二次修正）</w:t>
      </w:r>
    </w:p>
    <w:p w14:paraId="13B87CA6">
      <w:pPr>
        <w:pStyle w:val="6"/>
        <w:snapToGrid w:val="0"/>
        <w:spacing w:line="360" w:lineRule="auto"/>
        <w:rPr>
          <w:rFonts w:asciiTheme="minorHAnsi" w:hAnsiTheme="minorHAnsi" w:cstheme="minorHAnsi"/>
        </w:rPr>
      </w:pPr>
      <w:bookmarkStart w:id="51" w:name="_Hlk173930169"/>
      <w:r>
        <w:rPr>
          <w:rFonts w:asciiTheme="minorHAnsi" w:hAnsiTheme="minorHAnsi" w:cstheme="minorHAnsi"/>
        </w:rPr>
        <w:t>1.2.1.2</w:t>
      </w:r>
      <w:bookmarkEnd w:id="51"/>
      <w:r>
        <w:rPr>
          <w:rFonts w:asciiTheme="minorHAnsi" w:hAnsiTheme="minorHAnsi" w:cstheme="minorHAnsi"/>
        </w:rPr>
        <w:t>行政法规</w:t>
      </w:r>
    </w:p>
    <w:p w14:paraId="27929AF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《安全生产许可证条例》（国务院令第397号，根据《国务院关于修改部分行政法规的决定》（国务院令第653号）修改，自2014年7月29日起施行）</w:t>
      </w:r>
    </w:p>
    <w:p w14:paraId="3E50959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《中华人民共和国矿山安全法实施条例》（1996年10月11日国务院批准1996年10月30日劳动部令第4号发布自发布之日起施行）</w:t>
      </w:r>
    </w:p>
    <w:p w14:paraId="1F02958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《公路安全保护条例》（2011年2月16日国务院第144次常务会议通过2011年3月7日中华人民共和国国务院令第593号公布自2011年7月1日起施行）</w:t>
      </w:r>
    </w:p>
    <w:p w14:paraId="5DC936F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《电力设施保护条例》（1987年9月15日国务院发布根据1998年1月7日《国务院关于修改〈电力设施保护条例〉的决定》第一次修订根据2011年1月8日《国务院关于废止和修改部分行政法规的决定》第二次修订）</w:t>
      </w:r>
    </w:p>
    <w:p w14:paraId="50ECFA5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《基本农田保护条例》（1998年12月27日中华人民共和国国务院令第257号发布根据2011年1月8日《国务院关于废止和修改部分行政法规的决定》修订）</w:t>
      </w:r>
    </w:p>
    <w:p w14:paraId="34882FE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《山东省安全生产条例》（2017年1月18日山东省第十二届人民代表大会常务委员会第二十五次会议通过2021年12月3日山东省第十三届人民代表大会常务委员会第三十二次会议修订）</w:t>
      </w:r>
    </w:p>
    <w:p w14:paraId="67A28D87">
      <w:pPr>
        <w:pStyle w:val="6"/>
        <w:snapToGrid w:val="0"/>
        <w:spacing w:line="360" w:lineRule="auto"/>
        <w:rPr>
          <w:rFonts w:asciiTheme="minorHAnsi" w:hAnsiTheme="minorHAnsi" w:cstheme="minorHAnsi"/>
        </w:rPr>
      </w:pPr>
      <w:r>
        <w:rPr>
          <w:rFonts w:asciiTheme="minorHAnsi" w:hAnsiTheme="minorHAnsi" w:cstheme="minorHAnsi"/>
        </w:rPr>
        <w:t>1.2.1.3部门规章</w:t>
      </w:r>
    </w:p>
    <w:p w14:paraId="621C615D">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非煤矿矿山企业安全生产许可证实施办法》（原国家安全生产监督管理总局令第20号，根据《国家安全监管总局关于废止和修改非煤矿矿山领域九部规章的决定》（原国家安全生产监督管理总局令第78号）修正，自2015年7月1日起施行）</w:t>
      </w:r>
    </w:p>
    <w:p w14:paraId="75D00725">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建设项目安全设施“三同时”监督管理办法》（原国家安全生产监督管理总局令第36号，根据《国家安全监管总局关于修改&lt;生产安全事故报告和调查处理条例&gt;罚款处罚暂行规定等四部规章的决定》（原国家安全生产监督管理总局令第77号）修正，自2015年5月1日起施行）</w:t>
      </w:r>
    </w:p>
    <w:p w14:paraId="48AF18E4">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生产经营单位安全培训规定》（原国家安全生产监督管理总局令第3号，根据《国家安全监管总局关于废止和修改劳动防护用品和安全培训等领域十部规章的决定》（2006年1月17日原国家安全生产监督管理总局令第3号公布，自2006年3月1日起施行；根据2013年8月29日原国家安全生产监督管理总局令第63号第一次修正，根据2015年5月29日原国家安全生产监督管理总局令第80号第二次修正）</w:t>
      </w:r>
    </w:p>
    <w:p w14:paraId="005AC5D0">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《企业安全生产费用提取和使用管理办法》（财资[2022]136号，自2022年11月21日起实施）</w:t>
      </w:r>
    </w:p>
    <w:p w14:paraId="35636E04">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非煤矿山外包工程安全管理暂行办法》（原国家安全生产监督管理总局令第62号，根据《国家安全监管总局关于废止和修改非煤矿矿山领域九部规章的决定》（原国家安全生产监督管理总局令第78号）修正，自2015年7月1日起施行）</w:t>
      </w:r>
    </w:p>
    <w:p w14:paraId="428064CC">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《金属非金属矿山建设项目安全设施目录（试行）》（原国家安全生产监督管理总局令第75号，2015年7月1日起施行）</w:t>
      </w:r>
    </w:p>
    <w:p w14:paraId="52A7CA10">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《生产安全事故应急预案管理办法》（应急管理部令第2号，2019年9月1日起施行）</w:t>
      </w:r>
    </w:p>
    <w:p w14:paraId="09FFAD7E">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特种作业人员安全技术培训考核管理规定》（2010年5月24日原国家安全生产监督管理总局令第30号公布，自2010年7月1日起施行；根据2013年8月29日原国家安全生产监督管理总局令第63号第一次修正，2015年5月29日原国家安全生产监督管理总局令第80号第二次修正）</w:t>
      </w:r>
    </w:p>
    <w:p w14:paraId="30AF80E8">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安全生产培训管理办法》（2012年1月19日原国家安全生产监督管理总局令第44号公布，自2012年3月1日起施行；根据2013年8月29日原国家安全生产监督管理总局令第63号第一次修正，根据2015年5月29日原国家安全生产监督管理总局令第80号第二次修正）</w:t>
      </w:r>
    </w:p>
    <w:p w14:paraId="57F11EB8">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《安全生产违法行为行政处罚办法》（2007年11月30日原国家安全生产监督管理总局令第15号公布，自2008年1月1日起施行；根据2015年4月2日原国家安全生产监督管理总局令第77号修正）</w:t>
      </w:r>
    </w:p>
    <w:p w14:paraId="58345BE6">
      <w:pPr>
        <w:tabs>
          <w:tab w:val="left" w:pos="720"/>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《矿山救援规程》（应急管理部令第16号）</w:t>
      </w:r>
    </w:p>
    <w:p w14:paraId="6BB66556">
      <w:pPr>
        <w:pStyle w:val="6"/>
        <w:snapToGrid w:val="0"/>
        <w:spacing w:line="360" w:lineRule="auto"/>
        <w:rPr>
          <w:rFonts w:asciiTheme="minorHAnsi" w:hAnsiTheme="minorHAnsi" w:cstheme="minorHAnsi"/>
        </w:rPr>
      </w:pPr>
      <w:r>
        <w:rPr>
          <w:rFonts w:asciiTheme="minorHAnsi" w:hAnsiTheme="minorHAnsi" w:cstheme="minorHAnsi"/>
        </w:rPr>
        <w:t>1.2.1.4规范性文件</w:t>
      </w:r>
    </w:p>
    <w:p w14:paraId="5FB319F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《国家安全监管总局关于发布金属非金属矿山禁止使用的设备及工艺目录（第一批）的通知》（安监总管一〔2013〕101号）</w:t>
      </w:r>
    </w:p>
    <w:p w14:paraId="74F7B2F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《国家安全监管总局关于发布金属非金属矿山禁止使用的设备及工艺目录（第二批）的通知》（安监总管一〔2015〕13号）</w:t>
      </w:r>
    </w:p>
    <w:p w14:paraId="5D992A8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《国家安全监管总局关于印发金属非金属矿山建设项目安全评价报告编写提纲的通知》（安监总管一〔2016〕49号）</w:t>
      </w:r>
    </w:p>
    <w:p w14:paraId="00BC3F9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《国家矿山安全监察局关于印发&lt;矿山重大隐患调查处理办法（试行）&gt;的通知》（矿安〔2021〕49号）</w:t>
      </w:r>
    </w:p>
    <w:p w14:paraId="763CAA1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《国家矿山安全监察局关于印发&lt;关于加强非煤矿山安全生产工作的指导意见&gt;的通知》（矿安〔2022〕4号）</w:t>
      </w:r>
    </w:p>
    <w:p w14:paraId="58009E6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《关于进一步强化安全生产责任落实坚决防范遏制矿山重特大事故的若干措施》（矿安〔2022〕70号）</w:t>
      </w:r>
    </w:p>
    <w:p w14:paraId="2AC9EC2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《国家矿山安全监察局关于印发〈金属非金属矿山重大事故隐患判定标准〉的通知》（矿安〔2022〕88号）</w:t>
      </w:r>
    </w:p>
    <w:p w14:paraId="1F763F8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《国家矿山安全监察局关于印发&lt;执行安全标志管理的矿用产品目录&gt;的通知》（矿安〔2022〕123号）</w:t>
      </w:r>
    </w:p>
    <w:p w14:paraId="50F0D37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《中共中央办公厅</w:t>
      </w:r>
      <w:r>
        <w:rPr>
          <w:rFonts w:asciiTheme="minorHAnsi" w:hAnsiTheme="minorHAnsi" w:cstheme="minorHAnsi"/>
          <w:szCs w:val="28"/>
        </w:rPr>
        <w:t> </w:t>
      </w:r>
      <w:r>
        <w:rPr>
          <w:rFonts w:hint="eastAsia" w:asciiTheme="minorHAnsi" w:hAnsiTheme="minorHAnsi" w:cstheme="minorHAnsi"/>
          <w:szCs w:val="28"/>
        </w:rPr>
        <w:t>国务院办公厅关于进一步加强矿山安全生产工作的意见》（厅字〔</w:t>
      </w:r>
      <w:r>
        <w:rPr>
          <w:rFonts w:asciiTheme="minorHAnsi" w:hAnsiTheme="minorHAnsi" w:cstheme="minorHAnsi"/>
          <w:szCs w:val="28"/>
        </w:rPr>
        <w:t>2023</w:t>
      </w:r>
      <w:r>
        <w:rPr>
          <w:rFonts w:hint="eastAsia" w:asciiTheme="minorHAnsi" w:hAnsiTheme="minorHAnsi" w:cstheme="minorHAnsi"/>
          <w:szCs w:val="28"/>
        </w:rPr>
        <w:t>〕</w:t>
      </w:r>
      <w:r>
        <w:rPr>
          <w:rFonts w:asciiTheme="minorHAnsi" w:hAnsiTheme="minorHAnsi" w:cstheme="minorHAnsi"/>
          <w:szCs w:val="28"/>
        </w:rPr>
        <w:t>21</w:t>
      </w:r>
      <w:r>
        <w:rPr>
          <w:rFonts w:hint="eastAsia" w:asciiTheme="minorHAnsi" w:hAnsiTheme="minorHAnsi" w:cstheme="minorHAnsi"/>
          <w:szCs w:val="28"/>
        </w:rPr>
        <w:t>号）</w:t>
      </w:r>
    </w:p>
    <w:p w14:paraId="45EB309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国家矿山安全监察局关于印发《矿山生产安全事故报告和调查处理办法》的通知（矿安〔2023〕7号）</w:t>
      </w:r>
    </w:p>
    <w:p w14:paraId="2FC3CC7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国家矿山安全监察局关于印发《防范非煤矿山典型多发事故六十条措施》的通知（矿安〔2023〕124号）</w:t>
      </w:r>
    </w:p>
    <w:p w14:paraId="515CC8B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国家矿山安全监察局关于印发《非煤矿山建设项目安全设施重大变更范围》的通知（矿安〔2023〕147号）</w:t>
      </w:r>
    </w:p>
    <w:p w14:paraId="3E1B035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国务院安全生产委员会印发《关于防范遏制矿山领域重特大生产安全事故的硬措施》的通知（安委〔2024〕1号）</w:t>
      </w:r>
    </w:p>
    <w:p w14:paraId="1C9A544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《金属非金属矿山重大事故隐患判定标准补充情形》（矿安〔2024〕41 号）</w:t>
      </w:r>
    </w:p>
    <w:p w14:paraId="3B72CCE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《国家矿山安全监察局关于印发&lt;2024年矿山安全先进适用技术及装备推广目录与落后工艺及设备淘汰目录&gt;的通知》（矿安〔2024〕68号）</w:t>
      </w:r>
    </w:p>
    <w:p w14:paraId="679FAFB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《国家矿山安全监察局关于进一步加强非煤矿山安全生产行政许可工作的通知》（矿安〔2024〕70号）</w:t>
      </w:r>
    </w:p>
    <w:p w14:paraId="62E6549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《山东省生产安全事故应急办法》（山东省人民政府令第341号，自2021年4月1日起施行）</w:t>
      </w:r>
    </w:p>
    <w:p w14:paraId="3947662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《山东省安全生产风险管控办法》（省政府令第331号）</w:t>
      </w:r>
    </w:p>
    <w:p w14:paraId="03264BA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《山东省生产安全事故隐患排查治理办法》（山东省人民政府令第347号，2022年2月15日省政府第145次常务会议审议通过，自2022年5月1日起施行）</w:t>
      </w:r>
    </w:p>
    <w:p w14:paraId="6F30C73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《山东省生产安全事故应急预案管理办法》（鲁应急发〔2023〕5号）</w:t>
      </w:r>
    </w:p>
    <w:p w14:paraId="3D58683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《山东省生产经营单位安全生产主体责任规定》（2013年2月2日山东省人民政府令第260号公布 根据2016年6月7日山东省人民政府令第303号《山东省人民政府关于修改〈山东省生产经营单位安全生产主体责任规定〉的决定》第一次修正 根据2018年1月24日山东省人民政府令第311号《山东省人民政府关于修改〈山东省节约用水办法〉等33件省政府规章的决定》第二次修正 根据2024年1月4日山东省人民政府令第357号《山东省人民政府关于修改和废止部分省政府规章的决定》第三次修正）</w:t>
      </w:r>
    </w:p>
    <w:p w14:paraId="03A417D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《关于印发山东省标本兼治遏制重特大事故工作指导方案的通知》（山东省人民政府办公厅鲁政办发〔 2016〕 32 号）</w:t>
      </w:r>
    </w:p>
    <w:p w14:paraId="4932B27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《关于切实加强企业安全培训工作的通知》（鲁应急发〔 2019〕33号）</w:t>
      </w:r>
    </w:p>
    <w:p w14:paraId="38F4B37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《关于做好全省非煤地下矿山智能化建设的指导意见的通知》（鲁应急函〔2021〕32号）</w:t>
      </w:r>
    </w:p>
    <w:p w14:paraId="1E96370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《关于印发《山东省落实地下非煤矿山企业安全生产主体责任的若干规定》 的通知》（鲁应急发〔2021〕7号）</w:t>
      </w:r>
    </w:p>
    <w:p w14:paraId="03C9A3A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《山东省生产经营单位安全总监制度实施办法（试行） 》（鲁政办字〔2023〕 116号）</w:t>
      </w:r>
    </w:p>
    <w:p w14:paraId="6997A8D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《山东省人民政府安全生产委员会关于印发&lt;关于防范遏制矿山领域重特大生产安全事故的硬措施&gt;的通知》（鲁安发〔2024〕5 号）</w:t>
      </w:r>
    </w:p>
    <w:p w14:paraId="7A3506E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国家矿山安全监察局山东局 山东省应急管理厅《关于加强金属非金属地下矿山提升系统安全管理的通知》（矿安鲁〔2024〕35 号）</w:t>
      </w:r>
    </w:p>
    <w:p w14:paraId="5F570B6F">
      <w:pPr>
        <w:pStyle w:val="5"/>
        <w:spacing w:after="190"/>
        <w:rPr>
          <w:rFonts w:asciiTheme="minorHAnsi" w:hAnsiTheme="minorHAnsi" w:cstheme="minorHAnsi"/>
        </w:rPr>
      </w:pPr>
      <w:r>
        <w:rPr>
          <w:rFonts w:asciiTheme="minorHAnsi" w:hAnsiTheme="minorHAnsi" w:cstheme="minorHAnsi"/>
        </w:rPr>
        <w:t>1.2.2标准规范</w:t>
      </w:r>
    </w:p>
    <w:p w14:paraId="295E85A8">
      <w:pPr>
        <w:snapToGrid w:val="0"/>
        <w:spacing w:line="360" w:lineRule="auto"/>
        <w:ind w:firstLine="560"/>
        <w:rPr>
          <w:rFonts w:asciiTheme="minorHAnsi" w:hAnsiTheme="minorHAnsi" w:cstheme="minorHAnsi"/>
        </w:rPr>
      </w:pPr>
      <w:r>
        <w:rPr>
          <w:rFonts w:hint="eastAsia" w:asciiTheme="minorHAnsi" w:hAnsiTheme="minorHAnsi" w:cstheme="minorHAnsi"/>
        </w:rPr>
        <w:t>《企业职工伤亡事故分类》（GB6441-1986）</w:t>
      </w:r>
    </w:p>
    <w:p w14:paraId="2A3A39D3">
      <w:pPr>
        <w:snapToGrid w:val="0"/>
        <w:spacing w:line="360" w:lineRule="auto"/>
        <w:ind w:firstLine="560"/>
        <w:rPr>
          <w:rFonts w:asciiTheme="minorHAnsi" w:hAnsiTheme="minorHAnsi" w:cstheme="minorHAnsi"/>
        </w:rPr>
      </w:pPr>
      <w:r>
        <w:rPr>
          <w:rFonts w:hint="eastAsia" w:asciiTheme="minorHAnsi" w:hAnsiTheme="minorHAnsi" w:cstheme="minorHAnsi"/>
        </w:rPr>
        <w:t xml:space="preserve">《建筑灭火器配置设计规范》（GB50140-2005）    </w:t>
      </w:r>
    </w:p>
    <w:p w14:paraId="6980924D">
      <w:pPr>
        <w:snapToGrid w:val="0"/>
        <w:spacing w:line="360" w:lineRule="auto"/>
        <w:ind w:firstLine="560"/>
        <w:rPr>
          <w:rFonts w:asciiTheme="minorHAnsi" w:hAnsiTheme="minorHAnsi" w:cstheme="minorHAnsi"/>
        </w:rPr>
      </w:pPr>
      <w:r>
        <w:rPr>
          <w:rFonts w:hint="eastAsia" w:asciiTheme="minorHAnsi" w:hAnsiTheme="minorHAnsi" w:cstheme="minorHAnsi"/>
        </w:rPr>
        <w:t>《矿用人车 安全要求》（GB 21011-2007）</w:t>
      </w:r>
    </w:p>
    <w:p w14:paraId="16C92B8C">
      <w:pPr>
        <w:snapToGrid w:val="0"/>
        <w:spacing w:line="360" w:lineRule="auto"/>
        <w:ind w:firstLine="560"/>
        <w:rPr>
          <w:rFonts w:asciiTheme="minorHAnsi" w:hAnsiTheme="minorHAnsi" w:cstheme="minorHAnsi"/>
        </w:rPr>
      </w:pPr>
      <w:r>
        <w:rPr>
          <w:rFonts w:hint="eastAsia" w:asciiTheme="minorHAnsi" w:hAnsiTheme="minorHAnsi" w:cstheme="minorHAnsi"/>
        </w:rPr>
        <w:t>《矿山安全标志》（GB 14161-2008）</w:t>
      </w:r>
    </w:p>
    <w:p w14:paraId="3E984FCF">
      <w:pPr>
        <w:snapToGrid w:val="0"/>
        <w:spacing w:line="360" w:lineRule="auto"/>
        <w:ind w:firstLine="560"/>
        <w:rPr>
          <w:rFonts w:asciiTheme="minorHAnsi" w:hAnsiTheme="minorHAnsi" w:cstheme="minorHAnsi"/>
        </w:rPr>
      </w:pPr>
      <w:r>
        <w:rPr>
          <w:rFonts w:hint="eastAsia" w:asciiTheme="minorHAnsi" w:hAnsiTheme="minorHAnsi" w:cstheme="minorHAnsi"/>
        </w:rPr>
        <w:t>《工业企业厂内铁路、道路运输安全规程》（GB4387-2008）</w:t>
      </w:r>
    </w:p>
    <w:p w14:paraId="743A89A5">
      <w:pPr>
        <w:snapToGrid w:val="0"/>
        <w:spacing w:line="360" w:lineRule="auto"/>
        <w:ind w:firstLine="560"/>
        <w:rPr>
          <w:rFonts w:asciiTheme="minorHAnsi" w:hAnsiTheme="minorHAnsi" w:cstheme="minorHAnsi"/>
        </w:rPr>
      </w:pPr>
      <w:r>
        <w:rPr>
          <w:rFonts w:hint="eastAsia" w:asciiTheme="minorHAnsi" w:hAnsiTheme="minorHAnsi" w:cstheme="minorHAnsi"/>
        </w:rPr>
        <w:t>《地下矿用无轨轮胎式运矿车 安全要求》（GB 21500-2008）</w:t>
      </w:r>
    </w:p>
    <w:p w14:paraId="04BF69CB">
      <w:pPr>
        <w:snapToGrid w:val="0"/>
        <w:spacing w:line="360" w:lineRule="auto"/>
        <w:ind w:firstLine="560"/>
        <w:rPr>
          <w:rFonts w:asciiTheme="minorHAnsi" w:hAnsiTheme="minorHAnsi" w:cstheme="minorHAnsi"/>
        </w:rPr>
      </w:pPr>
      <w:r>
        <w:rPr>
          <w:rFonts w:hint="eastAsia" w:asciiTheme="minorHAnsi" w:hAnsiTheme="minorHAnsi" w:cstheme="minorHAnsi"/>
        </w:rPr>
        <w:t>《供配电系统设计规范》（GB50052-2009）</w:t>
      </w:r>
    </w:p>
    <w:p w14:paraId="3E4A451F">
      <w:pPr>
        <w:snapToGrid w:val="0"/>
        <w:spacing w:line="360" w:lineRule="auto"/>
        <w:ind w:firstLine="560"/>
        <w:rPr>
          <w:rFonts w:asciiTheme="minorHAnsi" w:hAnsiTheme="minorHAnsi" w:cstheme="minorHAnsi"/>
        </w:rPr>
      </w:pPr>
      <w:r>
        <w:rPr>
          <w:rFonts w:hint="eastAsia" w:asciiTheme="minorHAnsi" w:hAnsiTheme="minorHAnsi" w:cstheme="minorHAnsi"/>
        </w:rPr>
        <w:t>《工业企业设计卫生标准》（GBZ1-2010）</w:t>
      </w:r>
    </w:p>
    <w:p w14:paraId="424A8ED4">
      <w:pPr>
        <w:snapToGrid w:val="0"/>
        <w:spacing w:line="360" w:lineRule="auto"/>
        <w:ind w:firstLine="560"/>
        <w:rPr>
          <w:rFonts w:asciiTheme="minorHAnsi" w:hAnsiTheme="minorHAnsi" w:cstheme="minorHAnsi"/>
        </w:rPr>
      </w:pPr>
      <w:r>
        <w:rPr>
          <w:rFonts w:hint="eastAsia" w:asciiTheme="minorHAnsi" w:hAnsiTheme="minorHAnsi" w:cstheme="minorHAnsi"/>
        </w:rPr>
        <w:t>《建筑物防雷设计规范》（GB50057-2010）</w:t>
      </w:r>
    </w:p>
    <w:p w14:paraId="41562951">
      <w:pPr>
        <w:snapToGrid w:val="0"/>
        <w:spacing w:line="360" w:lineRule="auto"/>
        <w:ind w:firstLine="560"/>
        <w:rPr>
          <w:rFonts w:asciiTheme="minorHAnsi" w:hAnsiTheme="minorHAnsi" w:cstheme="minorHAnsi"/>
        </w:rPr>
      </w:pPr>
      <w:r>
        <w:rPr>
          <w:rFonts w:hint="eastAsia" w:asciiTheme="minorHAnsi" w:hAnsiTheme="minorHAnsi" w:cstheme="minorHAnsi"/>
        </w:rPr>
        <w:t>《建筑抗震设计规范》（GB50011-2010）[2016年版]</w:t>
      </w:r>
    </w:p>
    <w:p w14:paraId="217BDB26">
      <w:pPr>
        <w:snapToGrid w:val="0"/>
        <w:spacing w:line="360" w:lineRule="auto"/>
        <w:ind w:firstLine="560"/>
        <w:rPr>
          <w:rFonts w:asciiTheme="minorHAnsi" w:hAnsiTheme="minorHAnsi" w:cstheme="minorHAnsi"/>
        </w:rPr>
      </w:pPr>
      <w:r>
        <w:rPr>
          <w:rFonts w:hint="eastAsia" w:asciiTheme="minorHAnsi" w:hAnsiTheme="minorHAnsi" w:cstheme="minorHAnsi"/>
        </w:rPr>
        <w:t>《地下铲运机 安全要求》（GB 25518-2010）</w:t>
      </w:r>
    </w:p>
    <w:p w14:paraId="279308AA">
      <w:pPr>
        <w:snapToGrid w:val="0"/>
        <w:spacing w:line="360" w:lineRule="auto"/>
        <w:ind w:firstLine="560"/>
        <w:rPr>
          <w:rFonts w:asciiTheme="minorHAnsi" w:hAnsiTheme="minorHAnsi" w:cstheme="minorHAnsi"/>
        </w:rPr>
      </w:pPr>
      <w:r>
        <w:rPr>
          <w:rFonts w:hint="eastAsia" w:asciiTheme="minorHAnsi" w:hAnsiTheme="minorHAnsi" w:cstheme="minorHAnsi"/>
        </w:rPr>
        <w:t>《低压配电设计规范》（GB50054-2011）</w:t>
      </w:r>
    </w:p>
    <w:p w14:paraId="4EC01CA7">
      <w:pPr>
        <w:snapToGrid w:val="0"/>
        <w:spacing w:line="360" w:lineRule="auto"/>
        <w:ind w:firstLine="560"/>
        <w:rPr>
          <w:rFonts w:asciiTheme="minorHAnsi" w:hAnsiTheme="minorHAnsi" w:cstheme="minorHAnsi"/>
        </w:rPr>
      </w:pPr>
      <w:r>
        <w:rPr>
          <w:rFonts w:hint="eastAsia" w:asciiTheme="minorHAnsi" w:hAnsiTheme="minorHAnsi" w:cstheme="minorHAnsi"/>
        </w:rPr>
        <w:t>《通用用电设备配电设计规范》（GB50055-2011）</w:t>
      </w:r>
    </w:p>
    <w:p w14:paraId="3B1803AB">
      <w:pPr>
        <w:snapToGrid w:val="0"/>
        <w:spacing w:line="360" w:lineRule="auto"/>
        <w:ind w:firstLine="560"/>
        <w:rPr>
          <w:rFonts w:asciiTheme="minorHAnsi" w:hAnsiTheme="minorHAnsi" w:cstheme="minorHAnsi"/>
        </w:rPr>
      </w:pPr>
      <w:r>
        <w:rPr>
          <w:rFonts w:hint="eastAsia" w:asciiTheme="minorHAnsi" w:hAnsiTheme="minorHAnsi" w:cstheme="minorHAnsi"/>
        </w:rPr>
        <w:t>《工业企业总平面设计规范》（GB50187-2012）</w:t>
      </w:r>
    </w:p>
    <w:p w14:paraId="39CC0418">
      <w:pPr>
        <w:snapToGrid w:val="0"/>
        <w:spacing w:line="360" w:lineRule="auto"/>
        <w:ind w:firstLine="560"/>
        <w:rPr>
          <w:rFonts w:asciiTheme="minorHAnsi" w:hAnsiTheme="minorHAnsi" w:cstheme="minorHAnsi"/>
        </w:rPr>
      </w:pPr>
      <w:r>
        <w:rPr>
          <w:rFonts w:hint="eastAsia" w:asciiTheme="minorHAnsi" w:hAnsiTheme="minorHAnsi" w:cstheme="minorHAnsi"/>
        </w:rPr>
        <w:t>《带式输送机安全规范》（GB 14784-2013）</w:t>
      </w:r>
    </w:p>
    <w:p w14:paraId="23517829">
      <w:pPr>
        <w:snapToGrid w:val="0"/>
        <w:spacing w:line="360" w:lineRule="auto"/>
        <w:ind w:firstLine="560"/>
        <w:rPr>
          <w:rFonts w:asciiTheme="minorHAnsi" w:hAnsiTheme="minorHAnsi" w:cstheme="minorHAnsi"/>
        </w:rPr>
      </w:pPr>
      <w:r>
        <w:rPr>
          <w:rFonts w:hint="eastAsia" w:asciiTheme="minorHAnsi" w:hAnsiTheme="minorHAnsi" w:cstheme="minorHAnsi"/>
        </w:rPr>
        <w:t>《冶金矿山采矿设计规范》（GB50830-2013）</w:t>
      </w:r>
    </w:p>
    <w:p w14:paraId="077B89DA">
      <w:pPr>
        <w:snapToGrid w:val="0"/>
        <w:spacing w:line="360" w:lineRule="auto"/>
        <w:ind w:firstLine="560"/>
        <w:rPr>
          <w:rFonts w:asciiTheme="minorHAnsi" w:hAnsiTheme="minorHAnsi" w:cstheme="minorHAnsi"/>
        </w:rPr>
      </w:pPr>
      <w:r>
        <w:rPr>
          <w:rFonts w:hint="eastAsia" w:asciiTheme="minorHAnsi" w:hAnsiTheme="minorHAnsi" w:cstheme="minorHAnsi"/>
        </w:rPr>
        <w:t xml:space="preserve">《建筑照明设计标准》（GB50034-2013）  </w:t>
      </w:r>
    </w:p>
    <w:p w14:paraId="29641237">
      <w:pPr>
        <w:snapToGrid w:val="0"/>
        <w:spacing w:line="360" w:lineRule="auto"/>
        <w:ind w:firstLine="560"/>
        <w:rPr>
          <w:rFonts w:asciiTheme="minorHAnsi" w:hAnsiTheme="minorHAnsi" w:cstheme="minorHAnsi"/>
        </w:rPr>
      </w:pPr>
      <w:r>
        <w:rPr>
          <w:rFonts w:hint="eastAsia" w:asciiTheme="minorHAnsi" w:hAnsiTheme="minorHAnsi" w:cstheme="minorHAnsi"/>
        </w:rPr>
        <w:t xml:space="preserve">《爆破安全规程》（GB6722-2014）   </w:t>
      </w:r>
    </w:p>
    <w:p w14:paraId="7F1B8D49">
      <w:pPr>
        <w:snapToGrid w:val="0"/>
        <w:spacing w:line="360" w:lineRule="auto"/>
        <w:ind w:firstLine="560"/>
        <w:rPr>
          <w:rFonts w:asciiTheme="minorHAnsi" w:hAnsiTheme="minorHAnsi" w:cstheme="minorHAnsi"/>
        </w:rPr>
      </w:pPr>
      <w:r>
        <w:rPr>
          <w:rFonts w:hint="eastAsia" w:asciiTheme="minorHAnsi" w:hAnsiTheme="minorHAnsi" w:cstheme="minorHAnsi"/>
        </w:rPr>
        <w:t>《建筑设计防火规范》（GB50016-2014）（2018年版）</w:t>
      </w:r>
    </w:p>
    <w:p w14:paraId="5F082A65">
      <w:pPr>
        <w:snapToGrid w:val="0"/>
        <w:spacing w:line="360" w:lineRule="auto"/>
        <w:ind w:firstLine="560"/>
        <w:rPr>
          <w:rFonts w:asciiTheme="minorHAnsi" w:hAnsiTheme="minorHAnsi" w:cstheme="minorHAnsi"/>
        </w:rPr>
      </w:pPr>
      <w:r>
        <w:rPr>
          <w:rFonts w:hint="eastAsia" w:asciiTheme="minorHAnsi" w:hAnsiTheme="minorHAnsi" w:cstheme="minorHAnsi"/>
        </w:rPr>
        <w:t>《中国地震动参数区划图》（GB 18306-2015）</w:t>
      </w:r>
    </w:p>
    <w:p w14:paraId="574F4EB7">
      <w:pPr>
        <w:snapToGrid w:val="0"/>
        <w:spacing w:line="360" w:lineRule="auto"/>
        <w:ind w:firstLine="560"/>
        <w:rPr>
          <w:rFonts w:asciiTheme="minorHAnsi" w:hAnsiTheme="minorHAnsi" w:cstheme="minorHAnsi"/>
        </w:rPr>
      </w:pPr>
      <w:r>
        <w:rPr>
          <w:rFonts w:hint="eastAsia" w:asciiTheme="minorHAnsi" w:hAnsiTheme="minorHAnsi" w:cstheme="minorHAnsi"/>
        </w:rPr>
        <w:t>《用电安全导则》（GB/T 13869-2017）</w:t>
      </w:r>
    </w:p>
    <w:p w14:paraId="188B9D25">
      <w:pPr>
        <w:snapToGrid w:val="0"/>
        <w:spacing w:line="360" w:lineRule="auto"/>
        <w:ind w:firstLine="560"/>
        <w:rPr>
          <w:rFonts w:asciiTheme="minorHAnsi" w:hAnsiTheme="minorHAnsi" w:cstheme="minorHAnsi"/>
        </w:rPr>
      </w:pPr>
      <w:r>
        <w:rPr>
          <w:rFonts w:hint="eastAsia" w:asciiTheme="minorHAnsi" w:hAnsiTheme="minorHAnsi" w:cstheme="minorHAnsi"/>
        </w:rPr>
        <w:t>《危险化学品重大危险源辨识》（GB 18218-2018）</w:t>
      </w:r>
    </w:p>
    <w:p w14:paraId="3F18660A">
      <w:pPr>
        <w:snapToGrid w:val="0"/>
        <w:spacing w:line="360" w:lineRule="auto"/>
        <w:ind w:firstLine="560"/>
        <w:rPr>
          <w:rFonts w:asciiTheme="minorHAnsi" w:hAnsiTheme="minorHAnsi" w:cstheme="minorHAnsi"/>
        </w:rPr>
      </w:pPr>
      <w:r>
        <w:rPr>
          <w:rFonts w:hint="eastAsia" w:asciiTheme="minorHAnsi" w:hAnsiTheme="minorHAnsi" w:cstheme="minorHAnsi"/>
        </w:rPr>
        <w:t>《金属非金属矿山安全规程》（GB16423-2020）</w:t>
      </w:r>
    </w:p>
    <w:p w14:paraId="260F600E">
      <w:pPr>
        <w:snapToGrid w:val="0"/>
        <w:spacing w:line="360" w:lineRule="auto"/>
        <w:ind w:firstLine="560"/>
        <w:rPr>
          <w:rFonts w:asciiTheme="minorHAnsi" w:hAnsiTheme="minorHAnsi" w:cstheme="minorHAnsi"/>
        </w:rPr>
      </w:pPr>
      <w:r>
        <w:rPr>
          <w:rFonts w:hint="eastAsia" w:asciiTheme="minorHAnsi" w:hAnsiTheme="minorHAnsi" w:cstheme="minorHAnsi"/>
        </w:rPr>
        <w:t xml:space="preserve">《矿山电力设计标准》（GB50070-2020）  </w:t>
      </w:r>
    </w:p>
    <w:p w14:paraId="36E4CB6F">
      <w:pPr>
        <w:snapToGrid w:val="0"/>
        <w:spacing w:line="360" w:lineRule="auto"/>
        <w:ind w:firstLine="560"/>
        <w:rPr>
          <w:rFonts w:asciiTheme="minorHAnsi" w:hAnsiTheme="minorHAnsi" w:cstheme="minorHAnsi"/>
        </w:rPr>
      </w:pPr>
      <w:r>
        <w:rPr>
          <w:rFonts w:hint="eastAsia" w:asciiTheme="minorHAnsi" w:hAnsiTheme="minorHAnsi" w:cstheme="minorHAnsi"/>
        </w:rPr>
        <w:t>《生产经营单位生产安全事故应急预案编制导则》（GB/T 29639-2020）</w:t>
      </w:r>
    </w:p>
    <w:p w14:paraId="3110E9D4">
      <w:pPr>
        <w:snapToGrid w:val="0"/>
        <w:spacing w:line="360" w:lineRule="auto"/>
        <w:ind w:firstLine="560"/>
        <w:rPr>
          <w:rFonts w:asciiTheme="minorHAnsi" w:hAnsiTheme="minorHAnsi" w:cstheme="minorHAnsi"/>
        </w:rPr>
      </w:pPr>
      <w:r>
        <w:rPr>
          <w:rFonts w:hint="eastAsia" w:asciiTheme="minorHAnsi" w:hAnsiTheme="minorHAnsi" w:cstheme="minorHAnsi"/>
        </w:rPr>
        <w:t>《带式输送机工程技术标准》（GB 50431-2020）</w:t>
      </w:r>
    </w:p>
    <w:p w14:paraId="63BE6DE2">
      <w:pPr>
        <w:snapToGrid w:val="0"/>
        <w:spacing w:line="360" w:lineRule="auto"/>
        <w:ind w:firstLine="560"/>
        <w:rPr>
          <w:rFonts w:asciiTheme="minorHAnsi" w:hAnsiTheme="minorHAnsi" w:cstheme="minorHAnsi"/>
        </w:rPr>
      </w:pPr>
      <w:r>
        <w:rPr>
          <w:rFonts w:hint="eastAsia" w:asciiTheme="minorHAnsi" w:hAnsiTheme="minorHAnsi" w:cstheme="minorHAnsi"/>
        </w:rPr>
        <w:t>《工程岩体分级标准》（GB/T 50218-2014）</w:t>
      </w:r>
    </w:p>
    <w:p w14:paraId="025D2CB5">
      <w:pPr>
        <w:snapToGrid w:val="0"/>
        <w:spacing w:line="360" w:lineRule="auto"/>
        <w:ind w:firstLine="560"/>
        <w:rPr>
          <w:rFonts w:asciiTheme="minorHAnsi" w:hAnsiTheme="minorHAnsi" w:cstheme="minorHAnsi"/>
        </w:rPr>
      </w:pPr>
      <w:r>
        <w:rPr>
          <w:rFonts w:hint="eastAsia" w:asciiTheme="minorHAnsi" w:hAnsiTheme="minorHAnsi" w:cstheme="minorHAnsi"/>
        </w:rPr>
        <w:t>《生产过程危险和有害因素分类与代码》（GB/T13861-2022）</w:t>
      </w:r>
    </w:p>
    <w:p w14:paraId="7ED4B5C5">
      <w:pPr>
        <w:snapToGrid w:val="0"/>
        <w:spacing w:line="360" w:lineRule="auto"/>
        <w:ind w:firstLine="560"/>
        <w:rPr>
          <w:rFonts w:asciiTheme="minorHAnsi" w:hAnsiTheme="minorHAnsi" w:cstheme="minorHAnsi"/>
        </w:rPr>
      </w:pPr>
      <w:r>
        <w:rPr>
          <w:rFonts w:hint="eastAsia" w:asciiTheme="minorHAnsi" w:hAnsiTheme="minorHAnsi" w:cstheme="minorHAnsi"/>
        </w:rPr>
        <w:t>《金属非金属矿山充填工程技术标准》（GB/T 51450-2022）</w:t>
      </w:r>
    </w:p>
    <w:p w14:paraId="4B88C4E4">
      <w:pPr>
        <w:snapToGrid w:val="0"/>
        <w:spacing w:line="360" w:lineRule="auto"/>
        <w:ind w:firstLine="560"/>
        <w:rPr>
          <w:rFonts w:asciiTheme="minorHAnsi" w:hAnsiTheme="minorHAnsi" w:cstheme="minorHAnsi"/>
        </w:rPr>
      </w:pPr>
      <w:r>
        <w:rPr>
          <w:rFonts w:hint="eastAsia" w:asciiTheme="minorHAnsi" w:hAnsiTheme="minorHAnsi" w:cstheme="minorHAnsi"/>
        </w:rPr>
        <w:t>《安全评价通则》（AQ8001-2007）</w:t>
      </w:r>
    </w:p>
    <w:p w14:paraId="58F62DF4">
      <w:pPr>
        <w:snapToGrid w:val="0"/>
        <w:spacing w:line="360" w:lineRule="auto"/>
        <w:ind w:firstLine="560"/>
        <w:rPr>
          <w:rFonts w:asciiTheme="minorHAnsi" w:hAnsiTheme="minorHAnsi" w:cstheme="minorHAnsi"/>
        </w:rPr>
      </w:pPr>
      <w:r>
        <w:rPr>
          <w:rFonts w:hint="eastAsia" w:asciiTheme="minorHAnsi" w:hAnsiTheme="minorHAnsi" w:cstheme="minorHAnsi"/>
        </w:rPr>
        <w:t>《安全预评价导则》（AQ8002-2007）</w:t>
      </w:r>
    </w:p>
    <w:p w14:paraId="774DD349">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《金属非金属地下矿山通风技术规范 通风系统》（AQ2013.1-2008）</w:t>
      </w:r>
    </w:p>
    <w:p w14:paraId="7FAF9C10">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《金属非金属地下矿山通风技术规范 局部通风》（AQ2013.2-2008）</w:t>
      </w:r>
    </w:p>
    <w:p w14:paraId="0F031E75">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《金属非金属地下矿山通风技术规范 通风管理》（AQ2013.4-2008）</w:t>
      </w:r>
    </w:p>
    <w:p w14:paraId="05B41FBC">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《金属非金属地下矿山监测监控系统建设规范》（AQ2031-2011）</w:t>
      </w:r>
    </w:p>
    <w:p w14:paraId="6A322FBC">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《金属非金属地下矿山人员定位系统建设规范》（AQ2032-2011）</w:t>
      </w:r>
    </w:p>
    <w:p w14:paraId="225E213B">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《金属非金属地下矿山通信联络系统建设规范》（AQ2036-2011）</w:t>
      </w:r>
    </w:p>
    <w:p w14:paraId="102D976C">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《金属非金属地下矿山防治水安全技术规范》（AQ 2061-2018）</w:t>
      </w:r>
    </w:p>
    <w:p w14:paraId="4016CC8C">
      <w:pPr>
        <w:snapToGrid w:val="0"/>
        <w:spacing w:line="360" w:lineRule="auto"/>
        <w:ind w:firstLine="560"/>
        <w:rPr>
          <w:rFonts w:asciiTheme="minorHAnsi" w:hAnsiTheme="minorHAnsi" w:cstheme="minorHAnsi"/>
        </w:rPr>
      </w:pPr>
      <w:r>
        <w:rPr>
          <w:rFonts w:hint="eastAsia" w:asciiTheme="minorHAnsi" w:hAnsiTheme="minorHAnsi" w:cstheme="minorHAnsi"/>
        </w:rPr>
        <w:t>《地下运矿车安全检验规范》（AQ 2065-2018）</w:t>
      </w:r>
    </w:p>
    <w:p w14:paraId="45B1E72F">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《金属非金属地下矿山无轨运人车辆安全技术要求》（AQ 2070-2019）</w:t>
      </w:r>
    </w:p>
    <w:p w14:paraId="54FEC51F">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《金属非金属地下矿山紧急避险系统建设规范》(KA/T2033-2023)</w:t>
      </w:r>
    </w:p>
    <w:p w14:paraId="4CDD284D">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《金属非金属地下矿山压风自救系统建设规范》(KA /T 2034-2023)</w:t>
      </w:r>
    </w:p>
    <w:p w14:paraId="5B5FFD58">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《金属非金属地下矿山供水施救系统建设规范》(KA /T 2035-2023)</w:t>
      </w:r>
    </w:p>
    <w:p w14:paraId="0C86FDFA">
      <w:pPr>
        <w:snapToGrid w:val="0"/>
        <w:spacing w:line="360" w:lineRule="auto"/>
        <w:ind w:firstLine="560"/>
        <w:rPr>
          <w:rFonts w:asciiTheme="minorHAnsi" w:hAnsiTheme="minorHAnsi" w:cstheme="minorHAnsi"/>
        </w:rPr>
      </w:pPr>
      <w:r>
        <w:rPr>
          <w:rFonts w:hint="eastAsia" w:asciiTheme="minorHAnsi" w:hAnsiTheme="minorHAnsi" w:cstheme="minorHAnsi"/>
        </w:rPr>
        <w:t>《金属非金属矿山在用设备设施安全检测检验目录》（KA/T 2075-2019）</w:t>
      </w:r>
    </w:p>
    <w:p w14:paraId="31CA0D9A">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《金属非金属地下矿山人员定位系统通用技术要求》（KA /T2051-2016）</w:t>
      </w:r>
    </w:p>
    <w:p w14:paraId="2F78A61C">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《金属非金属地下矿山通信联络系统通用技术要求》（KA /T2052-2016）</w:t>
      </w:r>
    </w:p>
    <w:p w14:paraId="42895FDB">
      <w:pPr>
        <w:snapToGrid w:val="0"/>
        <w:spacing w:line="360" w:lineRule="auto"/>
        <w:ind w:firstLine="560"/>
        <w:rPr>
          <w:rFonts w:asciiTheme="minorHAnsi" w:hAnsiTheme="minorHAnsi" w:cstheme="minorHAnsi"/>
        </w:rPr>
      </w:pPr>
      <w:r>
        <w:rPr>
          <w:rFonts w:hint="eastAsia" w:asciiTheme="minorHAnsi" w:hAnsiTheme="minorHAnsi" w:cstheme="minorHAnsi"/>
        </w:rPr>
        <w:t>《金属非金属地下矿山监测监控系统通用技术要求》（KA /T2053-2016）</w:t>
      </w:r>
    </w:p>
    <w:p w14:paraId="2B2F2CAD">
      <w:pPr>
        <w:snapToGrid w:val="0"/>
        <w:spacing w:line="360" w:lineRule="auto"/>
        <w:ind w:firstLine="560"/>
        <w:rPr>
          <w:rFonts w:asciiTheme="minorHAnsi" w:hAnsiTheme="minorHAnsi" w:cstheme="minorHAnsi"/>
        </w:rPr>
      </w:pPr>
      <w:r>
        <w:rPr>
          <w:rFonts w:hint="eastAsia" w:asciiTheme="minorHAnsi" w:hAnsiTheme="minorHAnsi" w:cstheme="minorHAnsi"/>
        </w:rPr>
        <w:t>《黑色冶金矿山井巷工程设计规范》（YB/T 4733-2019）</w:t>
      </w:r>
    </w:p>
    <w:p w14:paraId="7FD9261F">
      <w:pPr>
        <w:snapToGrid w:val="0"/>
        <w:spacing w:line="360" w:lineRule="auto"/>
        <w:ind w:firstLine="560"/>
        <w:rPr>
          <w:rFonts w:asciiTheme="minorHAnsi" w:hAnsiTheme="minorHAnsi" w:cstheme="minorHAnsi"/>
        </w:rPr>
      </w:pPr>
      <w:r>
        <w:rPr>
          <w:rFonts w:hint="eastAsia" w:asciiTheme="minorHAnsi" w:hAnsiTheme="minorHAnsi" w:cstheme="minorHAnsi"/>
        </w:rPr>
        <w:t>《冶金矿山尾矿胶结充填技术规范》（YB/T 4959-2021）</w:t>
      </w:r>
    </w:p>
    <w:p w14:paraId="220D3F0F">
      <w:pPr>
        <w:snapToGrid w:val="0"/>
        <w:spacing w:line="360" w:lineRule="auto"/>
        <w:ind w:firstLine="560"/>
        <w:rPr>
          <w:rFonts w:asciiTheme="minorHAnsi" w:hAnsiTheme="minorHAnsi" w:cstheme="minorHAnsi"/>
        </w:rPr>
      </w:pPr>
      <w:r>
        <w:rPr>
          <w:rFonts w:hint="eastAsia" w:asciiTheme="minorHAnsi" w:hAnsiTheme="minorHAnsi" w:cstheme="minorHAnsi"/>
        </w:rPr>
        <w:t>《矿坑涌水量预测计算规程》（DZ/T 0342-2020）</w:t>
      </w:r>
    </w:p>
    <w:p w14:paraId="4BD1B3B3">
      <w:pPr>
        <w:pStyle w:val="5"/>
        <w:spacing w:after="190"/>
        <w:rPr>
          <w:rFonts w:asciiTheme="minorHAnsi" w:hAnsiTheme="minorHAnsi" w:cstheme="minorHAnsi"/>
        </w:rPr>
      </w:pPr>
      <w:r>
        <w:rPr>
          <w:rFonts w:asciiTheme="minorHAnsi" w:hAnsiTheme="minorHAnsi" w:cstheme="minorHAnsi"/>
        </w:rPr>
        <w:t>1.2.3建设项目技术资料</w:t>
      </w:r>
    </w:p>
    <w:p w14:paraId="35A3BDF9">
      <w:pPr>
        <w:snapToGrid w:val="0"/>
        <w:spacing w:line="360" w:lineRule="auto"/>
        <w:ind w:firstLine="560"/>
        <w:rPr>
          <w:rFonts w:asciiTheme="minorHAnsi" w:hAnsiTheme="minorHAnsi" w:cstheme="minorHAnsi"/>
        </w:rPr>
      </w:pPr>
      <w:bookmarkStart w:id="52" w:name="_Hlk174370274"/>
      <w:r>
        <w:rPr>
          <w:rFonts w:hint="eastAsia" w:asciiTheme="minorHAnsi" w:hAnsiTheme="minorHAnsi" w:cstheme="minorHAnsi"/>
        </w:rPr>
        <w:t>（1）《山东东平县彭集铁矿资源储量核实报告》（中国冶金地质总局山东正元地质勘查院，2013年1月）</w:t>
      </w:r>
    </w:p>
    <w:p w14:paraId="65BBCD4D">
      <w:pPr>
        <w:snapToGrid w:val="0"/>
        <w:spacing w:line="360" w:lineRule="auto"/>
        <w:ind w:firstLine="560"/>
        <w:rPr>
          <w:rFonts w:asciiTheme="minorHAnsi" w:hAnsiTheme="minorHAnsi" w:cstheme="minorHAnsi"/>
        </w:rPr>
      </w:pPr>
      <w:r>
        <w:rPr>
          <w:rFonts w:hint="eastAsia" w:asciiTheme="minorHAnsi" w:hAnsiTheme="minorHAnsi" w:cstheme="minorHAnsi"/>
        </w:rPr>
        <w:t>（2）《山东东平县彭集铁矿地下水勘探报告》（中国冶金地质总局山东正元地质勘查院，2014年11月）</w:t>
      </w:r>
    </w:p>
    <w:p w14:paraId="0CFF784C">
      <w:pPr>
        <w:snapToGrid w:val="0"/>
        <w:spacing w:line="360" w:lineRule="auto"/>
        <w:ind w:firstLine="560"/>
        <w:rPr>
          <w:rFonts w:asciiTheme="minorHAnsi" w:hAnsiTheme="minorHAnsi" w:cstheme="minorHAnsi"/>
        </w:rPr>
      </w:pPr>
      <w:r>
        <w:rPr>
          <w:rFonts w:hint="eastAsia" w:asciiTheme="minorHAnsi" w:hAnsiTheme="minorHAnsi" w:cstheme="minorHAnsi"/>
        </w:rPr>
        <w:t>（3）《山东省东平县彭集矿区铁矿勘探报告》（中国冶金地质总局山东正元地质勘查院，2023年12月）</w:t>
      </w:r>
    </w:p>
    <w:p w14:paraId="3FB6ABF0">
      <w:pPr>
        <w:snapToGrid w:val="0"/>
        <w:spacing w:line="360" w:lineRule="auto"/>
        <w:ind w:firstLine="560"/>
        <w:rPr>
          <w:rFonts w:asciiTheme="minorHAnsi" w:hAnsiTheme="minorHAnsi" w:cstheme="minorHAnsi"/>
        </w:rPr>
      </w:pPr>
      <w:r>
        <w:rPr>
          <w:rFonts w:hint="eastAsia" w:asciiTheme="minorHAnsi" w:hAnsiTheme="minorHAnsi" w:cstheme="minorHAnsi"/>
        </w:rPr>
        <w:t>（4）《山东彭集矿业有限公司彭集铁矿采选工程可行性研究报告》（中冶北方（大连）工程技术有限公司，2</w:t>
      </w:r>
      <w:r>
        <w:rPr>
          <w:rFonts w:asciiTheme="minorHAnsi" w:hAnsiTheme="minorHAnsi" w:cstheme="minorHAnsi"/>
        </w:rPr>
        <w:t>025年</w:t>
      </w:r>
      <w:r>
        <w:rPr>
          <w:rFonts w:hint="eastAsia" w:asciiTheme="minorHAnsi" w:hAnsiTheme="minorHAnsi" w:cstheme="minorHAnsi"/>
        </w:rPr>
        <w:t>1</w:t>
      </w:r>
      <w:r>
        <w:rPr>
          <w:rFonts w:asciiTheme="minorHAnsi" w:hAnsiTheme="minorHAnsi" w:cstheme="minorHAnsi"/>
        </w:rPr>
        <w:t>月）</w:t>
      </w:r>
    </w:p>
    <w:p w14:paraId="2ED8C645">
      <w:pPr>
        <w:snapToGrid w:val="0"/>
        <w:spacing w:line="360" w:lineRule="auto"/>
        <w:ind w:firstLine="560"/>
        <w:rPr>
          <w:rFonts w:asciiTheme="minorHAnsi" w:hAnsiTheme="minorHAnsi" w:cstheme="minorHAnsi"/>
        </w:rPr>
      </w:pPr>
      <w:r>
        <w:rPr>
          <w:rFonts w:hint="eastAsia" w:asciiTheme="minorHAnsi" w:hAnsiTheme="minorHAnsi" w:cstheme="minorHAnsi"/>
        </w:rPr>
        <w:t>（5）《山东彭集矿业有限公司彭集铁矿岩石力学专项研究与论证技术报告》（长沙矿山研究院有限责任公司，2</w:t>
      </w:r>
      <w:r>
        <w:rPr>
          <w:rFonts w:asciiTheme="minorHAnsi" w:hAnsiTheme="minorHAnsi" w:cstheme="minorHAnsi"/>
        </w:rPr>
        <w:t>025</w:t>
      </w:r>
      <w:r>
        <w:rPr>
          <w:rFonts w:hint="eastAsia" w:asciiTheme="minorHAnsi" w:hAnsiTheme="minorHAnsi" w:cstheme="minorHAnsi"/>
        </w:rPr>
        <w:t>年4月）</w:t>
      </w:r>
    </w:p>
    <w:bookmarkEnd w:id="52"/>
    <w:p w14:paraId="6C270525">
      <w:pPr>
        <w:pStyle w:val="5"/>
        <w:spacing w:after="190"/>
        <w:rPr>
          <w:rFonts w:asciiTheme="minorHAnsi" w:hAnsiTheme="minorHAnsi" w:cstheme="minorHAnsi"/>
        </w:rPr>
      </w:pPr>
      <w:r>
        <w:rPr>
          <w:rFonts w:asciiTheme="minorHAnsi" w:hAnsiTheme="minorHAnsi" w:cstheme="minorHAnsi"/>
        </w:rPr>
        <w:t>1.2.4其他评价依据</w:t>
      </w:r>
    </w:p>
    <w:p w14:paraId="2FFD524E">
      <w:pPr>
        <w:snapToGrid w:val="0"/>
        <w:spacing w:line="360" w:lineRule="auto"/>
        <w:ind w:firstLine="560"/>
        <w:rPr>
          <w:rFonts w:asciiTheme="minorHAnsi" w:hAnsiTheme="minorHAnsi" w:cstheme="minorHAnsi"/>
        </w:rPr>
      </w:pPr>
      <w:r>
        <w:rPr>
          <w:rFonts w:asciiTheme="minorHAnsi" w:hAnsiTheme="minorHAnsi" w:cstheme="minorHAnsi"/>
        </w:rPr>
        <w:t>（1）采矿许可证</w:t>
      </w:r>
    </w:p>
    <w:p w14:paraId="244B498A">
      <w:pPr>
        <w:snapToGrid w:val="0"/>
        <w:spacing w:line="360" w:lineRule="auto"/>
        <w:ind w:firstLine="560"/>
        <w:rPr>
          <w:rFonts w:asciiTheme="minorHAnsi" w:hAnsiTheme="minorHAnsi" w:cstheme="minorHAnsi"/>
        </w:rPr>
      </w:pPr>
      <w:r>
        <w:rPr>
          <w:rFonts w:asciiTheme="minorHAnsi" w:hAnsiTheme="minorHAnsi" w:cstheme="minorHAnsi"/>
        </w:rPr>
        <w:t>（2）建设项目安全预评价委托书</w:t>
      </w:r>
    </w:p>
    <w:p w14:paraId="7750E661">
      <w:pPr>
        <w:snapToGrid w:val="0"/>
        <w:spacing w:line="360" w:lineRule="auto"/>
        <w:ind w:firstLine="560"/>
        <w:rPr>
          <w:rFonts w:asciiTheme="minorHAnsi" w:hAnsiTheme="minorHAnsi" w:cstheme="minorHAnsi"/>
        </w:rPr>
      </w:pPr>
      <w:r>
        <w:rPr>
          <w:rFonts w:asciiTheme="minorHAnsi" w:hAnsiTheme="minorHAnsi" w:cstheme="minorHAnsi"/>
        </w:rPr>
        <w:t>（3）矿区地形图等业主提供的其他资料</w:t>
      </w:r>
    </w:p>
    <w:p w14:paraId="75A320BB">
      <w:pPr>
        <w:snapToGrid w:val="0"/>
        <w:spacing w:line="360" w:lineRule="auto"/>
        <w:ind w:firstLine="560"/>
        <w:rPr>
          <w:rFonts w:asciiTheme="minorHAnsi" w:hAnsiTheme="minorHAnsi" w:cstheme="minorHAnsi"/>
        </w:rPr>
      </w:pPr>
      <w:r>
        <w:rPr>
          <w:rFonts w:asciiTheme="minorHAnsi" w:hAnsiTheme="minorHAnsi" w:cstheme="minorHAnsi"/>
        </w:rPr>
        <w:t>（4）来往文件及会议纪要</w:t>
      </w:r>
    </w:p>
    <w:p w14:paraId="0E2B8BC4">
      <w:pPr>
        <w:snapToGrid w:val="0"/>
        <w:spacing w:line="360" w:lineRule="auto"/>
        <w:ind w:firstLine="560"/>
        <w:rPr>
          <w:rFonts w:asciiTheme="minorHAnsi" w:hAnsiTheme="minorHAnsi" w:cstheme="minorHAnsi"/>
        </w:rPr>
      </w:pPr>
      <w:r>
        <w:rPr>
          <w:rFonts w:asciiTheme="minorHAnsi" w:hAnsiTheme="minorHAnsi" w:cstheme="minorHAnsi"/>
        </w:rPr>
        <w:br w:type="page"/>
      </w:r>
    </w:p>
    <w:p w14:paraId="379D8BFC">
      <w:pPr>
        <w:pStyle w:val="3"/>
        <w:spacing w:before="190" w:after="190"/>
        <w:rPr>
          <w:rFonts w:asciiTheme="minorHAnsi" w:hAnsiTheme="minorHAnsi" w:cstheme="minorHAnsi"/>
        </w:rPr>
      </w:pPr>
      <w:bookmarkStart w:id="53" w:name="_Toc199426931"/>
      <w:r>
        <w:rPr>
          <w:rFonts w:asciiTheme="minorHAnsi" w:hAnsiTheme="minorHAnsi" w:cstheme="minorHAnsi"/>
        </w:rPr>
        <w:t>2建设项目概述</w:t>
      </w:r>
      <w:bookmarkEnd w:id="53"/>
    </w:p>
    <w:p w14:paraId="32101BB6">
      <w:pPr>
        <w:pStyle w:val="4"/>
        <w:spacing w:before="190" w:after="190" w:line="360" w:lineRule="exact"/>
        <w:rPr>
          <w:rFonts w:asciiTheme="minorHAnsi" w:hAnsiTheme="minorHAnsi" w:cstheme="minorHAnsi"/>
        </w:rPr>
      </w:pPr>
      <w:bookmarkStart w:id="54" w:name="_Toc199426932"/>
      <w:r>
        <w:rPr>
          <w:rFonts w:asciiTheme="minorHAnsi" w:hAnsiTheme="minorHAnsi" w:cstheme="minorHAnsi"/>
        </w:rPr>
        <w:t>2.1建设单位概况</w:t>
      </w:r>
      <w:bookmarkEnd w:id="54"/>
    </w:p>
    <w:p w14:paraId="2F03F4CD">
      <w:pPr>
        <w:pStyle w:val="5"/>
        <w:spacing w:after="190"/>
        <w:rPr>
          <w:rFonts w:asciiTheme="minorHAnsi" w:hAnsiTheme="minorHAnsi" w:cstheme="minorHAnsi"/>
        </w:rPr>
      </w:pPr>
      <w:r>
        <w:rPr>
          <w:rFonts w:asciiTheme="minorHAnsi" w:hAnsiTheme="minorHAnsi" w:cstheme="minorHAnsi"/>
        </w:rPr>
        <w:t>2.1.1建设单位简介</w:t>
      </w:r>
    </w:p>
    <w:p w14:paraId="45D33497">
      <w:pPr>
        <w:snapToGrid w:val="0"/>
        <w:spacing w:line="360" w:lineRule="auto"/>
        <w:ind w:firstLine="560"/>
        <w:rPr>
          <w:rFonts w:asciiTheme="minorHAnsi" w:hAnsiTheme="minorHAnsi" w:cstheme="minorHAnsi"/>
        </w:rPr>
      </w:pPr>
      <w:bookmarkStart w:id="55" w:name="_Hlk174017938"/>
      <w:bookmarkStart w:id="56" w:name="_Hlk170681876"/>
      <w:r>
        <w:rPr>
          <w:rFonts w:hint="eastAsia" w:asciiTheme="minorHAnsi" w:hAnsiTheme="minorHAnsi" w:cstheme="minorHAnsi"/>
        </w:rPr>
        <w:t>山东彭集矿业有限公司成立于2021年12月04日，注册地位于山东省泰安市东平经济开发区创业街创业创新公共平台2号楼502室，法定代表人为王博。经营范围包括一般项目：金属矿石销售；选矿；建筑材料销售；矿山机械销售；专用设备修理；地质勘查技术服务；劳务服务（不含劳务派遣）；工业工程设计服务。许可项目：矿产资源（非煤矿山）开采；道路货物运输（不含危险货物）；矿产资源勘查。</w:t>
      </w:r>
    </w:p>
    <w:bookmarkEnd w:id="55"/>
    <w:p w14:paraId="52954FB5">
      <w:pPr>
        <w:pStyle w:val="5"/>
        <w:spacing w:after="190"/>
        <w:rPr>
          <w:rFonts w:asciiTheme="minorHAnsi" w:hAnsiTheme="minorHAnsi" w:cstheme="minorHAnsi"/>
        </w:rPr>
      </w:pPr>
      <w:r>
        <w:rPr>
          <w:rFonts w:asciiTheme="minorHAnsi" w:hAnsiTheme="minorHAnsi" w:cstheme="minorHAnsi"/>
        </w:rPr>
        <w:t>2.1.2建设</w:t>
      </w:r>
      <w:r>
        <w:rPr>
          <w:rFonts w:hint="eastAsia" w:asciiTheme="minorHAnsi" w:hAnsiTheme="minorHAnsi" w:cstheme="minorHAnsi"/>
        </w:rPr>
        <w:t>项目</w:t>
      </w:r>
      <w:r>
        <w:rPr>
          <w:rFonts w:asciiTheme="minorHAnsi" w:hAnsiTheme="minorHAnsi" w:cstheme="minorHAnsi"/>
        </w:rPr>
        <w:t>历史沿革</w:t>
      </w:r>
    </w:p>
    <w:bookmarkEnd w:id="56"/>
    <w:p w14:paraId="062A5167">
      <w:pPr>
        <w:snapToGrid w:val="0"/>
        <w:spacing w:line="360" w:lineRule="auto"/>
        <w:ind w:firstLine="560"/>
        <w:rPr>
          <w:rFonts w:asciiTheme="minorHAnsi" w:hAnsiTheme="minorHAnsi" w:cstheme="minorHAnsi"/>
        </w:rPr>
      </w:pPr>
      <w:r>
        <w:rPr>
          <w:rFonts w:hint="eastAsia" w:asciiTheme="minorHAnsi" w:hAnsiTheme="minorHAnsi" w:cstheme="minorHAnsi"/>
        </w:rPr>
        <w:t>彭集铁矿于 2022 年 6 月 2 日取得了山东省自然资源厅颁发的采矿许可证，现有采矿证号：C3700002022062110153719。</w:t>
      </w:r>
    </w:p>
    <w:p w14:paraId="20818F4C">
      <w:pPr>
        <w:snapToGrid w:val="0"/>
        <w:spacing w:line="360" w:lineRule="auto"/>
        <w:ind w:firstLine="560"/>
        <w:rPr>
          <w:rFonts w:asciiTheme="minorHAnsi" w:hAnsiTheme="minorHAnsi" w:cstheme="minorHAnsi"/>
        </w:rPr>
      </w:pPr>
      <w:r>
        <w:rPr>
          <w:rFonts w:hint="eastAsia" w:asciiTheme="minorHAnsi" w:hAnsiTheme="minorHAnsi" w:cstheme="minorHAnsi"/>
        </w:rPr>
        <w:t>采矿权人：山东彭集矿业有限公司</w:t>
      </w:r>
    </w:p>
    <w:p w14:paraId="256316E6">
      <w:pPr>
        <w:snapToGrid w:val="0"/>
        <w:spacing w:line="360" w:lineRule="auto"/>
        <w:ind w:firstLine="560"/>
        <w:rPr>
          <w:rFonts w:asciiTheme="minorHAnsi" w:hAnsiTheme="minorHAnsi" w:cstheme="minorHAnsi"/>
        </w:rPr>
      </w:pPr>
      <w:r>
        <w:rPr>
          <w:rFonts w:hint="eastAsia" w:asciiTheme="minorHAnsi" w:hAnsiTheme="minorHAnsi" w:cstheme="minorHAnsi"/>
        </w:rPr>
        <w:t>地    址：山东省泰安市东平经济开发区创业街创业创新公共平台2号楼502室</w:t>
      </w:r>
    </w:p>
    <w:p w14:paraId="6572498C">
      <w:pPr>
        <w:snapToGrid w:val="0"/>
        <w:spacing w:line="360" w:lineRule="auto"/>
        <w:ind w:firstLine="560"/>
        <w:rPr>
          <w:rFonts w:asciiTheme="minorHAnsi" w:hAnsiTheme="minorHAnsi" w:cstheme="minorHAnsi"/>
        </w:rPr>
      </w:pPr>
      <w:r>
        <w:rPr>
          <w:rFonts w:hint="eastAsia" w:asciiTheme="minorHAnsi" w:hAnsiTheme="minorHAnsi" w:cstheme="minorHAnsi"/>
        </w:rPr>
        <w:t>矿山名称：山东彭集矿业有限公司彭集铁矿</w:t>
      </w:r>
    </w:p>
    <w:p w14:paraId="6C7C7173">
      <w:pPr>
        <w:snapToGrid w:val="0"/>
        <w:spacing w:line="360" w:lineRule="auto"/>
        <w:ind w:firstLine="560"/>
        <w:rPr>
          <w:rFonts w:asciiTheme="minorHAnsi" w:hAnsiTheme="minorHAnsi" w:cstheme="minorHAnsi"/>
        </w:rPr>
      </w:pPr>
      <w:r>
        <w:rPr>
          <w:rFonts w:hint="eastAsia" w:asciiTheme="minorHAnsi" w:hAnsiTheme="minorHAnsi" w:cstheme="minorHAnsi"/>
        </w:rPr>
        <w:t>经济类型：有限责任公司</w:t>
      </w:r>
    </w:p>
    <w:p w14:paraId="7D1930B3">
      <w:pPr>
        <w:snapToGrid w:val="0"/>
        <w:spacing w:line="360" w:lineRule="auto"/>
        <w:ind w:firstLine="560"/>
        <w:rPr>
          <w:rFonts w:asciiTheme="minorHAnsi" w:hAnsiTheme="minorHAnsi" w:cstheme="minorHAnsi"/>
        </w:rPr>
      </w:pPr>
      <w:r>
        <w:rPr>
          <w:rFonts w:hint="eastAsia" w:asciiTheme="minorHAnsi" w:hAnsiTheme="minorHAnsi" w:cstheme="minorHAnsi"/>
        </w:rPr>
        <w:t>开采矿种：铁矿</w:t>
      </w:r>
    </w:p>
    <w:p w14:paraId="4A6E40D5">
      <w:pPr>
        <w:snapToGrid w:val="0"/>
        <w:spacing w:line="360" w:lineRule="auto"/>
        <w:ind w:firstLine="560"/>
        <w:rPr>
          <w:rFonts w:asciiTheme="minorHAnsi" w:hAnsiTheme="minorHAnsi" w:cstheme="minorHAnsi"/>
        </w:rPr>
      </w:pPr>
      <w:r>
        <w:rPr>
          <w:rFonts w:hint="eastAsia" w:asciiTheme="minorHAnsi" w:hAnsiTheme="minorHAnsi" w:cstheme="minorHAnsi"/>
        </w:rPr>
        <w:t>开采方式：地下开采</w:t>
      </w:r>
    </w:p>
    <w:p w14:paraId="02BA0453">
      <w:pPr>
        <w:snapToGrid w:val="0"/>
        <w:spacing w:line="360" w:lineRule="auto"/>
        <w:ind w:firstLine="560"/>
        <w:rPr>
          <w:rFonts w:asciiTheme="minorHAnsi" w:hAnsiTheme="minorHAnsi" w:cstheme="minorHAnsi"/>
        </w:rPr>
      </w:pPr>
      <w:r>
        <w:rPr>
          <w:rFonts w:hint="eastAsia" w:asciiTheme="minorHAnsi" w:hAnsiTheme="minorHAnsi" w:cstheme="minorHAnsi"/>
        </w:rPr>
        <w:t>生产规模：800.0万吨/年</w:t>
      </w:r>
    </w:p>
    <w:p w14:paraId="35448892">
      <w:pPr>
        <w:snapToGrid w:val="0"/>
        <w:spacing w:line="360" w:lineRule="auto"/>
        <w:ind w:firstLine="560"/>
        <w:rPr>
          <w:rFonts w:asciiTheme="minorHAnsi" w:hAnsiTheme="minorHAnsi" w:cstheme="minorHAnsi"/>
        </w:rPr>
      </w:pPr>
      <w:r>
        <w:rPr>
          <w:rFonts w:hint="eastAsia" w:asciiTheme="minorHAnsi" w:hAnsiTheme="minorHAnsi" w:cstheme="minorHAnsi"/>
        </w:rPr>
        <w:t>有效期限：壹拾伍年，自2022年06月02日至2037年06月02日</w:t>
      </w:r>
    </w:p>
    <w:p w14:paraId="21380729">
      <w:pPr>
        <w:snapToGrid w:val="0"/>
        <w:spacing w:line="360" w:lineRule="auto"/>
        <w:ind w:firstLine="560"/>
        <w:rPr>
          <w:rFonts w:asciiTheme="minorHAnsi" w:hAnsiTheme="minorHAnsi" w:cstheme="minorHAnsi"/>
        </w:rPr>
      </w:pPr>
      <w:r>
        <w:rPr>
          <w:rFonts w:hint="eastAsia" w:asciiTheme="minorHAnsi" w:hAnsiTheme="minorHAnsi" w:cstheme="minorHAnsi"/>
        </w:rPr>
        <w:t>发证机关：山东省自然资源厅</w:t>
      </w:r>
    </w:p>
    <w:p w14:paraId="2C5C28CD">
      <w:pPr>
        <w:snapToGrid w:val="0"/>
        <w:spacing w:line="360" w:lineRule="auto"/>
        <w:ind w:firstLine="560"/>
        <w:rPr>
          <w:rFonts w:asciiTheme="minorHAnsi" w:hAnsiTheme="minorHAnsi" w:cstheme="minorHAnsi"/>
        </w:rPr>
      </w:pPr>
      <w:r>
        <w:rPr>
          <w:rFonts w:hint="eastAsia" w:asciiTheme="minorHAnsi" w:hAnsiTheme="minorHAnsi" w:cstheme="minorHAnsi"/>
        </w:rPr>
        <w:t>矿区范围由13个拐点界定，矿区面积12.1613km</w:t>
      </w:r>
      <w:r>
        <w:rPr>
          <w:rFonts w:hint="eastAsia" w:asciiTheme="minorHAnsi" w:hAnsiTheme="minorHAnsi" w:cstheme="minorHAnsi"/>
          <w:vertAlign w:val="superscript"/>
        </w:rPr>
        <w:t>2</w:t>
      </w:r>
      <w:r>
        <w:rPr>
          <w:rFonts w:hint="eastAsia" w:asciiTheme="minorHAnsi" w:hAnsiTheme="minorHAnsi" w:cstheme="minorHAnsi"/>
        </w:rPr>
        <w:t>。开采深度+50m至-1000m标高，矿区范围拐点坐标见表</w:t>
      </w:r>
      <w:r>
        <w:rPr>
          <w:rFonts w:asciiTheme="minorHAnsi" w:hAnsiTheme="minorHAnsi" w:cstheme="minorHAnsi"/>
        </w:rPr>
        <w:t>2.1</w:t>
      </w:r>
      <w:r>
        <w:rPr>
          <w:rFonts w:hint="eastAsia" w:asciiTheme="minorHAnsi" w:hAnsiTheme="minorHAnsi" w:cstheme="minorHAnsi"/>
        </w:rPr>
        <w:t>-1。</w:t>
      </w:r>
    </w:p>
    <w:p w14:paraId="6AD29ECB">
      <w:pPr>
        <w:widowControl/>
        <w:spacing w:line="240" w:lineRule="auto"/>
        <w:ind w:firstLine="0" w:firstLineChars="0"/>
        <w:jc w:val="left"/>
        <w:rPr>
          <w:rFonts w:asciiTheme="minorHAnsi" w:hAnsiTheme="minorHAnsi" w:cstheme="minorHAnsi"/>
        </w:rPr>
      </w:pPr>
      <w:r>
        <w:rPr>
          <w:rFonts w:asciiTheme="minorHAnsi" w:hAnsiTheme="minorHAnsi" w:cstheme="minorHAnsi"/>
        </w:rPr>
        <w:br w:type="page"/>
      </w:r>
    </w:p>
    <w:p w14:paraId="25BBD4E9">
      <w:pPr>
        <w:snapToGrid w:val="0"/>
        <w:spacing w:line="360" w:lineRule="auto"/>
        <w:ind w:firstLine="560"/>
        <w:jc w:val="center"/>
        <w:rPr>
          <w:rFonts w:asciiTheme="minorHAnsi" w:hAnsiTheme="minorHAnsi" w:cstheme="minorHAnsi"/>
        </w:rPr>
      </w:pPr>
      <w:r>
        <w:rPr>
          <w:rFonts w:hint="eastAsia" w:asciiTheme="minorHAnsi" w:hAnsiTheme="minorHAnsi" w:cstheme="minorHAnsi"/>
        </w:rPr>
        <w:t>表2</w:t>
      </w:r>
      <w:r>
        <w:rPr>
          <w:rFonts w:asciiTheme="minorHAnsi" w:hAnsiTheme="minorHAnsi" w:cstheme="minorHAnsi"/>
        </w:rPr>
        <w:t>.</w:t>
      </w:r>
      <w:r>
        <w:rPr>
          <w:rFonts w:hint="eastAsia" w:asciiTheme="minorHAnsi" w:hAnsiTheme="minorHAnsi" w:cstheme="minorHAnsi"/>
        </w:rPr>
        <w:t>1-1矿区范围拐点坐标表</w:t>
      </w:r>
    </w:p>
    <w:tbl>
      <w:tblPr>
        <w:tblStyle w:val="54"/>
        <w:tblW w:w="5019"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47"/>
        <w:gridCol w:w="1988"/>
        <w:gridCol w:w="2201"/>
        <w:gridCol w:w="1990"/>
        <w:gridCol w:w="2217"/>
      </w:tblGrid>
      <w:tr w14:paraId="16097A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blHeader/>
        </w:trPr>
        <w:tc>
          <w:tcPr>
            <w:tcW w:w="507" w:type="pct"/>
            <w:vMerge w:val="restart"/>
            <w:vAlign w:val="center"/>
          </w:tcPr>
          <w:p w14:paraId="36CA4203">
            <w:pPr>
              <w:pStyle w:val="100"/>
              <w:adjustRightInd w:val="0"/>
              <w:snapToGrid w:val="0"/>
              <w:ind w:left="269" w:right="262"/>
              <w:rPr>
                <w:rFonts w:eastAsia="宋体"/>
                <w:sz w:val="21"/>
                <w:szCs w:val="21"/>
              </w:rPr>
            </w:pPr>
            <w:r>
              <w:rPr>
                <w:rFonts w:eastAsia="宋体"/>
                <w:sz w:val="21"/>
                <w:szCs w:val="21"/>
              </w:rPr>
              <w:t>点号</w:t>
            </w:r>
          </w:p>
        </w:tc>
        <w:tc>
          <w:tcPr>
            <w:tcW w:w="2242" w:type="pct"/>
            <w:gridSpan w:val="2"/>
            <w:vAlign w:val="center"/>
          </w:tcPr>
          <w:p w14:paraId="085331A7">
            <w:pPr>
              <w:pStyle w:val="100"/>
              <w:adjustRightInd w:val="0"/>
              <w:snapToGrid w:val="0"/>
              <w:ind w:left="1111"/>
              <w:rPr>
                <w:rFonts w:eastAsia="宋体"/>
                <w:sz w:val="21"/>
                <w:szCs w:val="21"/>
              </w:rPr>
            </w:pPr>
            <w:r>
              <w:rPr>
                <w:rFonts w:eastAsia="宋体"/>
                <w:sz w:val="21"/>
                <w:szCs w:val="21"/>
              </w:rPr>
              <w:t>1980西安坐标系</w:t>
            </w:r>
          </w:p>
        </w:tc>
        <w:tc>
          <w:tcPr>
            <w:tcW w:w="2249" w:type="pct"/>
            <w:gridSpan w:val="2"/>
            <w:vAlign w:val="center"/>
          </w:tcPr>
          <w:p w14:paraId="7AA48EDC">
            <w:pPr>
              <w:pStyle w:val="100"/>
              <w:adjustRightInd w:val="0"/>
              <w:snapToGrid w:val="0"/>
              <w:ind w:left="905"/>
              <w:rPr>
                <w:rFonts w:eastAsia="宋体"/>
                <w:sz w:val="21"/>
                <w:szCs w:val="21"/>
              </w:rPr>
            </w:pPr>
            <w:r>
              <w:rPr>
                <w:rFonts w:eastAsia="宋体"/>
                <w:sz w:val="21"/>
                <w:szCs w:val="21"/>
              </w:rPr>
              <w:t>2000国家大地坐标系</w:t>
            </w:r>
          </w:p>
        </w:tc>
      </w:tr>
      <w:tr w14:paraId="2A5E44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blHeader/>
        </w:trPr>
        <w:tc>
          <w:tcPr>
            <w:tcW w:w="507" w:type="pct"/>
            <w:vMerge w:val="continue"/>
            <w:tcBorders>
              <w:top w:val="nil"/>
            </w:tcBorders>
            <w:vAlign w:val="center"/>
          </w:tcPr>
          <w:p w14:paraId="04B894BE">
            <w:pPr>
              <w:adjustRightInd w:val="0"/>
              <w:snapToGrid w:val="0"/>
              <w:ind w:firstLine="420"/>
              <w:jc w:val="center"/>
              <w:rPr>
                <w:rFonts w:cs="Times New Roman"/>
                <w:sz w:val="21"/>
                <w:szCs w:val="21"/>
              </w:rPr>
            </w:pPr>
          </w:p>
        </w:tc>
        <w:tc>
          <w:tcPr>
            <w:tcW w:w="1064" w:type="pct"/>
            <w:vAlign w:val="center"/>
          </w:tcPr>
          <w:p w14:paraId="382EEC14">
            <w:pPr>
              <w:pStyle w:val="100"/>
              <w:adjustRightInd w:val="0"/>
              <w:snapToGrid w:val="0"/>
              <w:ind w:left="9"/>
              <w:rPr>
                <w:rFonts w:eastAsia="宋体"/>
                <w:sz w:val="21"/>
                <w:szCs w:val="21"/>
              </w:rPr>
            </w:pPr>
            <w:r>
              <w:rPr>
                <w:rFonts w:eastAsia="宋体"/>
                <w:sz w:val="21"/>
                <w:szCs w:val="21"/>
              </w:rPr>
              <w:t>X</w:t>
            </w:r>
          </w:p>
        </w:tc>
        <w:tc>
          <w:tcPr>
            <w:tcW w:w="1178" w:type="pct"/>
            <w:vAlign w:val="center"/>
          </w:tcPr>
          <w:p w14:paraId="7B2397CC">
            <w:pPr>
              <w:pStyle w:val="100"/>
              <w:adjustRightInd w:val="0"/>
              <w:snapToGrid w:val="0"/>
              <w:ind w:left="6"/>
              <w:rPr>
                <w:rFonts w:eastAsia="宋体"/>
                <w:sz w:val="21"/>
                <w:szCs w:val="21"/>
              </w:rPr>
            </w:pPr>
            <w:r>
              <w:rPr>
                <w:rFonts w:eastAsia="宋体"/>
                <w:sz w:val="21"/>
                <w:szCs w:val="21"/>
              </w:rPr>
              <w:t>Y</w:t>
            </w:r>
          </w:p>
        </w:tc>
        <w:tc>
          <w:tcPr>
            <w:tcW w:w="1065" w:type="pct"/>
            <w:vAlign w:val="center"/>
          </w:tcPr>
          <w:p w14:paraId="1F8379D4">
            <w:pPr>
              <w:pStyle w:val="100"/>
              <w:adjustRightInd w:val="0"/>
              <w:snapToGrid w:val="0"/>
              <w:ind w:left="12"/>
              <w:rPr>
                <w:rFonts w:eastAsia="宋体"/>
                <w:sz w:val="21"/>
                <w:szCs w:val="21"/>
              </w:rPr>
            </w:pPr>
            <w:r>
              <w:rPr>
                <w:rFonts w:eastAsia="宋体"/>
                <w:sz w:val="21"/>
                <w:szCs w:val="21"/>
              </w:rPr>
              <w:t>X</w:t>
            </w:r>
          </w:p>
        </w:tc>
        <w:tc>
          <w:tcPr>
            <w:tcW w:w="1184" w:type="pct"/>
            <w:vAlign w:val="center"/>
          </w:tcPr>
          <w:p w14:paraId="11E5724A">
            <w:pPr>
              <w:pStyle w:val="100"/>
              <w:adjustRightInd w:val="0"/>
              <w:snapToGrid w:val="0"/>
              <w:ind w:left="10"/>
              <w:rPr>
                <w:rFonts w:eastAsia="宋体"/>
                <w:sz w:val="21"/>
                <w:szCs w:val="21"/>
              </w:rPr>
            </w:pPr>
            <w:r>
              <w:rPr>
                <w:rFonts w:eastAsia="宋体"/>
                <w:sz w:val="21"/>
                <w:szCs w:val="21"/>
              </w:rPr>
              <w:t>Y</w:t>
            </w:r>
          </w:p>
        </w:tc>
      </w:tr>
      <w:tr w14:paraId="4F7D0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7D6A03CD">
            <w:pPr>
              <w:pStyle w:val="100"/>
              <w:adjustRightInd w:val="0"/>
              <w:snapToGrid w:val="0"/>
              <w:ind w:left="7"/>
              <w:rPr>
                <w:rFonts w:eastAsia="宋体"/>
                <w:sz w:val="21"/>
                <w:szCs w:val="21"/>
              </w:rPr>
            </w:pPr>
            <w:r>
              <w:rPr>
                <w:rFonts w:eastAsia="宋体"/>
                <w:sz w:val="21"/>
                <w:szCs w:val="21"/>
              </w:rPr>
              <w:t>1</w:t>
            </w:r>
          </w:p>
        </w:tc>
        <w:tc>
          <w:tcPr>
            <w:tcW w:w="1064" w:type="pct"/>
            <w:vAlign w:val="center"/>
          </w:tcPr>
          <w:p w14:paraId="6720DC09">
            <w:pPr>
              <w:pStyle w:val="100"/>
              <w:adjustRightInd w:val="0"/>
              <w:snapToGrid w:val="0"/>
              <w:ind w:left="358" w:right="351"/>
              <w:rPr>
                <w:rFonts w:eastAsia="宋体"/>
                <w:sz w:val="21"/>
                <w:szCs w:val="21"/>
              </w:rPr>
            </w:pPr>
            <w:r>
              <w:rPr>
                <w:rFonts w:eastAsia="宋体"/>
                <w:sz w:val="21"/>
                <w:szCs w:val="21"/>
              </w:rPr>
              <w:t>3967920.46</w:t>
            </w:r>
          </w:p>
        </w:tc>
        <w:tc>
          <w:tcPr>
            <w:tcW w:w="1178" w:type="pct"/>
            <w:vAlign w:val="center"/>
          </w:tcPr>
          <w:p w14:paraId="72A63C2E">
            <w:pPr>
              <w:pStyle w:val="100"/>
              <w:adjustRightInd w:val="0"/>
              <w:snapToGrid w:val="0"/>
              <w:ind w:left="398" w:right="388"/>
              <w:rPr>
                <w:rFonts w:eastAsia="宋体"/>
                <w:sz w:val="21"/>
                <w:szCs w:val="21"/>
              </w:rPr>
            </w:pPr>
            <w:r>
              <w:rPr>
                <w:rFonts w:eastAsia="宋体"/>
                <w:sz w:val="21"/>
                <w:szCs w:val="21"/>
              </w:rPr>
              <w:t>39448747.1</w:t>
            </w:r>
          </w:p>
        </w:tc>
        <w:tc>
          <w:tcPr>
            <w:tcW w:w="1065" w:type="pct"/>
            <w:vAlign w:val="center"/>
          </w:tcPr>
          <w:p w14:paraId="6E5F94AA">
            <w:pPr>
              <w:pStyle w:val="100"/>
              <w:adjustRightInd w:val="0"/>
              <w:snapToGrid w:val="0"/>
              <w:ind w:left="360" w:right="350"/>
              <w:rPr>
                <w:rFonts w:eastAsia="宋体"/>
                <w:sz w:val="21"/>
                <w:szCs w:val="21"/>
              </w:rPr>
            </w:pPr>
            <w:r>
              <w:rPr>
                <w:rFonts w:eastAsia="宋体"/>
                <w:sz w:val="21"/>
                <w:szCs w:val="21"/>
              </w:rPr>
              <w:t>3967918.26</w:t>
            </w:r>
          </w:p>
        </w:tc>
        <w:tc>
          <w:tcPr>
            <w:tcW w:w="1184" w:type="pct"/>
            <w:vAlign w:val="center"/>
          </w:tcPr>
          <w:p w14:paraId="63D72395">
            <w:pPr>
              <w:pStyle w:val="100"/>
              <w:adjustRightInd w:val="0"/>
              <w:snapToGrid w:val="0"/>
              <w:ind w:left="398" w:right="388"/>
              <w:rPr>
                <w:rFonts w:eastAsia="宋体"/>
                <w:sz w:val="21"/>
                <w:szCs w:val="21"/>
              </w:rPr>
            </w:pPr>
            <w:r>
              <w:rPr>
                <w:rFonts w:eastAsia="宋体"/>
                <w:sz w:val="21"/>
                <w:szCs w:val="21"/>
              </w:rPr>
              <w:t>39448864.39</w:t>
            </w:r>
          </w:p>
        </w:tc>
      </w:tr>
      <w:tr w14:paraId="1D410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0A4E1762">
            <w:pPr>
              <w:pStyle w:val="100"/>
              <w:adjustRightInd w:val="0"/>
              <w:snapToGrid w:val="0"/>
              <w:ind w:left="7"/>
              <w:rPr>
                <w:rFonts w:eastAsia="宋体"/>
                <w:sz w:val="21"/>
                <w:szCs w:val="21"/>
              </w:rPr>
            </w:pPr>
            <w:r>
              <w:rPr>
                <w:rFonts w:eastAsia="宋体"/>
                <w:sz w:val="21"/>
                <w:szCs w:val="21"/>
              </w:rPr>
              <w:t>2</w:t>
            </w:r>
          </w:p>
        </w:tc>
        <w:tc>
          <w:tcPr>
            <w:tcW w:w="1064" w:type="pct"/>
            <w:vAlign w:val="center"/>
          </w:tcPr>
          <w:p w14:paraId="70E3C3EB">
            <w:pPr>
              <w:pStyle w:val="100"/>
              <w:adjustRightInd w:val="0"/>
              <w:snapToGrid w:val="0"/>
              <w:ind w:left="358" w:right="351"/>
              <w:rPr>
                <w:rFonts w:eastAsia="宋体"/>
                <w:sz w:val="21"/>
                <w:szCs w:val="21"/>
              </w:rPr>
            </w:pPr>
            <w:r>
              <w:rPr>
                <w:rFonts w:eastAsia="宋体"/>
                <w:sz w:val="21"/>
                <w:szCs w:val="21"/>
              </w:rPr>
              <w:t>3968088.14</w:t>
            </w:r>
          </w:p>
        </w:tc>
        <w:tc>
          <w:tcPr>
            <w:tcW w:w="1178" w:type="pct"/>
            <w:vAlign w:val="center"/>
          </w:tcPr>
          <w:p w14:paraId="6CE00CD9">
            <w:pPr>
              <w:pStyle w:val="100"/>
              <w:adjustRightInd w:val="0"/>
              <w:snapToGrid w:val="0"/>
              <w:ind w:left="398" w:right="391"/>
              <w:rPr>
                <w:rFonts w:eastAsia="宋体"/>
                <w:sz w:val="21"/>
                <w:szCs w:val="21"/>
              </w:rPr>
            </w:pPr>
            <w:r>
              <w:rPr>
                <w:rFonts w:eastAsia="宋体"/>
                <w:sz w:val="21"/>
                <w:szCs w:val="21"/>
              </w:rPr>
              <w:t>39449143.55</w:t>
            </w:r>
          </w:p>
        </w:tc>
        <w:tc>
          <w:tcPr>
            <w:tcW w:w="1065" w:type="pct"/>
            <w:vAlign w:val="center"/>
          </w:tcPr>
          <w:p w14:paraId="6A59D20C">
            <w:pPr>
              <w:pStyle w:val="100"/>
              <w:adjustRightInd w:val="0"/>
              <w:snapToGrid w:val="0"/>
              <w:ind w:left="360" w:right="350"/>
              <w:rPr>
                <w:rFonts w:eastAsia="宋体"/>
                <w:sz w:val="21"/>
                <w:szCs w:val="21"/>
              </w:rPr>
            </w:pPr>
            <w:r>
              <w:rPr>
                <w:rFonts w:eastAsia="宋体"/>
                <w:sz w:val="21"/>
                <w:szCs w:val="21"/>
              </w:rPr>
              <w:t>3968085.94</w:t>
            </w:r>
          </w:p>
        </w:tc>
        <w:tc>
          <w:tcPr>
            <w:tcW w:w="1184" w:type="pct"/>
            <w:vAlign w:val="center"/>
          </w:tcPr>
          <w:p w14:paraId="12DC01E2">
            <w:pPr>
              <w:pStyle w:val="100"/>
              <w:adjustRightInd w:val="0"/>
              <w:snapToGrid w:val="0"/>
              <w:ind w:left="398" w:right="388"/>
              <w:rPr>
                <w:rFonts w:eastAsia="宋体"/>
                <w:sz w:val="21"/>
                <w:szCs w:val="21"/>
              </w:rPr>
            </w:pPr>
            <w:r>
              <w:rPr>
                <w:rFonts w:eastAsia="宋体"/>
                <w:sz w:val="21"/>
                <w:szCs w:val="21"/>
              </w:rPr>
              <w:t>39449260.84</w:t>
            </w:r>
          </w:p>
        </w:tc>
      </w:tr>
      <w:tr w14:paraId="2A547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62D06A1D">
            <w:pPr>
              <w:pStyle w:val="100"/>
              <w:adjustRightInd w:val="0"/>
              <w:snapToGrid w:val="0"/>
              <w:ind w:left="7"/>
              <w:rPr>
                <w:rFonts w:eastAsia="宋体"/>
                <w:sz w:val="21"/>
                <w:szCs w:val="21"/>
              </w:rPr>
            </w:pPr>
            <w:r>
              <w:rPr>
                <w:rFonts w:eastAsia="宋体"/>
                <w:sz w:val="21"/>
                <w:szCs w:val="21"/>
              </w:rPr>
              <w:t>3</w:t>
            </w:r>
          </w:p>
        </w:tc>
        <w:tc>
          <w:tcPr>
            <w:tcW w:w="1064" w:type="pct"/>
            <w:vAlign w:val="center"/>
          </w:tcPr>
          <w:p w14:paraId="7083B472">
            <w:pPr>
              <w:pStyle w:val="100"/>
              <w:adjustRightInd w:val="0"/>
              <w:snapToGrid w:val="0"/>
              <w:ind w:left="358" w:right="351"/>
              <w:rPr>
                <w:rFonts w:eastAsia="宋体"/>
                <w:sz w:val="21"/>
                <w:szCs w:val="21"/>
              </w:rPr>
            </w:pPr>
            <w:r>
              <w:rPr>
                <w:rFonts w:eastAsia="宋体"/>
                <w:sz w:val="21"/>
                <w:szCs w:val="21"/>
              </w:rPr>
              <w:t>3969094.99</w:t>
            </w:r>
          </w:p>
        </w:tc>
        <w:tc>
          <w:tcPr>
            <w:tcW w:w="1178" w:type="pct"/>
            <w:vAlign w:val="center"/>
          </w:tcPr>
          <w:p w14:paraId="07AE786C">
            <w:pPr>
              <w:pStyle w:val="100"/>
              <w:adjustRightInd w:val="0"/>
              <w:snapToGrid w:val="0"/>
              <w:ind w:left="398" w:right="391"/>
              <w:rPr>
                <w:rFonts w:eastAsia="宋体"/>
                <w:sz w:val="21"/>
                <w:szCs w:val="21"/>
              </w:rPr>
            </w:pPr>
            <w:r>
              <w:rPr>
                <w:rFonts w:eastAsia="宋体"/>
                <w:sz w:val="21"/>
                <w:szCs w:val="21"/>
              </w:rPr>
              <w:t>39450465.86</w:t>
            </w:r>
          </w:p>
        </w:tc>
        <w:tc>
          <w:tcPr>
            <w:tcW w:w="1065" w:type="pct"/>
            <w:vAlign w:val="center"/>
          </w:tcPr>
          <w:p w14:paraId="4B4E7637">
            <w:pPr>
              <w:pStyle w:val="100"/>
              <w:adjustRightInd w:val="0"/>
              <w:snapToGrid w:val="0"/>
              <w:ind w:left="360" w:right="350"/>
              <w:rPr>
                <w:rFonts w:eastAsia="宋体"/>
                <w:sz w:val="21"/>
                <w:szCs w:val="21"/>
              </w:rPr>
            </w:pPr>
            <w:r>
              <w:rPr>
                <w:rFonts w:eastAsia="宋体"/>
                <w:sz w:val="21"/>
                <w:szCs w:val="21"/>
              </w:rPr>
              <w:t>3969092.79</w:t>
            </w:r>
          </w:p>
        </w:tc>
        <w:tc>
          <w:tcPr>
            <w:tcW w:w="1184" w:type="pct"/>
            <w:vAlign w:val="center"/>
          </w:tcPr>
          <w:p w14:paraId="1C19F18D">
            <w:pPr>
              <w:pStyle w:val="100"/>
              <w:adjustRightInd w:val="0"/>
              <w:snapToGrid w:val="0"/>
              <w:ind w:left="398" w:right="388"/>
              <w:rPr>
                <w:rFonts w:eastAsia="宋体"/>
                <w:sz w:val="21"/>
                <w:szCs w:val="21"/>
              </w:rPr>
            </w:pPr>
            <w:r>
              <w:rPr>
                <w:rFonts w:eastAsia="宋体"/>
                <w:sz w:val="21"/>
                <w:szCs w:val="21"/>
              </w:rPr>
              <w:t>39450583.15</w:t>
            </w:r>
          </w:p>
        </w:tc>
      </w:tr>
      <w:tr w14:paraId="7F6FA5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04B304FE">
            <w:pPr>
              <w:pStyle w:val="100"/>
              <w:adjustRightInd w:val="0"/>
              <w:snapToGrid w:val="0"/>
              <w:ind w:left="7"/>
              <w:rPr>
                <w:rFonts w:eastAsia="宋体"/>
                <w:sz w:val="21"/>
                <w:szCs w:val="21"/>
              </w:rPr>
            </w:pPr>
            <w:r>
              <w:rPr>
                <w:rFonts w:eastAsia="宋体"/>
                <w:sz w:val="21"/>
                <w:szCs w:val="21"/>
              </w:rPr>
              <w:t>4</w:t>
            </w:r>
          </w:p>
        </w:tc>
        <w:tc>
          <w:tcPr>
            <w:tcW w:w="1064" w:type="pct"/>
            <w:vAlign w:val="center"/>
          </w:tcPr>
          <w:p w14:paraId="62D33D24">
            <w:pPr>
              <w:pStyle w:val="100"/>
              <w:adjustRightInd w:val="0"/>
              <w:snapToGrid w:val="0"/>
              <w:ind w:left="358" w:right="351"/>
              <w:rPr>
                <w:rFonts w:eastAsia="宋体"/>
                <w:sz w:val="21"/>
                <w:szCs w:val="21"/>
              </w:rPr>
            </w:pPr>
            <w:r>
              <w:rPr>
                <w:rFonts w:eastAsia="宋体"/>
                <w:sz w:val="21"/>
                <w:szCs w:val="21"/>
              </w:rPr>
              <w:t>3969019.08</w:t>
            </w:r>
          </w:p>
        </w:tc>
        <w:tc>
          <w:tcPr>
            <w:tcW w:w="1178" w:type="pct"/>
            <w:vAlign w:val="center"/>
          </w:tcPr>
          <w:p w14:paraId="5CDD891C">
            <w:pPr>
              <w:pStyle w:val="100"/>
              <w:adjustRightInd w:val="0"/>
              <w:snapToGrid w:val="0"/>
              <w:ind w:left="398" w:right="391"/>
              <w:rPr>
                <w:rFonts w:eastAsia="宋体"/>
                <w:sz w:val="21"/>
                <w:szCs w:val="21"/>
              </w:rPr>
            </w:pPr>
            <w:r>
              <w:rPr>
                <w:rFonts w:eastAsia="宋体"/>
                <w:sz w:val="21"/>
                <w:szCs w:val="21"/>
              </w:rPr>
              <w:t>39452003.03</w:t>
            </w:r>
          </w:p>
        </w:tc>
        <w:tc>
          <w:tcPr>
            <w:tcW w:w="1065" w:type="pct"/>
            <w:vAlign w:val="center"/>
          </w:tcPr>
          <w:p w14:paraId="39E1DAC1">
            <w:pPr>
              <w:pStyle w:val="100"/>
              <w:adjustRightInd w:val="0"/>
              <w:snapToGrid w:val="0"/>
              <w:ind w:left="360" w:right="350"/>
              <w:rPr>
                <w:rFonts w:eastAsia="宋体"/>
                <w:sz w:val="21"/>
                <w:szCs w:val="21"/>
              </w:rPr>
            </w:pPr>
            <w:r>
              <w:rPr>
                <w:rFonts w:eastAsia="宋体"/>
                <w:sz w:val="21"/>
                <w:szCs w:val="21"/>
              </w:rPr>
              <w:t>3969016.88</w:t>
            </w:r>
          </w:p>
        </w:tc>
        <w:tc>
          <w:tcPr>
            <w:tcW w:w="1184" w:type="pct"/>
            <w:vAlign w:val="center"/>
          </w:tcPr>
          <w:p w14:paraId="2891E0F3">
            <w:pPr>
              <w:pStyle w:val="100"/>
              <w:adjustRightInd w:val="0"/>
              <w:snapToGrid w:val="0"/>
              <w:ind w:left="398" w:right="388"/>
              <w:rPr>
                <w:rFonts w:eastAsia="宋体"/>
                <w:sz w:val="21"/>
                <w:szCs w:val="21"/>
              </w:rPr>
            </w:pPr>
            <w:r>
              <w:rPr>
                <w:rFonts w:eastAsia="宋体"/>
                <w:sz w:val="21"/>
                <w:szCs w:val="21"/>
              </w:rPr>
              <w:t>39452120.32</w:t>
            </w:r>
          </w:p>
        </w:tc>
      </w:tr>
      <w:tr w14:paraId="542F6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791A6304">
            <w:pPr>
              <w:pStyle w:val="100"/>
              <w:adjustRightInd w:val="0"/>
              <w:snapToGrid w:val="0"/>
              <w:ind w:left="7"/>
              <w:rPr>
                <w:rFonts w:eastAsia="宋体"/>
                <w:sz w:val="21"/>
                <w:szCs w:val="21"/>
              </w:rPr>
            </w:pPr>
            <w:r>
              <w:rPr>
                <w:rFonts w:eastAsia="宋体"/>
                <w:sz w:val="21"/>
                <w:szCs w:val="21"/>
              </w:rPr>
              <w:t>5</w:t>
            </w:r>
          </w:p>
        </w:tc>
        <w:tc>
          <w:tcPr>
            <w:tcW w:w="1064" w:type="pct"/>
            <w:vAlign w:val="center"/>
          </w:tcPr>
          <w:p w14:paraId="04558545">
            <w:pPr>
              <w:pStyle w:val="100"/>
              <w:adjustRightInd w:val="0"/>
              <w:snapToGrid w:val="0"/>
              <w:ind w:left="358" w:right="351"/>
              <w:rPr>
                <w:rFonts w:eastAsia="宋体"/>
                <w:sz w:val="21"/>
                <w:szCs w:val="21"/>
              </w:rPr>
            </w:pPr>
            <w:r>
              <w:rPr>
                <w:rFonts w:eastAsia="宋体"/>
                <w:sz w:val="21"/>
                <w:szCs w:val="21"/>
              </w:rPr>
              <w:t>3969134.07</w:t>
            </w:r>
          </w:p>
        </w:tc>
        <w:tc>
          <w:tcPr>
            <w:tcW w:w="1178" w:type="pct"/>
            <w:vAlign w:val="center"/>
          </w:tcPr>
          <w:p w14:paraId="5FE6626F">
            <w:pPr>
              <w:pStyle w:val="100"/>
              <w:adjustRightInd w:val="0"/>
              <w:snapToGrid w:val="0"/>
              <w:ind w:left="398" w:right="388"/>
              <w:rPr>
                <w:rFonts w:eastAsia="宋体"/>
                <w:sz w:val="21"/>
                <w:szCs w:val="21"/>
              </w:rPr>
            </w:pPr>
            <w:r>
              <w:rPr>
                <w:rFonts w:eastAsia="宋体"/>
                <w:sz w:val="21"/>
                <w:szCs w:val="21"/>
              </w:rPr>
              <w:t>39452601.2</w:t>
            </w:r>
          </w:p>
        </w:tc>
        <w:tc>
          <w:tcPr>
            <w:tcW w:w="1065" w:type="pct"/>
            <w:vAlign w:val="center"/>
          </w:tcPr>
          <w:p w14:paraId="245B2946">
            <w:pPr>
              <w:pStyle w:val="100"/>
              <w:adjustRightInd w:val="0"/>
              <w:snapToGrid w:val="0"/>
              <w:ind w:left="360" w:right="350"/>
              <w:rPr>
                <w:rFonts w:eastAsia="宋体"/>
                <w:sz w:val="21"/>
                <w:szCs w:val="21"/>
              </w:rPr>
            </w:pPr>
            <w:r>
              <w:rPr>
                <w:rFonts w:eastAsia="宋体"/>
                <w:sz w:val="21"/>
                <w:szCs w:val="21"/>
              </w:rPr>
              <w:t>3969131.87</w:t>
            </w:r>
          </w:p>
        </w:tc>
        <w:tc>
          <w:tcPr>
            <w:tcW w:w="1184" w:type="pct"/>
            <w:vAlign w:val="center"/>
          </w:tcPr>
          <w:p w14:paraId="584B19F3">
            <w:pPr>
              <w:pStyle w:val="100"/>
              <w:adjustRightInd w:val="0"/>
              <w:snapToGrid w:val="0"/>
              <w:ind w:left="398" w:right="388"/>
              <w:rPr>
                <w:rFonts w:eastAsia="宋体"/>
                <w:sz w:val="21"/>
                <w:szCs w:val="21"/>
              </w:rPr>
            </w:pPr>
            <w:r>
              <w:rPr>
                <w:rFonts w:eastAsia="宋体"/>
                <w:sz w:val="21"/>
                <w:szCs w:val="21"/>
              </w:rPr>
              <w:t>39452718.49</w:t>
            </w:r>
          </w:p>
        </w:tc>
      </w:tr>
      <w:tr w14:paraId="352A0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3AE75E20">
            <w:pPr>
              <w:pStyle w:val="100"/>
              <w:adjustRightInd w:val="0"/>
              <w:snapToGrid w:val="0"/>
              <w:ind w:left="7"/>
              <w:rPr>
                <w:rFonts w:eastAsia="宋体"/>
                <w:sz w:val="21"/>
                <w:szCs w:val="21"/>
              </w:rPr>
            </w:pPr>
            <w:r>
              <w:rPr>
                <w:rFonts w:eastAsia="宋体"/>
                <w:sz w:val="21"/>
                <w:szCs w:val="21"/>
              </w:rPr>
              <w:t>6</w:t>
            </w:r>
          </w:p>
        </w:tc>
        <w:tc>
          <w:tcPr>
            <w:tcW w:w="1064" w:type="pct"/>
            <w:vAlign w:val="center"/>
          </w:tcPr>
          <w:p w14:paraId="5912D414">
            <w:pPr>
              <w:pStyle w:val="100"/>
              <w:adjustRightInd w:val="0"/>
              <w:snapToGrid w:val="0"/>
              <w:ind w:left="358" w:right="351"/>
              <w:rPr>
                <w:rFonts w:eastAsia="宋体"/>
                <w:sz w:val="21"/>
                <w:szCs w:val="21"/>
              </w:rPr>
            </w:pPr>
            <w:r>
              <w:rPr>
                <w:rFonts w:eastAsia="宋体"/>
                <w:sz w:val="21"/>
                <w:szCs w:val="21"/>
              </w:rPr>
              <w:t>3969905.29</w:t>
            </w:r>
          </w:p>
        </w:tc>
        <w:tc>
          <w:tcPr>
            <w:tcW w:w="1178" w:type="pct"/>
            <w:vAlign w:val="center"/>
          </w:tcPr>
          <w:p w14:paraId="425EF708">
            <w:pPr>
              <w:pStyle w:val="100"/>
              <w:adjustRightInd w:val="0"/>
              <w:snapToGrid w:val="0"/>
              <w:ind w:left="398" w:right="391"/>
              <w:rPr>
                <w:rFonts w:eastAsia="宋体"/>
                <w:sz w:val="21"/>
                <w:szCs w:val="21"/>
              </w:rPr>
            </w:pPr>
            <w:r>
              <w:rPr>
                <w:rFonts w:eastAsia="宋体"/>
                <w:sz w:val="21"/>
                <w:szCs w:val="21"/>
              </w:rPr>
              <w:t>39453986.79</w:t>
            </w:r>
          </w:p>
        </w:tc>
        <w:tc>
          <w:tcPr>
            <w:tcW w:w="1065" w:type="pct"/>
            <w:vAlign w:val="center"/>
          </w:tcPr>
          <w:p w14:paraId="5037B9BC">
            <w:pPr>
              <w:pStyle w:val="100"/>
              <w:adjustRightInd w:val="0"/>
              <w:snapToGrid w:val="0"/>
              <w:ind w:left="360" w:right="350"/>
              <w:rPr>
                <w:rFonts w:eastAsia="宋体"/>
                <w:sz w:val="21"/>
                <w:szCs w:val="21"/>
              </w:rPr>
            </w:pPr>
            <w:r>
              <w:rPr>
                <w:rFonts w:eastAsia="宋体"/>
                <w:sz w:val="21"/>
                <w:szCs w:val="21"/>
              </w:rPr>
              <w:t>3969903.09</w:t>
            </w:r>
          </w:p>
        </w:tc>
        <w:tc>
          <w:tcPr>
            <w:tcW w:w="1184" w:type="pct"/>
            <w:vAlign w:val="center"/>
          </w:tcPr>
          <w:p w14:paraId="04DD343F">
            <w:pPr>
              <w:pStyle w:val="100"/>
              <w:adjustRightInd w:val="0"/>
              <w:snapToGrid w:val="0"/>
              <w:ind w:left="398" w:right="388"/>
              <w:rPr>
                <w:rFonts w:eastAsia="宋体"/>
                <w:sz w:val="21"/>
                <w:szCs w:val="21"/>
              </w:rPr>
            </w:pPr>
            <w:r>
              <w:rPr>
                <w:rFonts w:eastAsia="宋体"/>
                <w:sz w:val="21"/>
                <w:szCs w:val="21"/>
              </w:rPr>
              <w:t>39454104.09</w:t>
            </w:r>
          </w:p>
        </w:tc>
      </w:tr>
      <w:tr w14:paraId="267CF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28FFC46A">
            <w:pPr>
              <w:pStyle w:val="100"/>
              <w:adjustRightInd w:val="0"/>
              <w:snapToGrid w:val="0"/>
              <w:ind w:left="7"/>
              <w:rPr>
                <w:rFonts w:eastAsia="宋体"/>
                <w:sz w:val="21"/>
                <w:szCs w:val="21"/>
              </w:rPr>
            </w:pPr>
            <w:r>
              <w:rPr>
                <w:rFonts w:eastAsia="宋体"/>
                <w:sz w:val="21"/>
                <w:szCs w:val="21"/>
              </w:rPr>
              <w:t>7</w:t>
            </w:r>
          </w:p>
        </w:tc>
        <w:tc>
          <w:tcPr>
            <w:tcW w:w="1064" w:type="pct"/>
            <w:vAlign w:val="center"/>
          </w:tcPr>
          <w:p w14:paraId="771EE8A0">
            <w:pPr>
              <w:pStyle w:val="100"/>
              <w:adjustRightInd w:val="0"/>
              <w:snapToGrid w:val="0"/>
              <w:ind w:left="358" w:right="351"/>
              <w:rPr>
                <w:rFonts w:eastAsia="宋体"/>
                <w:sz w:val="21"/>
                <w:szCs w:val="21"/>
              </w:rPr>
            </w:pPr>
            <w:r>
              <w:rPr>
                <w:rFonts w:eastAsia="宋体"/>
                <w:sz w:val="21"/>
                <w:szCs w:val="21"/>
              </w:rPr>
              <w:t>3969947.92</w:t>
            </w:r>
          </w:p>
        </w:tc>
        <w:tc>
          <w:tcPr>
            <w:tcW w:w="1178" w:type="pct"/>
            <w:vAlign w:val="center"/>
          </w:tcPr>
          <w:p w14:paraId="77CF4552">
            <w:pPr>
              <w:pStyle w:val="100"/>
              <w:adjustRightInd w:val="0"/>
              <w:snapToGrid w:val="0"/>
              <w:ind w:left="398" w:right="391"/>
              <w:rPr>
                <w:rFonts w:eastAsia="宋体"/>
                <w:sz w:val="21"/>
                <w:szCs w:val="21"/>
              </w:rPr>
            </w:pPr>
            <w:r>
              <w:rPr>
                <w:rFonts w:eastAsia="宋体"/>
                <w:sz w:val="21"/>
                <w:szCs w:val="21"/>
              </w:rPr>
              <w:t>39454780.88</w:t>
            </w:r>
          </w:p>
        </w:tc>
        <w:tc>
          <w:tcPr>
            <w:tcW w:w="1065" w:type="pct"/>
            <w:vAlign w:val="center"/>
          </w:tcPr>
          <w:p w14:paraId="65A35D16">
            <w:pPr>
              <w:pStyle w:val="100"/>
              <w:adjustRightInd w:val="0"/>
              <w:snapToGrid w:val="0"/>
              <w:ind w:left="360" w:right="350"/>
              <w:rPr>
                <w:rFonts w:eastAsia="宋体"/>
                <w:sz w:val="21"/>
                <w:szCs w:val="21"/>
              </w:rPr>
            </w:pPr>
            <w:r>
              <w:rPr>
                <w:rFonts w:eastAsia="宋体"/>
                <w:sz w:val="21"/>
                <w:szCs w:val="21"/>
              </w:rPr>
              <w:t>3969945.73</w:t>
            </w:r>
          </w:p>
        </w:tc>
        <w:tc>
          <w:tcPr>
            <w:tcW w:w="1184" w:type="pct"/>
            <w:vAlign w:val="center"/>
          </w:tcPr>
          <w:p w14:paraId="47371066">
            <w:pPr>
              <w:pStyle w:val="100"/>
              <w:adjustRightInd w:val="0"/>
              <w:snapToGrid w:val="0"/>
              <w:ind w:left="398" w:right="388"/>
              <w:rPr>
                <w:rFonts w:eastAsia="宋体"/>
                <w:sz w:val="21"/>
                <w:szCs w:val="21"/>
              </w:rPr>
            </w:pPr>
            <w:r>
              <w:rPr>
                <w:rFonts w:eastAsia="宋体"/>
                <w:sz w:val="21"/>
                <w:szCs w:val="21"/>
              </w:rPr>
              <w:t>39454898.18</w:t>
            </w:r>
          </w:p>
        </w:tc>
      </w:tr>
      <w:tr w14:paraId="08141D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236DA222">
            <w:pPr>
              <w:pStyle w:val="100"/>
              <w:adjustRightInd w:val="0"/>
              <w:snapToGrid w:val="0"/>
              <w:ind w:left="7"/>
              <w:rPr>
                <w:rFonts w:eastAsia="宋体"/>
                <w:sz w:val="21"/>
                <w:szCs w:val="21"/>
              </w:rPr>
            </w:pPr>
            <w:r>
              <w:rPr>
                <w:rFonts w:eastAsia="宋体"/>
                <w:sz w:val="21"/>
                <w:szCs w:val="21"/>
              </w:rPr>
              <w:t>8</w:t>
            </w:r>
          </w:p>
        </w:tc>
        <w:tc>
          <w:tcPr>
            <w:tcW w:w="1064" w:type="pct"/>
            <w:vAlign w:val="center"/>
          </w:tcPr>
          <w:p w14:paraId="3FF1A89A">
            <w:pPr>
              <w:pStyle w:val="100"/>
              <w:adjustRightInd w:val="0"/>
              <w:snapToGrid w:val="0"/>
              <w:ind w:left="358" w:right="351"/>
              <w:rPr>
                <w:rFonts w:eastAsia="宋体"/>
                <w:sz w:val="21"/>
                <w:szCs w:val="21"/>
              </w:rPr>
            </w:pPr>
            <w:r>
              <w:rPr>
                <w:rFonts w:eastAsia="宋体"/>
                <w:sz w:val="21"/>
                <w:szCs w:val="21"/>
              </w:rPr>
              <w:t>3968523.41</w:t>
            </w:r>
          </w:p>
        </w:tc>
        <w:tc>
          <w:tcPr>
            <w:tcW w:w="1178" w:type="pct"/>
            <w:vAlign w:val="center"/>
          </w:tcPr>
          <w:p w14:paraId="34DDE2E7">
            <w:pPr>
              <w:pStyle w:val="100"/>
              <w:adjustRightInd w:val="0"/>
              <w:snapToGrid w:val="0"/>
              <w:ind w:left="398" w:right="391"/>
              <w:rPr>
                <w:rFonts w:eastAsia="宋体"/>
                <w:sz w:val="21"/>
                <w:szCs w:val="21"/>
              </w:rPr>
            </w:pPr>
            <w:r>
              <w:rPr>
                <w:rFonts w:eastAsia="宋体"/>
                <w:sz w:val="21"/>
                <w:szCs w:val="21"/>
              </w:rPr>
              <w:t>39454776.12</w:t>
            </w:r>
          </w:p>
        </w:tc>
        <w:tc>
          <w:tcPr>
            <w:tcW w:w="1065" w:type="pct"/>
            <w:vAlign w:val="center"/>
          </w:tcPr>
          <w:p w14:paraId="3F569248">
            <w:pPr>
              <w:pStyle w:val="100"/>
              <w:adjustRightInd w:val="0"/>
              <w:snapToGrid w:val="0"/>
              <w:ind w:left="360" w:right="350"/>
              <w:rPr>
                <w:rFonts w:eastAsia="宋体"/>
                <w:sz w:val="21"/>
                <w:szCs w:val="21"/>
              </w:rPr>
            </w:pPr>
            <w:r>
              <w:rPr>
                <w:rFonts w:eastAsia="宋体"/>
                <w:sz w:val="21"/>
                <w:szCs w:val="21"/>
              </w:rPr>
              <w:t>3968521.21</w:t>
            </w:r>
          </w:p>
        </w:tc>
        <w:tc>
          <w:tcPr>
            <w:tcW w:w="1184" w:type="pct"/>
            <w:vAlign w:val="center"/>
          </w:tcPr>
          <w:p w14:paraId="7736B03D">
            <w:pPr>
              <w:pStyle w:val="100"/>
              <w:adjustRightInd w:val="0"/>
              <w:snapToGrid w:val="0"/>
              <w:ind w:left="398" w:right="388"/>
              <w:rPr>
                <w:rFonts w:eastAsia="宋体"/>
                <w:sz w:val="21"/>
                <w:szCs w:val="21"/>
              </w:rPr>
            </w:pPr>
            <w:r>
              <w:rPr>
                <w:rFonts w:eastAsia="宋体"/>
                <w:sz w:val="21"/>
                <w:szCs w:val="21"/>
              </w:rPr>
              <w:t>39454893.42</w:t>
            </w:r>
          </w:p>
        </w:tc>
      </w:tr>
      <w:tr w14:paraId="237468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06B9D5D0">
            <w:pPr>
              <w:pStyle w:val="100"/>
              <w:adjustRightInd w:val="0"/>
              <w:snapToGrid w:val="0"/>
              <w:ind w:left="7"/>
              <w:rPr>
                <w:rFonts w:eastAsia="宋体"/>
                <w:sz w:val="21"/>
                <w:szCs w:val="21"/>
              </w:rPr>
            </w:pPr>
            <w:r>
              <w:rPr>
                <w:rFonts w:eastAsia="宋体"/>
                <w:sz w:val="21"/>
                <w:szCs w:val="21"/>
              </w:rPr>
              <w:t>9</w:t>
            </w:r>
          </w:p>
        </w:tc>
        <w:tc>
          <w:tcPr>
            <w:tcW w:w="1064" w:type="pct"/>
            <w:vAlign w:val="center"/>
          </w:tcPr>
          <w:p w14:paraId="224C3FAA">
            <w:pPr>
              <w:pStyle w:val="100"/>
              <w:adjustRightInd w:val="0"/>
              <w:snapToGrid w:val="0"/>
              <w:ind w:left="358" w:right="351"/>
              <w:rPr>
                <w:rFonts w:eastAsia="宋体"/>
                <w:sz w:val="21"/>
                <w:szCs w:val="21"/>
              </w:rPr>
            </w:pPr>
            <w:r>
              <w:rPr>
                <w:rFonts w:eastAsia="宋体"/>
                <w:sz w:val="21"/>
                <w:szCs w:val="21"/>
              </w:rPr>
              <w:t>3967629.94</w:t>
            </w:r>
          </w:p>
        </w:tc>
        <w:tc>
          <w:tcPr>
            <w:tcW w:w="1178" w:type="pct"/>
            <w:vAlign w:val="center"/>
          </w:tcPr>
          <w:p w14:paraId="623331F3">
            <w:pPr>
              <w:pStyle w:val="100"/>
              <w:adjustRightInd w:val="0"/>
              <w:snapToGrid w:val="0"/>
              <w:ind w:left="398" w:right="391"/>
              <w:rPr>
                <w:rFonts w:eastAsia="宋体"/>
                <w:sz w:val="21"/>
                <w:szCs w:val="21"/>
              </w:rPr>
            </w:pPr>
            <w:r>
              <w:rPr>
                <w:rFonts w:eastAsia="宋体"/>
                <w:sz w:val="21"/>
                <w:szCs w:val="21"/>
              </w:rPr>
              <w:t>39452648.42</w:t>
            </w:r>
          </w:p>
        </w:tc>
        <w:tc>
          <w:tcPr>
            <w:tcW w:w="1065" w:type="pct"/>
            <w:vAlign w:val="center"/>
          </w:tcPr>
          <w:p w14:paraId="61102545">
            <w:pPr>
              <w:pStyle w:val="100"/>
              <w:adjustRightInd w:val="0"/>
              <w:snapToGrid w:val="0"/>
              <w:ind w:left="360" w:right="350"/>
              <w:rPr>
                <w:rFonts w:eastAsia="宋体"/>
                <w:sz w:val="21"/>
                <w:szCs w:val="21"/>
              </w:rPr>
            </w:pPr>
            <w:r>
              <w:rPr>
                <w:rFonts w:eastAsia="宋体"/>
                <w:sz w:val="21"/>
                <w:szCs w:val="21"/>
              </w:rPr>
              <w:t>3967627.74</w:t>
            </w:r>
          </w:p>
        </w:tc>
        <w:tc>
          <w:tcPr>
            <w:tcW w:w="1184" w:type="pct"/>
            <w:vAlign w:val="center"/>
          </w:tcPr>
          <w:p w14:paraId="4372BAC8">
            <w:pPr>
              <w:pStyle w:val="100"/>
              <w:adjustRightInd w:val="0"/>
              <w:snapToGrid w:val="0"/>
              <w:ind w:left="398" w:right="388"/>
              <w:rPr>
                <w:rFonts w:eastAsia="宋体"/>
                <w:sz w:val="21"/>
                <w:szCs w:val="21"/>
              </w:rPr>
            </w:pPr>
            <w:r>
              <w:rPr>
                <w:rFonts w:eastAsia="宋体"/>
                <w:sz w:val="21"/>
                <w:szCs w:val="21"/>
              </w:rPr>
              <w:t>39452765.72</w:t>
            </w:r>
          </w:p>
        </w:tc>
      </w:tr>
      <w:tr w14:paraId="36A24F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43C747BB">
            <w:pPr>
              <w:pStyle w:val="100"/>
              <w:adjustRightInd w:val="0"/>
              <w:snapToGrid w:val="0"/>
              <w:ind w:left="269" w:right="262"/>
              <w:rPr>
                <w:rFonts w:eastAsia="宋体"/>
                <w:sz w:val="21"/>
                <w:szCs w:val="21"/>
              </w:rPr>
            </w:pPr>
            <w:r>
              <w:rPr>
                <w:rFonts w:eastAsia="宋体"/>
                <w:sz w:val="21"/>
                <w:szCs w:val="21"/>
              </w:rPr>
              <w:t>10</w:t>
            </w:r>
          </w:p>
        </w:tc>
        <w:tc>
          <w:tcPr>
            <w:tcW w:w="1064" w:type="pct"/>
            <w:vAlign w:val="center"/>
          </w:tcPr>
          <w:p w14:paraId="4F17A873">
            <w:pPr>
              <w:pStyle w:val="100"/>
              <w:adjustRightInd w:val="0"/>
              <w:snapToGrid w:val="0"/>
              <w:ind w:left="358" w:right="351"/>
              <w:rPr>
                <w:rFonts w:eastAsia="宋体"/>
                <w:sz w:val="21"/>
                <w:szCs w:val="21"/>
              </w:rPr>
            </w:pPr>
            <w:r>
              <w:rPr>
                <w:rFonts w:eastAsia="宋体"/>
                <w:sz w:val="21"/>
                <w:szCs w:val="21"/>
              </w:rPr>
              <w:t>3966281.76</w:t>
            </w:r>
          </w:p>
        </w:tc>
        <w:tc>
          <w:tcPr>
            <w:tcW w:w="1178" w:type="pct"/>
            <w:vAlign w:val="center"/>
          </w:tcPr>
          <w:p w14:paraId="59A6239C">
            <w:pPr>
              <w:pStyle w:val="100"/>
              <w:adjustRightInd w:val="0"/>
              <w:snapToGrid w:val="0"/>
              <w:ind w:left="398" w:right="391"/>
              <w:rPr>
                <w:rFonts w:eastAsia="宋体"/>
                <w:sz w:val="21"/>
                <w:szCs w:val="21"/>
              </w:rPr>
            </w:pPr>
            <w:r>
              <w:rPr>
                <w:rFonts w:eastAsia="宋体"/>
                <w:sz w:val="21"/>
                <w:szCs w:val="21"/>
              </w:rPr>
              <w:t>39453220.93</w:t>
            </w:r>
          </w:p>
        </w:tc>
        <w:tc>
          <w:tcPr>
            <w:tcW w:w="1065" w:type="pct"/>
            <w:vAlign w:val="center"/>
          </w:tcPr>
          <w:p w14:paraId="55B0FDB9">
            <w:pPr>
              <w:pStyle w:val="100"/>
              <w:adjustRightInd w:val="0"/>
              <w:snapToGrid w:val="0"/>
              <w:ind w:left="360" w:right="350"/>
              <w:rPr>
                <w:rFonts w:eastAsia="宋体"/>
                <w:sz w:val="21"/>
                <w:szCs w:val="21"/>
              </w:rPr>
            </w:pPr>
            <w:r>
              <w:rPr>
                <w:rFonts w:eastAsia="宋体"/>
                <w:sz w:val="21"/>
                <w:szCs w:val="21"/>
              </w:rPr>
              <w:t>3966279.56</w:t>
            </w:r>
          </w:p>
        </w:tc>
        <w:tc>
          <w:tcPr>
            <w:tcW w:w="1184" w:type="pct"/>
            <w:vAlign w:val="center"/>
          </w:tcPr>
          <w:p w14:paraId="02028B30">
            <w:pPr>
              <w:pStyle w:val="100"/>
              <w:adjustRightInd w:val="0"/>
              <w:snapToGrid w:val="0"/>
              <w:ind w:left="398" w:right="388"/>
              <w:rPr>
                <w:rFonts w:eastAsia="宋体"/>
                <w:sz w:val="21"/>
                <w:szCs w:val="21"/>
              </w:rPr>
            </w:pPr>
            <w:r>
              <w:rPr>
                <w:rFonts w:eastAsia="宋体"/>
                <w:sz w:val="21"/>
                <w:szCs w:val="21"/>
              </w:rPr>
              <w:t>39453338.23</w:t>
            </w:r>
          </w:p>
        </w:tc>
      </w:tr>
      <w:tr w14:paraId="67ACC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0BE05C37">
            <w:pPr>
              <w:pStyle w:val="100"/>
              <w:adjustRightInd w:val="0"/>
              <w:snapToGrid w:val="0"/>
              <w:ind w:left="264" w:right="262"/>
              <w:rPr>
                <w:rFonts w:eastAsia="宋体"/>
                <w:sz w:val="21"/>
                <w:szCs w:val="21"/>
              </w:rPr>
            </w:pPr>
            <w:r>
              <w:rPr>
                <w:rFonts w:eastAsia="宋体"/>
                <w:sz w:val="21"/>
                <w:szCs w:val="21"/>
              </w:rPr>
              <w:t>11</w:t>
            </w:r>
          </w:p>
        </w:tc>
        <w:tc>
          <w:tcPr>
            <w:tcW w:w="1064" w:type="pct"/>
            <w:vAlign w:val="center"/>
          </w:tcPr>
          <w:p w14:paraId="393E67CC">
            <w:pPr>
              <w:pStyle w:val="100"/>
              <w:adjustRightInd w:val="0"/>
              <w:snapToGrid w:val="0"/>
              <w:ind w:left="358" w:right="351"/>
              <w:rPr>
                <w:rFonts w:eastAsia="宋体"/>
                <w:sz w:val="21"/>
                <w:szCs w:val="21"/>
              </w:rPr>
            </w:pPr>
            <w:r>
              <w:rPr>
                <w:rFonts w:eastAsia="宋体"/>
                <w:sz w:val="21"/>
                <w:szCs w:val="21"/>
              </w:rPr>
              <w:t>3966297.71</w:t>
            </w:r>
          </w:p>
        </w:tc>
        <w:tc>
          <w:tcPr>
            <w:tcW w:w="1178" w:type="pct"/>
            <w:vAlign w:val="center"/>
          </w:tcPr>
          <w:p w14:paraId="2A20D155">
            <w:pPr>
              <w:pStyle w:val="100"/>
              <w:adjustRightInd w:val="0"/>
              <w:snapToGrid w:val="0"/>
              <w:ind w:left="398" w:right="391"/>
              <w:rPr>
                <w:rFonts w:eastAsia="宋体"/>
                <w:sz w:val="21"/>
                <w:szCs w:val="21"/>
              </w:rPr>
            </w:pPr>
            <w:r>
              <w:rPr>
                <w:rFonts w:eastAsia="宋体"/>
                <w:sz w:val="21"/>
                <w:szCs w:val="21"/>
              </w:rPr>
              <w:t>39450250.35</w:t>
            </w:r>
          </w:p>
        </w:tc>
        <w:tc>
          <w:tcPr>
            <w:tcW w:w="1065" w:type="pct"/>
            <w:vAlign w:val="center"/>
          </w:tcPr>
          <w:p w14:paraId="480B63A6">
            <w:pPr>
              <w:pStyle w:val="100"/>
              <w:adjustRightInd w:val="0"/>
              <w:snapToGrid w:val="0"/>
              <w:ind w:left="360" w:right="350"/>
              <w:rPr>
                <w:rFonts w:eastAsia="宋体"/>
                <w:sz w:val="21"/>
                <w:szCs w:val="21"/>
              </w:rPr>
            </w:pPr>
            <w:r>
              <w:rPr>
                <w:rFonts w:eastAsia="宋体"/>
                <w:sz w:val="21"/>
                <w:szCs w:val="21"/>
              </w:rPr>
              <w:t>3966295.5</w:t>
            </w:r>
          </w:p>
        </w:tc>
        <w:tc>
          <w:tcPr>
            <w:tcW w:w="1184" w:type="pct"/>
            <w:vAlign w:val="center"/>
          </w:tcPr>
          <w:p w14:paraId="77FAB2DD">
            <w:pPr>
              <w:pStyle w:val="100"/>
              <w:adjustRightInd w:val="0"/>
              <w:snapToGrid w:val="0"/>
              <w:ind w:left="398" w:right="388"/>
              <w:rPr>
                <w:rFonts w:eastAsia="宋体"/>
                <w:sz w:val="21"/>
                <w:szCs w:val="21"/>
              </w:rPr>
            </w:pPr>
            <w:r>
              <w:rPr>
                <w:rFonts w:eastAsia="宋体"/>
                <w:sz w:val="21"/>
                <w:szCs w:val="21"/>
              </w:rPr>
              <w:t>39450367.64</w:t>
            </w:r>
          </w:p>
        </w:tc>
      </w:tr>
      <w:tr w14:paraId="1479E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6A60777C">
            <w:pPr>
              <w:pStyle w:val="100"/>
              <w:adjustRightInd w:val="0"/>
              <w:snapToGrid w:val="0"/>
              <w:ind w:left="269" w:right="262"/>
              <w:rPr>
                <w:rFonts w:eastAsia="宋体"/>
                <w:sz w:val="21"/>
                <w:szCs w:val="21"/>
              </w:rPr>
            </w:pPr>
            <w:r>
              <w:rPr>
                <w:rFonts w:eastAsia="宋体"/>
                <w:sz w:val="21"/>
                <w:szCs w:val="21"/>
              </w:rPr>
              <w:t>12</w:t>
            </w:r>
          </w:p>
        </w:tc>
        <w:tc>
          <w:tcPr>
            <w:tcW w:w="1064" w:type="pct"/>
            <w:vAlign w:val="center"/>
          </w:tcPr>
          <w:p w14:paraId="11D4ADDC">
            <w:pPr>
              <w:pStyle w:val="100"/>
              <w:adjustRightInd w:val="0"/>
              <w:snapToGrid w:val="0"/>
              <w:ind w:left="358" w:right="351"/>
              <w:rPr>
                <w:rFonts w:eastAsia="宋体"/>
                <w:sz w:val="21"/>
                <w:szCs w:val="21"/>
              </w:rPr>
            </w:pPr>
            <w:r>
              <w:rPr>
                <w:rFonts w:eastAsia="宋体"/>
                <w:sz w:val="21"/>
                <w:szCs w:val="21"/>
              </w:rPr>
              <w:t>3967222.35</w:t>
            </w:r>
          </w:p>
        </w:tc>
        <w:tc>
          <w:tcPr>
            <w:tcW w:w="1178" w:type="pct"/>
            <w:vAlign w:val="center"/>
          </w:tcPr>
          <w:p w14:paraId="271E9449">
            <w:pPr>
              <w:pStyle w:val="100"/>
              <w:adjustRightInd w:val="0"/>
              <w:snapToGrid w:val="0"/>
              <w:ind w:left="398" w:right="391"/>
              <w:rPr>
                <w:rFonts w:eastAsia="宋体"/>
                <w:sz w:val="21"/>
                <w:szCs w:val="21"/>
              </w:rPr>
            </w:pPr>
            <w:r>
              <w:rPr>
                <w:rFonts w:eastAsia="宋体"/>
                <w:sz w:val="21"/>
                <w:szCs w:val="21"/>
              </w:rPr>
              <w:t>39450255.55</w:t>
            </w:r>
          </w:p>
        </w:tc>
        <w:tc>
          <w:tcPr>
            <w:tcW w:w="1065" w:type="pct"/>
            <w:vAlign w:val="center"/>
          </w:tcPr>
          <w:p w14:paraId="5B2B734F">
            <w:pPr>
              <w:pStyle w:val="100"/>
              <w:adjustRightInd w:val="0"/>
              <w:snapToGrid w:val="0"/>
              <w:ind w:left="360" w:right="350"/>
              <w:rPr>
                <w:rFonts w:eastAsia="宋体"/>
                <w:sz w:val="21"/>
                <w:szCs w:val="21"/>
              </w:rPr>
            </w:pPr>
            <w:r>
              <w:rPr>
                <w:rFonts w:eastAsia="宋体"/>
                <w:sz w:val="21"/>
                <w:szCs w:val="21"/>
              </w:rPr>
              <w:t>3967220.15</w:t>
            </w:r>
          </w:p>
        </w:tc>
        <w:tc>
          <w:tcPr>
            <w:tcW w:w="1184" w:type="pct"/>
            <w:vAlign w:val="center"/>
          </w:tcPr>
          <w:p w14:paraId="2CF37FC8">
            <w:pPr>
              <w:pStyle w:val="100"/>
              <w:adjustRightInd w:val="0"/>
              <w:snapToGrid w:val="0"/>
              <w:ind w:left="398" w:right="388"/>
              <w:rPr>
                <w:rFonts w:eastAsia="宋体"/>
                <w:sz w:val="21"/>
                <w:szCs w:val="21"/>
              </w:rPr>
            </w:pPr>
            <w:r>
              <w:rPr>
                <w:rFonts w:eastAsia="宋体"/>
                <w:sz w:val="21"/>
                <w:szCs w:val="21"/>
              </w:rPr>
              <w:t>39450372.84</w:t>
            </w:r>
          </w:p>
        </w:tc>
      </w:tr>
      <w:tr w14:paraId="4B88DF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7" w:type="pct"/>
            <w:vAlign w:val="center"/>
          </w:tcPr>
          <w:p w14:paraId="2475CA33">
            <w:pPr>
              <w:pStyle w:val="100"/>
              <w:adjustRightInd w:val="0"/>
              <w:snapToGrid w:val="0"/>
              <w:ind w:left="269" w:right="262"/>
              <w:rPr>
                <w:rFonts w:eastAsia="宋体"/>
                <w:sz w:val="21"/>
                <w:szCs w:val="21"/>
              </w:rPr>
            </w:pPr>
            <w:r>
              <w:rPr>
                <w:rFonts w:eastAsia="宋体"/>
                <w:sz w:val="21"/>
                <w:szCs w:val="21"/>
              </w:rPr>
              <w:t>13</w:t>
            </w:r>
          </w:p>
        </w:tc>
        <w:tc>
          <w:tcPr>
            <w:tcW w:w="1064" w:type="pct"/>
            <w:vAlign w:val="center"/>
          </w:tcPr>
          <w:p w14:paraId="55DAD799">
            <w:pPr>
              <w:pStyle w:val="100"/>
              <w:adjustRightInd w:val="0"/>
              <w:snapToGrid w:val="0"/>
              <w:ind w:left="358" w:right="351"/>
              <w:rPr>
                <w:rFonts w:eastAsia="宋体"/>
                <w:sz w:val="21"/>
                <w:szCs w:val="21"/>
              </w:rPr>
            </w:pPr>
            <w:r>
              <w:rPr>
                <w:rFonts w:eastAsia="宋体"/>
                <w:sz w:val="21"/>
                <w:szCs w:val="21"/>
              </w:rPr>
              <w:t>3967230.95</w:t>
            </w:r>
          </w:p>
        </w:tc>
        <w:tc>
          <w:tcPr>
            <w:tcW w:w="1178" w:type="pct"/>
            <w:vAlign w:val="center"/>
          </w:tcPr>
          <w:p w14:paraId="478DF6F4">
            <w:pPr>
              <w:pStyle w:val="100"/>
              <w:adjustRightInd w:val="0"/>
              <w:snapToGrid w:val="0"/>
              <w:ind w:left="398" w:right="391"/>
              <w:rPr>
                <w:rFonts w:eastAsia="宋体"/>
                <w:sz w:val="21"/>
                <w:szCs w:val="21"/>
              </w:rPr>
            </w:pPr>
            <w:r>
              <w:rPr>
                <w:rFonts w:eastAsia="宋体"/>
                <w:sz w:val="21"/>
                <w:szCs w:val="21"/>
              </w:rPr>
              <w:t>39448749.65</w:t>
            </w:r>
          </w:p>
        </w:tc>
        <w:tc>
          <w:tcPr>
            <w:tcW w:w="1065" w:type="pct"/>
            <w:vAlign w:val="center"/>
          </w:tcPr>
          <w:p w14:paraId="2C47B779">
            <w:pPr>
              <w:pStyle w:val="100"/>
              <w:adjustRightInd w:val="0"/>
              <w:snapToGrid w:val="0"/>
              <w:ind w:left="360" w:right="350"/>
              <w:rPr>
                <w:rFonts w:eastAsia="宋体"/>
                <w:sz w:val="21"/>
                <w:szCs w:val="21"/>
              </w:rPr>
            </w:pPr>
            <w:r>
              <w:rPr>
                <w:rFonts w:eastAsia="宋体"/>
                <w:sz w:val="21"/>
                <w:szCs w:val="21"/>
              </w:rPr>
              <w:t>3967228.74</w:t>
            </w:r>
          </w:p>
        </w:tc>
        <w:tc>
          <w:tcPr>
            <w:tcW w:w="1184" w:type="pct"/>
            <w:vAlign w:val="center"/>
          </w:tcPr>
          <w:p w14:paraId="565665B6">
            <w:pPr>
              <w:pStyle w:val="100"/>
              <w:adjustRightInd w:val="0"/>
              <w:snapToGrid w:val="0"/>
              <w:ind w:left="398" w:right="388"/>
              <w:rPr>
                <w:rFonts w:eastAsia="宋体"/>
                <w:sz w:val="21"/>
                <w:szCs w:val="21"/>
              </w:rPr>
            </w:pPr>
            <w:r>
              <w:rPr>
                <w:rFonts w:eastAsia="宋体"/>
                <w:sz w:val="21"/>
                <w:szCs w:val="21"/>
              </w:rPr>
              <w:t>39448866.94</w:t>
            </w:r>
          </w:p>
        </w:tc>
      </w:tr>
      <w:tr w14:paraId="1CD97F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5000" w:type="pct"/>
            <w:gridSpan w:val="5"/>
            <w:vAlign w:val="center"/>
          </w:tcPr>
          <w:p w14:paraId="5CEA1FF9">
            <w:pPr>
              <w:pStyle w:val="100"/>
              <w:adjustRightInd w:val="0"/>
              <w:snapToGrid w:val="0"/>
              <w:ind w:left="398" w:right="388"/>
              <w:rPr>
                <w:rFonts w:eastAsia="宋体"/>
                <w:sz w:val="21"/>
                <w:szCs w:val="21"/>
                <w:lang w:eastAsia="zh-CN"/>
              </w:rPr>
            </w:pPr>
            <w:r>
              <w:rPr>
                <w:rFonts w:eastAsia="宋体"/>
                <w:sz w:val="21"/>
                <w:szCs w:val="21"/>
                <w:lang w:eastAsia="zh-CN"/>
              </w:rPr>
              <w:t>矿区面积12.1613km</w:t>
            </w:r>
            <w:r>
              <w:rPr>
                <w:rFonts w:eastAsia="宋体"/>
                <w:sz w:val="21"/>
                <w:szCs w:val="21"/>
                <w:vertAlign w:val="superscript"/>
                <w:lang w:eastAsia="zh-CN"/>
              </w:rPr>
              <w:t>2</w:t>
            </w:r>
            <w:r>
              <w:rPr>
                <w:rFonts w:eastAsia="宋体"/>
                <w:sz w:val="21"/>
                <w:szCs w:val="21"/>
                <w:vertAlign w:val="subscript"/>
                <w:lang w:eastAsia="zh-CN"/>
              </w:rPr>
              <w:t>，</w:t>
            </w:r>
            <w:r>
              <w:rPr>
                <w:rFonts w:eastAsia="宋体"/>
                <w:sz w:val="21"/>
                <w:szCs w:val="21"/>
                <w:lang w:eastAsia="zh-CN"/>
              </w:rPr>
              <w:t>开采深度+50m至-1000m标高</w:t>
            </w:r>
          </w:p>
        </w:tc>
      </w:tr>
    </w:tbl>
    <w:p w14:paraId="09195F89">
      <w:pPr>
        <w:snapToGrid w:val="0"/>
        <w:spacing w:line="360" w:lineRule="auto"/>
        <w:ind w:firstLine="560"/>
        <w:rPr>
          <w:rFonts w:asciiTheme="minorHAnsi" w:hAnsiTheme="minorHAnsi" w:cstheme="minorHAnsi"/>
        </w:rPr>
      </w:pPr>
    </w:p>
    <w:p w14:paraId="2EA9B7C0">
      <w:pPr>
        <w:snapToGrid w:val="0"/>
        <w:spacing w:line="360" w:lineRule="auto"/>
        <w:ind w:firstLine="560"/>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025</w:t>
      </w:r>
      <w:r>
        <w:rPr>
          <w:rFonts w:hint="eastAsia" w:asciiTheme="minorHAnsi" w:hAnsiTheme="minorHAnsi" w:cstheme="minorHAnsi"/>
        </w:rPr>
        <w:t>年1月，山东彭集矿业有限公司委托中冶北方（大连）工程技术有限公司编制了《山东彭集矿业有限公司彭集铁矿采选工程可行性研究报告》，彭集铁矿采矿工程为新建项目，设计彭集铁矿开采彭集矿段和冯家庄矿段，分两期进行开采，一期开采彭集矿段-475m水平以上矿体，二期开采彭集矿段-475m水平以下矿体和冯家庄矿段矿体。一期设计采用竖井开拓方式，垂直走向布置的阶段凿岩阶段空场嗣后充填采矿法和沿走向布置的分段凿岩阶段空场嗣后充填采矿方法，主要开拓工程有1条主井、1条副井、1条进风井、2条回风井和2条采区斜坡道；一期总生产规模为800万t/a，总体共服务22年（不含基建期），产量800万t/a，稳产11年。二期采用胶带斜井开拓系统，沿走向布置的分段凿岩阶段空场嗣后充填法，冯家庄矿段利用一期竖井开拓系统，彭集矿段开拓系统共设有1条胶带斜井、1条副井（</w:t>
      </w:r>
      <w:r>
        <w:rPr>
          <w:rFonts w:asciiTheme="minorHAnsi" w:hAnsiTheme="minorHAnsi" w:cstheme="minorHAnsi"/>
        </w:rPr>
        <w:t>利旧</w:t>
      </w:r>
      <w:r>
        <w:rPr>
          <w:rFonts w:hint="eastAsia" w:asciiTheme="minorHAnsi" w:hAnsiTheme="minorHAnsi" w:cstheme="minorHAnsi"/>
        </w:rPr>
        <w:t>延伸）、1条倒段进风井、1条倒段回风井。二期总体规模可达450万t/a，总体共服务18年（不含基建期），产量450万t/a，稳产9年。</w:t>
      </w:r>
    </w:p>
    <w:p w14:paraId="1B6E834F">
      <w:pPr>
        <w:pStyle w:val="5"/>
        <w:spacing w:after="190"/>
        <w:rPr>
          <w:rFonts w:asciiTheme="minorHAnsi" w:hAnsiTheme="minorHAnsi" w:cstheme="minorHAnsi"/>
        </w:rPr>
      </w:pPr>
      <w:bookmarkStart w:id="57" w:name="_Hlk172538833"/>
      <w:r>
        <w:rPr>
          <w:rFonts w:asciiTheme="minorHAnsi" w:hAnsiTheme="minorHAnsi" w:cstheme="minorHAnsi"/>
        </w:rPr>
        <w:t>2.1.3矿区地理位置及交通</w:t>
      </w:r>
      <w:bookmarkEnd w:id="57"/>
    </w:p>
    <w:p w14:paraId="76543D3D">
      <w:pPr>
        <w:snapToGrid w:val="0"/>
        <w:spacing w:line="360" w:lineRule="auto"/>
        <w:ind w:firstLine="560"/>
        <w:rPr>
          <w:rFonts w:asciiTheme="minorHAnsi" w:hAnsiTheme="minorHAnsi" w:cstheme="minorHAnsi"/>
        </w:rPr>
      </w:pPr>
      <w:r>
        <w:rPr>
          <w:rFonts w:hint="eastAsia" w:asciiTheme="minorHAnsi" w:hAnsiTheme="minorHAnsi" w:cstheme="minorHAnsi"/>
        </w:rPr>
        <w:t>彭集铁矿位于泰安市东平县与济宁市汶上县交界处，北部（11～19线）隶属东平县彭集镇、沙河站镇，南部（5～9线）隶属汶上县郭仓乡。北距东平县城约8km，南距汶上县城约12km。董梁高速位于矿区西北侧，与矿界最近处约为90m；G105国道穿过矿区中部、彭集矿段东侧通过，乡镇公路形成网络，交通十分便利</w:t>
      </w:r>
      <w:r>
        <w:rPr>
          <w:rFonts w:asciiTheme="minorHAnsi" w:hAnsiTheme="minorHAnsi" w:cstheme="minorHAnsi"/>
        </w:rPr>
        <w:t>。详见矿区交通位置图2-1。</w:t>
      </w:r>
    </w:p>
    <w:p w14:paraId="18BE48DF">
      <w:pPr>
        <w:snapToGrid w:val="0"/>
        <w:spacing w:line="360" w:lineRule="auto"/>
        <w:ind w:firstLine="198" w:firstLineChars="71"/>
        <w:jc w:val="center"/>
        <w:rPr>
          <w:rFonts w:asciiTheme="minorHAnsi" w:hAnsiTheme="minorHAnsi" w:cstheme="minorHAnsi"/>
        </w:rPr>
      </w:pPr>
      <w:r>
        <mc:AlternateContent>
          <mc:Choice Requires="wps">
            <w:drawing>
              <wp:anchor distT="0" distB="0" distL="114300" distR="114300" simplePos="0" relativeHeight="251660288" behindDoc="0" locked="0" layoutInCell="1" allowOverlap="1">
                <wp:simplePos x="0" y="0"/>
                <wp:positionH relativeFrom="column">
                  <wp:posOffset>1508760</wp:posOffset>
                </wp:positionH>
                <wp:positionV relativeFrom="paragraph">
                  <wp:posOffset>2902585</wp:posOffset>
                </wp:positionV>
                <wp:extent cx="1021715" cy="312420"/>
                <wp:effectExtent l="6350" t="241935" r="210185" b="7620"/>
                <wp:wrapNone/>
                <wp:docPr id="7" name="对话气泡: 矩形 7"/>
                <wp:cNvGraphicFramePr/>
                <a:graphic xmlns:a="http://schemas.openxmlformats.org/drawingml/2006/main">
                  <a:graphicData uri="http://schemas.microsoft.com/office/word/2010/wordprocessingShape">
                    <wps:wsp>
                      <wps:cNvSpPr>
                        <a:spLocks noChangeArrowheads="1"/>
                      </wps:cNvSpPr>
                      <wps:spPr bwMode="auto">
                        <a:xfrm>
                          <a:off x="0" y="0"/>
                          <a:ext cx="1021715" cy="312420"/>
                        </a:xfrm>
                        <a:prstGeom prst="wedgeRectCallout">
                          <a:avLst>
                            <a:gd name="adj1" fmla="val 65477"/>
                            <a:gd name="adj2" fmla="val -117069"/>
                          </a:avLst>
                        </a:prstGeom>
                        <a:solidFill>
                          <a:srgbClr val="FFFFFF">
                            <a:alpha val="46999"/>
                          </a:srgbClr>
                        </a:solidFill>
                        <a:ln w="9525" cmpd="sng">
                          <a:solidFill>
                            <a:srgbClr val="000000"/>
                          </a:solidFill>
                          <a:miter lim="800000"/>
                        </a:ln>
                        <a:effectLst/>
                      </wps:spPr>
                      <wps:txbx>
                        <w:txbxContent>
                          <w:p w14:paraId="01DE95E9">
                            <w:pPr>
                              <w:spacing w:line="240" w:lineRule="auto"/>
                              <w:ind w:firstLine="0" w:firstLineChars="0"/>
                              <w:rPr>
                                <w:b/>
                                <w:bCs/>
                                <w:color w:val="FF0000"/>
                                <w:sz w:val="21"/>
                                <w:szCs w:val="21"/>
                              </w:rPr>
                            </w:pPr>
                            <w:r>
                              <w:rPr>
                                <w:rFonts w:hint="eastAsia"/>
                                <w:b/>
                                <w:bCs/>
                                <w:color w:val="FF0000"/>
                                <w:sz w:val="21"/>
                                <w:szCs w:val="21"/>
                              </w:rPr>
                              <w:t>项目所在位置</w:t>
                            </w:r>
                          </w:p>
                        </w:txbxContent>
                      </wps:txbx>
                      <wps:bodyPr rot="0" vert="horz" wrap="square" lIns="91440" tIns="45720" rIns="91440" bIns="45720" anchor="t" anchorCtr="0" upright="1">
                        <a:noAutofit/>
                      </wps:bodyPr>
                    </wps:wsp>
                  </a:graphicData>
                </a:graphic>
              </wp:anchor>
            </w:drawing>
          </mc:Choice>
          <mc:Fallback>
            <w:pict>
              <v:shape id="对话气泡: 矩形 7" o:spid="_x0000_s1026" o:spt="61" type="#_x0000_t61" style="position:absolute;left:0pt;margin-left:118.8pt;margin-top:228.55pt;height:24.6pt;width:80.45pt;z-index:251660288;mso-width-relative:page;mso-height-relative:page;" fillcolor="#FFFFFF" filled="t" stroked="t" coordsize="21600,21600" o:gfxdata="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HXCLwDeAAAACwEAAA8AAAAAAAAAAQAgAAAAIgAAAGRycy9kb3ducmV2LnhtbFBL&#10;AQIUABQAAAAIAIdO4kCBTxKnmwIAACEFAAAOAAAAAAAAAAEAIAAAAC0BAABkcnMvZTJvRG9jLnht&#10;bFBLBQYAAAAABgAGAFkBAAA6BgAAAAA=&#10;" adj="24943,-14487">
                <v:fill on="t" opacity="30801f" focussize="0,0"/>
                <v:stroke color="#000000" miterlimit="8" joinstyle="miter"/>
                <v:imagedata o:title=""/>
                <o:lock v:ext="edit" aspectratio="f"/>
                <v:textbox>
                  <w:txbxContent>
                    <w:p w14:paraId="01DE95E9">
                      <w:pPr>
                        <w:spacing w:line="240" w:lineRule="auto"/>
                        <w:ind w:firstLine="0" w:firstLineChars="0"/>
                        <w:rPr>
                          <w:b/>
                          <w:bCs/>
                          <w:color w:val="FF0000"/>
                          <w:sz w:val="21"/>
                          <w:szCs w:val="21"/>
                        </w:rPr>
                      </w:pPr>
                      <w:r>
                        <w:rPr>
                          <w:rFonts w:hint="eastAsia"/>
                          <w:b/>
                          <w:bCs/>
                          <w:color w:val="FF0000"/>
                          <w:sz w:val="21"/>
                          <w:szCs w:val="21"/>
                        </w:rPr>
                        <w:t>项目所在位置</w:t>
                      </w:r>
                    </w:p>
                  </w:txbxContent>
                </v:textbox>
              </v:shape>
            </w:pict>
          </mc:Fallback>
        </mc:AlternateContent>
      </w:r>
      <w:r>
        <w:object>
          <v:shape id="_x0000_i1025" o:spt="75" type="#_x0000_t75" style="height:359.4pt;width:378.6pt;" o:ole="t" filled="f" o:preferrelative="t" stroked="f" coordsize="21600,21600">
            <v:path/>
            <v:fill on="f" focussize="0,0"/>
            <v:stroke on="f" joinstyle="miter"/>
            <v:imagedata r:id="rId20" cropleft="16260f" croptop="9956f" cropright="15553f" cropbottom="11617f" o:title=""/>
            <o:lock v:ext="edit" aspectratio="t"/>
            <w10:wrap type="none"/>
            <w10:anchorlock/>
          </v:shape>
          <o:OLEObject Type="Embed" ProgID="AutoCAD.Drawing.17" ShapeID="_x0000_i1025" DrawAspect="Content" ObjectID="_1468075725" r:id="rId19">
            <o:LockedField>false</o:LockedField>
          </o:OLEObject>
        </w:object>
      </w:r>
    </w:p>
    <w:p w14:paraId="56FE424A">
      <w:pPr>
        <w:snapToGrid w:val="0"/>
        <w:spacing w:line="360" w:lineRule="auto"/>
        <w:ind w:firstLine="198" w:firstLineChars="71"/>
        <w:jc w:val="center"/>
        <w:rPr>
          <w:rFonts w:asciiTheme="minorHAnsi" w:hAnsiTheme="minorHAnsi" w:cstheme="minorHAnsi"/>
        </w:rPr>
      </w:pPr>
      <w:r>
        <w:rPr>
          <w:rFonts w:asciiTheme="minorHAnsi" w:hAnsiTheme="minorHAnsi" w:cstheme="minorHAnsi"/>
        </w:rPr>
        <w:t>图2.1-1   矿区位置及交通情况图</w:t>
      </w:r>
    </w:p>
    <w:p w14:paraId="73420252">
      <w:pPr>
        <w:pStyle w:val="5"/>
        <w:spacing w:after="190"/>
        <w:rPr>
          <w:rFonts w:asciiTheme="minorHAnsi" w:hAnsiTheme="minorHAnsi" w:cstheme="minorHAnsi"/>
        </w:rPr>
      </w:pPr>
      <w:r>
        <w:rPr>
          <w:rFonts w:asciiTheme="minorHAnsi" w:hAnsiTheme="minorHAnsi" w:cstheme="minorHAnsi"/>
        </w:rPr>
        <w:t>2.1.4周边环境</w:t>
      </w:r>
    </w:p>
    <w:p w14:paraId="5F82332D">
      <w:pPr>
        <w:pStyle w:val="19"/>
        <w:snapToGrid w:val="0"/>
        <w:spacing w:line="360" w:lineRule="auto"/>
        <w:ind w:firstLine="560"/>
        <w:rPr>
          <w:rFonts w:asciiTheme="minorHAnsi" w:hAnsiTheme="minorHAnsi" w:cstheme="minorHAnsi"/>
        </w:rPr>
      </w:pPr>
      <w:r>
        <w:rPr>
          <w:rFonts w:hint="eastAsia" w:asciiTheme="minorHAnsi" w:hAnsiTheme="minorHAnsi" w:cstheme="minorHAnsi"/>
        </w:rPr>
        <w:t>矿区地表地形东北高、西南低，属于大清河以南为冲、洪积平原，海拔+41m～+55m。矿区地表北部有东西方向的董梁高速公路通过，中部有南北方向的G105国道贯穿、东西方向的高压线架设横穿，南部有东西方向的小汶河穿过。矿区主工业场地东北角是高速入口匝道。矿区范围内，13勘探线至17勘探线之间有李纸坊村、东李庄村、西郭庄村、庞庄村、袁楼村等村庄，龙宫河平常没有上游来水，仅作为附近村庄的排雨渠道用；11勘探线至13勘探线之间，有高压线东西穿过；9勘探线至11勘探线之间，有小汶河东西蜿蜒流过；除上述外，其余地表均为农田。</w:t>
      </w:r>
    </w:p>
    <w:p w14:paraId="1AC95080">
      <w:pPr>
        <w:snapToGrid w:val="0"/>
        <w:spacing w:line="360" w:lineRule="auto"/>
        <w:ind w:firstLine="560"/>
        <w:rPr>
          <w:rFonts w:asciiTheme="minorHAnsi" w:hAnsiTheme="minorHAnsi" w:cstheme="minorHAnsi"/>
        </w:rPr>
      </w:pPr>
      <w:r>
        <w:rPr>
          <w:rFonts w:hint="eastAsia" w:asciiTheme="minorHAnsi" w:hAnsiTheme="minorHAnsi" w:cstheme="minorHAnsi"/>
        </w:rPr>
        <w:t xml:space="preserve">矿区周边环境见图 </w:t>
      </w:r>
      <w:r>
        <w:rPr>
          <w:rFonts w:asciiTheme="minorHAnsi" w:hAnsiTheme="minorHAnsi" w:cstheme="minorHAnsi"/>
        </w:rPr>
        <w:t>2.</w:t>
      </w:r>
      <w:r>
        <w:rPr>
          <w:rFonts w:hint="eastAsia" w:asciiTheme="minorHAnsi" w:hAnsiTheme="minorHAnsi" w:cstheme="minorHAnsi"/>
        </w:rPr>
        <w:t>1-2。</w:t>
      </w:r>
    </w:p>
    <w:p w14:paraId="533F8C56">
      <w:pPr>
        <w:snapToGrid w:val="0"/>
        <w:spacing w:line="360" w:lineRule="auto"/>
        <w:ind w:firstLine="0" w:firstLineChars="0"/>
        <w:jc w:val="center"/>
        <w:rPr>
          <w:rFonts w:asciiTheme="minorHAnsi" w:hAnsiTheme="minorHAnsi" w:cstheme="minorHAnsi"/>
        </w:rPr>
      </w:pPr>
      <w:r>
        <w:drawing>
          <wp:inline distT="0" distB="0" distL="0" distR="0">
            <wp:extent cx="5684520" cy="3726180"/>
            <wp:effectExtent l="0" t="0" r="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684520" cy="3726180"/>
                    </a:xfrm>
                    <a:prstGeom prst="rect">
                      <a:avLst/>
                    </a:prstGeom>
                    <a:noFill/>
                    <a:ln>
                      <a:noFill/>
                    </a:ln>
                  </pic:spPr>
                </pic:pic>
              </a:graphicData>
            </a:graphic>
          </wp:inline>
        </w:drawing>
      </w:r>
    </w:p>
    <w:p w14:paraId="54E30FAF">
      <w:pPr>
        <w:snapToGrid w:val="0"/>
        <w:spacing w:line="360" w:lineRule="auto"/>
        <w:ind w:firstLine="0" w:firstLineChars="0"/>
        <w:jc w:val="center"/>
        <w:rPr>
          <w:rFonts w:asciiTheme="minorHAnsi" w:hAnsiTheme="minorHAnsi" w:cstheme="minorHAnsi"/>
        </w:rPr>
      </w:pPr>
      <w:r>
        <w:rPr>
          <w:rFonts w:asciiTheme="minorHAnsi" w:hAnsiTheme="minorHAnsi" w:cstheme="minorHAnsi"/>
        </w:rPr>
        <w:t xml:space="preserve">图2.1-2   </w:t>
      </w:r>
      <w:r>
        <w:rPr>
          <w:rFonts w:hint="eastAsia" w:asciiTheme="minorHAnsi" w:hAnsiTheme="minorHAnsi" w:cstheme="minorHAnsi"/>
        </w:rPr>
        <w:t>矿区周边环境</w:t>
      </w:r>
    </w:p>
    <w:p w14:paraId="25DD969A">
      <w:pPr>
        <w:pStyle w:val="4"/>
        <w:spacing w:before="190" w:after="190" w:line="360" w:lineRule="exact"/>
        <w:rPr>
          <w:rFonts w:asciiTheme="minorHAnsi" w:hAnsiTheme="minorHAnsi" w:cstheme="minorHAnsi"/>
        </w:rPr>
      </w:pPr>
      <w:bookmarkStart w:id="58" w:name="_Toc199426933"/>
      <w:r>
        <w:rPr>
          <w:rFonts w:asciiTheme="minorHAnsi" w:hAnsiTheme="minorHAnsi" w:cstheme="minorHAnsi"/>
        </w:rPr>
        <w:t>2.2自然环境概况</w:t>
      </w:r>
      <w:bookmarkEnd w:id="58"/>
    </w:p>
    <w:p w14:paraId="40E7463F">
      <w:pPr>
        <w:pStyle w:val="5"/>
        <w:spacing w:after="190"/>
        <w:rPr>
          <w:rFonts w:asciiTheme="minorHAnsi" w:hAnsiTheme="minorHAnsi" w:cstheme="minorHAnsi"/>
        </w:rPr>
      </w:pPr>
      <w:r>
        <w:rPr>
          <w:rFonts w:asciiTheme="minorHAnsi" w:hAnsiTheme="minorHAnsi" w:cstheme="minorHAnsi"/>
        </w:rPr>
        <w:t>2.2.1地形地貌</w:t>
      </w:r>
    </w:p>
    <w:p w14:paraId="037EB07D">
      <w:pPr>
        <w:snapToGrid w:val="0"/>
        <w:spacing w:line="360" w:lineRule="auto"/>
        <w:ind w:firstLine="560"/>
        <w:rPr>
          <w:rFonts w:asciiTheme="minorHAnsi" w:hAnsiTheme="minorHAnsi" w:cstheme="minorHAnsi"/>
        </w:rPr>
      </w:pPr>
      <w:bookmarkStart w:id="59" w:name="_Hlk101874366"/>
      <w:r>
        <w:rPr>
          <w:rFonts w:hint="eastAsia" w:asciiTheme="minorHAnsi" w:hAnsiTheme="minorHAnsi" w:cstheme="minorHAnsi"/>
          <w:bCs/>
          <w:szCs w:val="24"/>
        </w:rPr>
        <w:t>矿区地表地形东北高、西南低，属于大清河以南为冲、洪积平原地区，海拔标高在+45～+55m之间。</w:t>
      </w:r>
    </w:p>
    <w:bookmarkEnd w:id="59"/>
    <w:p w14:paraId="2E455778">
      <w:pPr>
        <w:pStyle w:val="5"/>
        <w:spacing w:after="190"/>
        <w:rPr>
          <w:rFonts w:asciiTheme="minorHAnsi" w:hAnsiTheme="minorHAnsi" w:cstheme="minorHAnsi"/>
        </w:rPr>
      </w:pPr>
      <w:r>
        <w:rPr>
          <w:rFonts w:asciiTheme="minorHAnsi" w:hAnsiTheme="minorHAnsi" w:cstheme="minorHAnsi"/>
        </w:rPr>
        <w:t>2.2.2气候</w:t>
      </w:r>
    </w:p>
    <w:p w14:paraId="2710476C">
      <w:pPr>
        <w:snapToGrid w:val="0"/>
        <w:spacing w:line="360" w:lineRule="auto"/>
        <w:ind w:firstLine="560"/>
        <w:rPr>
          <w:rFonts w:asciiTheme="minorHAnsi" w:hAnsiTheme="minorHAnsi" w:cstheme="minorHAnsi"/>
        </w:rPr>
      </w:pPr>
      <w:r>
        <w:rPr>
          <w:rFonts w:hint="eastAsia" w:asciiTheme="minorHAnsi" w:hAnsiTheme="minorHAnsi" w:cstheme="minorHAnsi"/>
        </w:rPr>
        <w:t>矿区属暖温带大陆性半湿润季风气候，四季分明。自1997年至2009年，年平均气温14.6°C。多年平均降水量610.4mm，多年平均蒸发量1650.5mm。年最大相对温度68%，最大冻土深度0.34m。</w:t>
      </w:r>
    </w:p>
    <w:p w14:paraId="767BB0ED">
      <w:pPr>
        <w:pStyle w:val="5"/>
        <w:spacing w:after="190"/>
        <w:rPr>
          <w:rFonts w:asciiTheme="minorHAnsi" w:hAnsiTheme="minorHAnsi" w:cstheme="minorHAnsi"/>
        </w:rPr>
      </w:pPr>
      <w:r>
        <w:rPr>
          <w:rFonts w:asciiTheme="minorHAnsi" w:hAnsiTheme="minorHAnsi" w:cstheme="minorHAnsi"/>
        </w:rPr>
        <w:t>2.2.3地震</w:t>
      </w:r>
    </w:p>
    <w:p w14:paraId="023F69F7">
      <w:pPr>
        <w:snapToGrid w:val="0"/>
        <w:spacing w:line="360" w:lineRule="auto"/>
        <w:ind w:firstLine="560"/>
        <w:rPr>
          <w:rFonts w:asciiTheme="minorHAnsi" w:hAnsiTheme="minorHAnsi" w:cstheme="minorHAnsi"/>
        </w:rPr>
      </w:pPr>
      <w:r>
        <w:rPr>
          <w:rFonts w:asciiTheme="minorHAnsi" w:hAnsiTheme="minorHAnsi" w:cstheme="minorHAnsi"/>
        </w:rPr>
        <w:t>据《中国地震动参数区划图》（GB18306-2015）分区，该区</w:t>
      </w:r>
      <w:r>
        <w:rPr>
          <w:rFonts w:hint="eastAsia" w:asciiTheme="minorHAnsi" w:hAnsiTheme="minorHAnsi" w:cstheme="minorHAnsi"/>
        </w:rPr>
        <w:t>抗震设防烈度为6度，地震动峰值加速度为0.05g。</w:t>
      </w:r>
    </w:p>
    <w:p w14:paraId="55D0D191">
      <w:pPr>
        <w:pStyle w:val="4"/>
        <w:spacing w:before="190" w:after="190" w:line="360" w:lineRule="exact"/>
        <w:rPr>
          <w:rFonts w:asciiTheme="minorHAnsi" w:hAnsiTheme="minorHAnsi" w:cstheme="minorHAnsi"/>
        </w:rPr>
      </w:pPr>
      <w:bookmarkStart w:id="60" w:name="_Toc199426934"/>
      <w:r>
        <w:rPr>
          <w:rFonts w:asciiTheme="minorHAnsi" w:hAnsiTheme="minorHAnsi" w:cstheme="minorHAnsi"/>
        </w:rPr>
        <w:t>2.3建设项目地质概况</w:t>
      </w:r>
      <w:bookmarkEnd w:id="60"/>
    </w:p>
    <w:p w14:paraId="4704814B">
      <w:pPr>
        <w:pStyle w:val="5"/>
        <w:spacing w:after="190"/>
        <w:rPr>
          <w:rFonts w:asciiTheme="minorHAnsi" w:hAnsiTheme="minorHAnsi" w:cstheme="minorHAnsi"/>
        </w:rPr>
      </w:pPr>
      <w:r>
        <w:rPr>
          <w:rFonts w:asciiTheme="minorHAnsi" w:hAnsiTheme="minorHAnsi" w:cstheme="minorHAnsi"/>
        </w:rPr>
        <w:t>2.3.1矿区地质概况</w:t>
      </w:r>
    </w:p>
    <w:p w14:paraId="63796B5F">
      <w:pPr>
        <w:snapToGrid w:val="0"/>
        <w:spacing w:line="360" w:lineRule="auto"/>
        <w:ind w:firstLine="560"/>
        <w:rPr>
          <w:rFonts w:asciiTheme="minorHAnsi" w:hAnsiTheme="minorHAnsi" w:cstheme="minorHAnsi"/>
        </w:rPr>
      </w:pPr>
      <w:r>
        <w:rPr>
          <w:rFonts w:hint="eastAsia" w:asciiTheme="minorHAnsi" w:hAnsiTheme="minorHAnsi" w:cstheme="minorHAnsi"/>
        </w:rPr>
        <w:t>彭集铁矿区位于华北板块之鲁西断隆的西缘，地处华北坳陷过渡地区，汶（上）、泗（水）断裂从矿区南侧通过。地表第四系大面积覆盖，地层分布主要为新太古代泰山岩群山草峪组和雁翎关组变质岩系。区内岩浆活动较频繁，从晚太古代-中生代均有岩浆侵入活动，断裂及褶皱构造较发育。</w:t>
      </w:r>
    </w:p>
    <w:p w14:paraId="7EAADE10">
      <w:pPr>
        <w:pStyle w:val="385"/>
        <w:numPr>
          <w:ilvl w:val="0"/>
          <w:numId w:val="0"/>
        </w:numPr>
        <w:adjustRightInd w:val="0"/>
        <w:snapToGrid w:val="0"/>
        <w:spacing w:before="0" w:after="0" w:line="360" w:lineRule="auto"/>
        <w:ind w:firstLine="562" w:firstLineChars="200"/>
        <w:outlineLvl w:val="9"/>
        <w:rPr>
          <w:szCs w:val="28"/>
        </w:rPr>
      </w:pPr>
      <w:bookmarkStart w:id="61" w:name="_Toc315706474"/>
      <w:r>
        <w:rPr>
          <w:rFonts w:hint="eastAsia"/>
          <w:szCs w:val="28"/>
        </w:rPr>
        <w:t>（1）</w:t>
      </w:r>
      <w:r>
        <w:rPr>
          <w:szCs w:val="28"/>
        </w:rPr>
        <w:t>矿区地层</w:t>
      </w:r>
      <w:bookmarkEnd w:id="61"/>
    </w:p>
    <w:p w14:paraId="7C15F529">
      <w:pPr>
        <w:widowControl/>
        <w:adjustRightInd w:val="0"/>
        <w:snapToGrid w:val="0"/>
        <w:spacing w:line="360" w:lineRule="auto"/>
        <w:ind w:firstLine="560"/>
        <w:rPr>
          <w:rFonts w:cs="Times New Roman"/>
          <w:szCs w:val="28"/>
        </w:rPr>
      </w:pPr>
      <w:bookmarkStart w:id="62" w:name="_Toc315706475"/>
      <w:r>
        <w:rPr>
          <w:rFonts w:cs="Times New Roman"/>
          <w:szCs w:val="28"/>
        </w:rPr>
        <w:t>区内地层由老至新依次为新太古代泰山岩群雁翎关组、新太古代泰山岩群山草峪组、古生代寒武纪长清群朱砂硐组、新生代第四系，为海陆交互相地层，现分述如下：</w:t>
      </w:r>
    </w:p>
    <w:p w14:paraId="716B0EB7">
      <w:pPr>
        <w:widowControl/>
        <w:adjustRightInd w:val="0"/>
        <w:snapToGrid w:val="0"/>
        <w:spacing w:line="360" w:lineRule="auto"/>
        <w:ind w:firstLine="560"/>
        <w:rPr>
          <w:rFonts w:cs="Times New Roman"/>
          <w:szCs w:val="28"/>
        </w:rPr>
      </w:pPr>
      <w:r>
        <w:rPr>
          <w:rFonts w:cs="Times New Roman"/>
          <w:szCs w:val="28"/>
        </w:rPr>
        <w:t>1）新太古代泰山岩群（Ar</w:t>
      </w:r>
      <w:r>
        <w:rPr>
          <w:rFonts w:cs="Times New Roman"/>
          <w:szCs w:val="28"/>
          <w:vertAlign w:val="subscript"/>
        </w:rPr>
        <w:t>3</w:t>
      </w:r>
      <w:r>
        <w:rPr>
          <w:rFonts w:cs="Times New Roman"/>
          <w:i/>
          <w:szCs w:val="28"/>
        </w:rPr>
        <w:t>t）</w:t>
      </w:r>
    </w:p>
    <w:p w14:paraId="3320872E">
      <w:pPr>
        <w:widowControl/>
        <w:adjustRightInd w:val="0"/>
        <w:snapToGrid w:val="0"/>
        <w:spacing w:line="360" w:lineRule="auto"/>
        <w:ind w:firstLine="560"/>
        <w:rPr>
          <w:rFonts w:cs="Times New Roman"/>
          <w:szCs w:val="28"/>
        </w:rPr>
      </w:pPr>
      <w:r>
        <w:rPr>
          <w:rFonts w:cs="Times New Roman"/>
          <w:szCs w:val="28"/>
        </w:rPr>
        <w:t>雁翎关组（Ar</w:t>
      </w:r>
      <w:r>
        <w:rPr>
          <w:rFonts w:cs="Times New Roman"/>
          <w:szCs w:val="28"/>
          <w:vertAlign w:val="subscript"/>
        </w:rPr>
        <w:t>3</w:t>
      </w:r>
      <w:r>
        <w:rPr>
          <w:rFonts w:cs="Times New Roman"/>
          <w:i/>
          <w:szCs w:val="28"/>
        </w:rPr>
        <w:t>y</w:t>
      </w:r>
      <w:r>
        <w:rPr>
          <w:rFonts w:cs="Times New Roman"/>
          <w:szCs w:val="28"/>
        </w:rPr>
        <w:t>）：主要岩性为斜长角闪岩、角闪岩夹角闪黑云变粒岩，分布在袁楼以东，冯家庄以西地段。</w:t>
      </w:r>
    </w:p>
    <w:p w14:paraId="01EEBD91">
      <w:pPr>
        <w:widowControl/>
        <w:adjustRightInd w:val="0"/>
        <w:snapToGrid w:val="0"/>
        <w:spacing w:line="360" w:lineRule="auto"/>
        <w:ind w:firstLine="560"/>
        <w:rPr>
          <w:rFonts w:cs="Times New Roman"/>
          <w:szCs w:val="28"/>
        </w:rPr>
      </w:pPr>
      <w:r>
        <w:rPr>
          <w:rFonts w:cs="Times New Roman"/>
          <w:szCs w:val="28"/>
        </w:rPr>
        <w:t>山草峪组（Ar</w:t>
      </w:r>
      <w:r>
        <w:rPr>
          <w:rFonts w:cs="Times New Roman"/>
          <w:szCs w:val="28"/>
          <w:vertAlign w:val="subscript"/>
        </w:rPr>
        <w:t>3</w:t>
      </w:r>
      <w:r>
        <w:rPr>
          <w:rFonts w:cs="Times New Roman"/>
          <w:i/>
          <w:szCs w:val="28"/>
        </w:rPr>
        <w:t>s</w:t>
      </w:r>
      <w:r>
        <w:rPr>
          <w:rFonts w:cs="Times New Roman"/>
          <w:szCs w:val="28"/>
        </w:rPr>
        <w:t>）：岩性以变粒岩为主，次为黑云斜长片麻岩、片岩类及斜长角闪岩夹条带状、条纹状磁铁石英岩。岩石普遍遭受区域变质作用和不同程度的混合岩化作用。片理、片麻理发育，其走向北西，倾向南西，倾角50°～78°，为矿区铁矿的主要赋存层位。</w:t>
      </w:r>
    </w:p>
    <w:p w14:paraId="3EEB0C96">
      <w:pPr>
        <w:widowControl/>
        <w:adjustRightInd w:val="0"/>
        <w:snapToGrid w:val="0"/>
        <w:spacing w:line="360" w:lineRule="auto"/>
        <w:ind w:firstLine="560"/>
        <w:rPr>
          <w:rFonts w:cs="Times New Roman"/>
          <w:szCs w:val="28"/>
        </w:rPr>
      </w:pPr>
      <w:r>
        <w:rPr>
          <w:rFonts w:cs="Times New Roman"/>
          <w:szCs w:val="28"/>
        </w:rPr>
        <w:t>2）古生代寒武纪（</w:t>
      </w:r>
      <w:r>
        <w:rPr>
          <w:rFonts w:hint="eastAsia" w:ascii="宋体" w:hAnsi="宋体" w:cs="宋体"/>
          <w:b/>
          <w:szCs w:val="28"/>
        </w:rPr>
        <w:t>∈</w:t>
      </w:r>
      <w:r>
        <w:rPr>
          <w:rFonts w:cs="Times New Roman"/>
          <w:szCs w:val="28"/>
        </w:rPr>
        <w:t>）</w:t>
      </w:r>
    </w:p>
    <w:p w14:paraId="5A4EB713">
      <w:pPr>
        <w:widowControl/>
        <w:adjustRightInd w:val="0"/>
        <w:snapToGrid w:val="0"/>
        <w:spacing w:line="360" w:lineRule="auto"/>
        <w:ind w:firstLine="560"/>
        <w:rPr>
          <w:rFonts w:cs="Times New Roman"/>
          <w:szCs w:val="28"/>
        </w:rPr>
      </w:pPr>
      <w:r>
        <w:rPr>
          <w:rFonts w:cs="Times New Roman"/>
          <w:szCs w:val="28"/>
        </w:rPr>
        <w:t>区内寒武纪地层为长清群朱砂硐组丁家庄段（</w:t>
      </w:r>
      <w:r>
        <w:rPr>
          <w:rFonts w:hint="eastAsia" w:ascii="宋体" w:hAnsi="宋体" w:cs="宋体"/>
          <w:szCs w:val="28"/>
        </w:rPr>
        <w:t>∈</w:t>
      </w:r>
      <w:r>
        <w:rPr>
          <w:rFonts w:cs="Times New Roman"/>
          <w:szCs w:val="28"/>
          <w:vertAlign w:val="subscript"/>
        </w:rPr>
        <w:t>2</w:t>
      </w:r>
      <w:r>
        <w:rPr>
          <w:rFonts w:cs="Times New Roman"/>
          <w:szCs w:val="28"/>
          <w:vertAlign w:val="superscript"/>
        </w:rPr>
        <w:t>d</w:t>
      </w:r>
      <w:r>
        <w:rPr>
          <w:rFonts w:cs="Times New Roman"/>
          <w:szCs w:val="28"/>
        </w:rPr>
        <w:t>），分布于F2断裂以北，与下伏泰山岩群山草峪组地层呈角度不整合接触，不整合面发育层厚为0.3m的石英砾石底砾岩。</w:t>
      </w:r>
    </w:p>
    <w:p w14:paraId="18D249EB">
      <w:pPr>
        <w:widowControl/>
        <w:adjustRightInd w:val="0"/>
        <w:snapToGrid w:val="0"/>
        <w:spacing w:line="360" w:lineRule="auto"/>
        <w:ind w:firstLine="560"/>
        <w:rPr>
          <w:rFonts w:cs="Times New Roman"/>
          <w:szCs w:val="28"/>
        </w:rPr>
      </w:pPr>
      <w:r>
        <w:rPr>
          <w:rFonts w:cs="Times New Roman"/>
          <w:szCs w:val="28"/>
        </w:rPr>
        <w:t>岩性为厚层微晶灰岩、泥云质灰岩和薄层紫色页岩。岩石上部泥云质灰岩中蜂窝状溶洞发育，岩石呈隐晶质结构，块状、层状构造，由方解石、白云石、石英、氧化铁组成；紫色页岩呈薄层状构造，基质较软。</w:t>
      </w:r>
    </w:p>
    <w:p w14:paraId="566A7311">
      <w:pPr>
        <w:widowControl/>
        <w:adjustRightInd w:val="0"/>
        <w:snapToGrid w:val="0"/>
        <w:spacing w:line="360" w:lineRule="auto"/>
        <w:ind w:firstLine="560"/>
        <w:rPr>
          <w:rFonts w:cs="Times New Roman"/>
          <w:szCs w:val="28"/>
        </w:rPr>
      </w:pPr>
      <w:r>
        <w:rPr>
          <w:rFonts w:cs="Times New Roman"/>
          <w:szCs w:val="28"/>
        </w:rPr>
        <w:t>3）新生代第四系地层</w:t>
      </w:r>
    </w:p>
    <w:p w14:paraId="4CCD43F1">
      <w:pPr>
        <w:widowControl/>
        <w:adjustRightInd w:val="0"/>
        <w:snapToGrid w:val="0"/>
        <w:spacing w:line="360" w:lineRule="auto"/>
        <w:ind w:firstLine="560"/>
        <w:rPr>
          <w:rFonts w:cs="Times New Roman"/>
          <w:szCs w:val="28"/>
        </w:rPr>
      </w:pPr>
      <w:r>
        <w:rPr>
          <w:rFonts w:cs="Times New Roman"/>
          <w:szCs w:val="28"/>
        </w:rPr>
        <w:t>为全新世早期第四纪临沂组（Q</w:t>
      </w:r>
      <w:r>
        <w:rPr>
          <w:rFonts w:cs="Times New Roman"/>
          <w:i/>
          <w:szCs w:val="28"/>
        </w:rPr>
        <w:t>l</w:t>
      </w:r>
      <w:r>
        <w:rPr>
          <w:rFonts w:cs="Times New Roman"/>
          <w:szCs w:val="28"/>
        </w:rPr>
        <w:t>），覆盖全区，厚度30～110m，向南有增厚趋势。上部为褐黄色亚砂土、粉土，中部为灰黄色砂砾与粘土呈互层，下部为含砾石的钙质粘土层。</w:t>
      </w:r>
    </w:p>
    <w:p w14:paraId="79B45C8C">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（2）</w:t>
      </w:r>
      <w:r>
        <w:rPr>
          <w:szCs w:val="28"/>
        </w:rPr>
        <w:t>构造</w:t>
      </w:r>
      <w:bookmarkEnd w:id="62"/>
    </w:p>
    <w:p w14:paraId="174F6B8F">
      <w:pPr>
        <w:widowControl/>
        <w:adjustRightInd w:val="0"/>
        <w:snapToGrid w:val="0"/>
        <w:spacing w:line="360" w:lineRule="auto"/>
        <w:ind w:firstLine="560"/>
        <w:rPr>
          <w:rFonts w:cs="Times New Roman"/>
          <w:szCs w:val="28"/>
        </w:rPr>
      </w:pPr>
      <w:bookmarkStart w:id="63" w:name="_Toc315706476"/>
      <w:r>
        <w:rPr>
          <w:rFonts w:cs="Times New Roman"/>
          <w:szCs w:val="28"/>
        </w:rPr>
        <w:t>区内褶皱、断裂构造较发育，且均为隐伏构造，依据已掌握的资料，归纳如下：</w:t>
      </w:r>
    </w:p>
    <w:p w14:paraId="5CDE1ACC">
      <w:pPr>
        <w:widowControl/>
        <w:adjustRightInd w:val="0"/>
        <w:snapToGrid w:val="0"/>
        <w:spacing w:line="360" w:lineRule="auto"/>
        <w:ind w:firstLine="560"/>
        <w:rPr>
          <w:rFonts w:cs="Times New Roman"/>
          <w:szCs w:val="28"/>
        </w:rPr>
      </w:pPr>
      <w:r>
        <w:rPr>
          <w:rFonts w:cs="Times New Roman"/>
          <w:szCs w:val="28"/>
        </w:rPr>
        <w:t>1）褶皱构造</w:t>
      </w:r>
    </w:p>
    <w:p w14:paraId="4FB6F9BF">
      <w:pPr>
        <w:widowControl/>
        <w:adjustRightInd w:val="0"/>
        <w:snapToGrid w:val="0"/>
        <w:spacing w:line="360" w:lineRule="auto"/>
        <w:ind w:firstLine="560"/>
        <w:rPr>
          <w:rFonts w:cs="Times New Roman"/>
          <w:szCs w:val="28"/>
        </w:rPr>
      </w:pPr>
      <w:r>
        <w:rPr>
          <w:rFonts w:cs="Times New Roman"/>
          <w:szCs w:val="28"/>
        </w:rPr>
        <w:t>在区域复式背斜的背景下，矿区构造为次一级向斜、背斜。在袁楼以西彭集、黄庄一带，冯家庄以东冯家庄、吕楼一带，都由山草峪组地层组成，中间由雁翎关组地层组成，前者为西翼，后者为东翼，两翼倾向一致均为南西向，地层走向一致都为北西向。磁铁矿即赋存于背斜的两翼。</w:t>
      </w:r>
    </w:p>
    <w:p w14:paraId="3997F4F8">
      <w:pPr>
        <w:widowControl/>
        <w:adjustRightInd w:val="0"/>
        <w:snapToGrid w:val="0"/>
        <w:spacing w:line="360" w:lineRule="auto"/>
        <w:ind w:firstLine="560"/>
        <w:rPr>
          <w:rFonts w:cs="Times New Roman"/>
          <w:szCs w:val="28"/>
        </w:rPr>
      </w:pPr>
      <w:r>
        <w:rPr>
          <w:rFonts w:cs="Times New Roman"/>
          <w:szCs w:val="28"/>
        </w:rPr>
        <w:t>2）断裂构造</w:t>
      </w:r>
    </w:p>
    <w:p w14:paraId="159DAD1B">
      <w:pPr>
        <w:widowControl/>
        <w:adjustRightInd w:val="0"/>
        <w:snapToGrid w:val="0"/>
        <w:spacing w:line="360" w:lineRule="auto"/>
        <w:ind w:firstLine="560"/>
        <w:rPr>
          <w:rFonts w:cs="Times New Roman"/>
          <w:szCs w:val="28"/>
        </w:rPr>
      </w:pPr>
      <w:r>
        <w:rPr>
          <w:rFonts w:cs="Times New Roman"/>
          <w:szCs w:val="28"/>
        </w:rPr>
        <w:t>依据钻孔、物探资料基本确定核实区内有3条主要断裂，走向分别为北西向、东西向和北东向，特征如下：</w:t>
      </w:r>
    </w:p>
    <w:p w14:paraId="5D06A492">
      <w:pPr>
        <w:widowControl/>
        <w:adjustRightInd w:val="0"/>
        <w:snapToGrid w:val="0"/>
        <w:spacing w:line="360" w:lineRule="auto"/>
        <w:ind w:firstLine="560"/>
        <w:rPr>
          <w:rFonts w:cs="Times New Roman"/>
          <w:szCs w:val="28"/>
        </w:rPr>
      </w:pPr>
      <w:r>
        <w:rPr>
          <w:rFonts w:cs="Times New Roman"/>
          <w:szCs w:val="28"/>
        </w:rPr>
        <w:t>F1断裂：位于矿区中部，走向315°，在矿区北部被F2断裂错断，断距约530m。经钻孔揭露断裂南西盘分布新太古代泰山岩群山草峪组地层，断裂北东盘在F2断裂以北分布寒武纪长清群朱砂硐组地层，以南分布新太古代泰山岩群山草峪组、雁翎关组地层，断裂倾向北东，倾角77°～80°，宽度约50m，规模较大，属高角度正断层。</w:t>
      </w:r>
    </w:p>
    <w:p w14:paraId="62E464FB">
      <w:pPr>
        <w:widowControl/>
        <w:adjustRightInd w:val="0"/>
        <w:snapToGrid w:val="0"/>
        <w:spacing w:line="360" w:lineRule="auto"/>
        <w:ind w:firstLine="560"/>
        <w:rPr>
          <w:rFonts w:cs="Times New Roman"/>
          <w:szCs w:val="28"/>
        </w:rPr>
      </w:pPr>
      <w:r>
        <w:rPr>
          <w:rFonts w:cs="Times New Roman"/>
          <w:szCs w:val="28"/>
        </w:rPr>
        <w:t>F2断裂：位于矿区北部，走向近东西，将F1断裂切断。断裂北盘分布有寒武纪长清群朱砂硐组丁家庄段地层，南盘分布有新太古代泰山岩群山草峪组、雁翎关组地层，倾向北，倾角78°～80°，宽60m，属高角度正断层。</w:t>
      </w:r>
    </w:p>
    <w:p w14:paraId="6F02D942">
      <w:pPr>
        <w:widowControl/>
        <w:adjustRightInd w:val="0"/>
        <w:snapToGrid w:val="0"/>
        <w:spacing w:line="360" w:lineRule="auto"/>
        <w:ind w:firstLine="560"/>
        <w:rPr>
          <w:rFonts w:cs="Times New Roman"/>
          <w:szCs w:val="28"/>
        </w:rPr>
      </w:pPr>
      <w:r>
        <w:rPr>
          <w:rFonts w:cs="Times New Roman"/>
          <w:szCs w:val="28"/>
        </w:rPr>
        <w:t>F3断裂：位于矿区南部，走向北东，倾向南，倾角60°～80°，宽30m，属高角度正断裂。断裂生成较晚，为成矿后断裂，规模较小。</w:t>
      </w:r>
    </w:p>
    <w:p w14:paraId="5B559E47">
      <w:pPr>
        <w:widowControl/>
        <w:adjustRightInd w:val="0"/>
        <w:snapToGrid w:val="0"/>
        <w:spacing w:line="360" w:lineRule="auto"/>
        <w:ind w:firstLine="560"/>
        <w:rPr>
          <w:rFonts w:cs="Times New Roman"/>
          <w:szCs w:val="28"/>
        </w:rPr>
      </w:pPr>
      <w:r>
        <w:rPr>
          <w:rFonts w:cs="Times New Roman"/>
          <w:szCs w:val="28"/>
        </w:rPr>
        <w:t>节理构造：区内极为发育，以张节理为主，剪性节理次之。节理面较平直，多充填有碳酸盐细脉，局部见有绿泥石化现象和挤压痕迹。部分构造发育地段岩石被切割为大小不等的碎块。随着深度的增加节理发育程度有减弱趋势。</w:t>
      </w:r>
    </w:p>
    <w:p w14:paraId="7EA5F9CF">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（3）</w:t>
      </w:r>
      <w:r>
        <w:rPr>
          <w:szCs w:val="28"/>
        </w:rPr>
        <w:t>岩浆岩</w:t>
      </w:r>
      <w:bookmarkEnd w:id="63"/>
    </w:p>
    <w:p w14:paraId="406D693E">
      <w:pPr>
        <w:widowControl/>
        <w:adjustRightInd w:val="0"/>
        <w:snapToGrid w:val="0"/>
        <w:spacing w:line="360" w:lineRule="auto"/>
        <w:ind w:firstLine="560"/>
        <w:rPr>
          <w:rFonts w:cs="Times New Roman"/>
          <w:szCs w:val="28"/>
        </w:rPr>
      </w:pPr>
      <w:r>
        <w:rPr>
          <w:rFonts w:cs="Times New Roman"/>
          <w:szCs w:val="28"/>
        </w:rPr>
        <w:t>区内岩浆岩不发育，主要为燕山期脉岩，常见的脉岩有闪长玢岩、石英脉、伟晶岩。</w:t>
      </w:r>
    </w:p>
    <w:p w14:paraId="406B50DB">
      <w:pPr>
        <w:widowControl/>
        <w:adjustRightInd w:val="0"/>
        <w:snapToGrid w:val="0"/>
        <w:spacing w:line="360" w:lineRule="auto"/>
        <w:ind w:firstLine="560"/>
        <w:rPr>
          <w:rFonts w:cs="Times New Roman"/>
          <w:szCs w:val="28"/>
        </w:rPr>
      </w:pPr>
      <w:r>
        <w:rPr>
          <w:rFonts w:cs="Times New Roman"/>
          <w:szCs w:val="28"/>
        </w:rPr>
        <w:t>闪长玢岩多呈脉岩形式发育在变粒岩中，规模较大，厚度一般数米至数十米；石英脉多沿片理侵入于泰山岩群山草峪组地层中，脉宽1～2mm居多，脉宽数厘米至十几厘米也有，大于20cm的极少见；伟晶岩岩脉不大，脉宽一般在数厘米至十几厘米，大者数十厘米，多沿地层层理侵入，延深不远即尖灭。</w:t>
      </w:r>
    </w:p>
    <w:p w14:paraId="7009B986">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（4）</w:t>
      </w:r>
      <w:r>
        <w:rPr>
          <w:szCs w:val="28"/>
        </w:rPr>
        <w:t>变质作用及围岩蚀变</w:t>
      </w:r>
    </w:p>
    <w:p w14:paraId="401F2CF6">
      <w:pPr>
        <w:widowControl/>
        <w:adjustRightInd w:val="0"/>
        <w:snapToGrid w:val="0"/>
        <w:spacing w:line="360" w:lineRule="auto"/>
        <w:ind w:firstLine="560"/>
        <w:rPr>
          <w:rFonts w:cs="Times New Roman"/>
          <w:szCs w:val="28"/>
        </w:rPr>
      </w:pPr>
      <w:r>
        <w:rPr>
          <w:rFonts w:cs="Times New Roman"/>
          <w:szCs w:val="28"/>
        </w:rPr>
        <w:t>1）变质作用</w:t>
      </w:r>
    </w:p>
    <w:p w14:paraId="070CA6C6">
      <w:pPr>
        <w:widowControl/>
        <w:adjustRightInd w:val="0"/>
        <w:snapToGrid w:val="0"/>
        <w:spacing w:line="360" w:lineRule="auto"/>
        <w:ind w:firstLine="560"/>
        <w:rPr>
          <w:rFonts w:cs="Times New Roman"/>
          <w:szCs w:val="28"/>
        </w:rPr>
      </w:pPr>
      <w:r>
        <w:rPr>
          <w:rFonts w:cs="Times New Roman"/>
          <w:szCs w:val="28"/>
        </w:rPr>
        <w:t>矿区变质岩特征为变粒岩夹磁铁石英岩，属硅铁构造，是主要含矿层位，岩性组合以黑云变粒岩、黑云斜长片麻岩为主夹黑云片岩、透闪片岩，磁铁角闪石英岩等，变质程度为低角闪岩相。</w:t>
      </w:r>
    </w:p>
    <w:p w14:paraId="0B669F66">
      <w:pPr>
        <w:widowControl/>
        <w:adjustRightInd w:val="0"/>
        <w:snapToGrid w:val="0"/>
        <w:spacing w:line="360" w:lineRule="auto"/>
        <w:ind w:firstLine="560"/>
        <w:rPr>
          <w:rFonts w:cs="Times New Roman"/>
          <w:szCs w:val="28"/>
        </w:rPr>
      </w:pPr>
      <w:r>
        <w:rPr>
          <w:rFonts w:cs="Times New Roman"/>
          <w:szCs w:val="28"/>
        </w:rPr>
        <w:t>2）围岩蚀变矿床经过后期岩浆活动和不同程度动力变质作用的改造，各类围岩蚀变强烈，有绿泥石化、绿帘石化、蛇纹石化、电气石化、透闪石化、硅化和碳酸盐化。</w:t>
      </w:r>
    </w:p>
    <w:p w14:paraId="270E4548">
      <w:pPr>
        <w:pStyle w:val="5"/>
        <w:spacing w:after="190"/>
        <w:rPr>
          <w:rFonts w:asciiTheme="minorHAnsi" w:hAnsiTheme="minorHAnsi" w:cstheme="minorHAnsi"/>
        </w:rPr>
      </w:pPr>
      <w:r>
        <w:rPr>
          <w:rFonts w:asciiTheme="minorHAnsi" w:hAnsiTheme="minorHAnsi" w:cstheme="minorHAnsi"/>
        </w:rPr>
        <w:t>2.3.2水文地质概况</w:t>
      </w:r>
    </w:p>
    <w:p w14:paraId="0C4410EC">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（1）岩层的含水性特征</w:t>
      </w:r>
    </w:p>
    <w:p w14:paraId="2A49DF7D">
      <w:pPr>
        <w:widowControl/>
        <w:adjustRightInd w:val="0"/>
        <w:snapToGrid w:val="0"/>
        <w:spacing w:line="360" w:lineRule="auto"/>
        <w:ind w:firstLine="560"/>
        <w:rPr>
          <w:szCs w:val="28"/>
        </w:rPr>
      </w:pPr>
      <w:r>
        <w:rPr>
          <w:rFonts w:hint="eastAsia"/>
          <w:szCs w:val="28"/>
        </w:rPr>
        <w:t>主要含水层有第四系松散岩类砂砾石孔隙水含水层、山草峪组黑云变粒岩基岩裂隙水含水层，其中山草峪组黑云变粒岩基岩裂隙水含水层是主要充水含水层。主要隔水层为第四系的粘土、粉质粘土及山草峪组完整的黑云变粒岩。分述如下：</w:t>
      </w:r>
    </w:p>
    <w:p w14:paraId="6F0F8943">
      <w:pPr>
        <w:widowControl/>
        <w:adjustRightInd w:val="0"/>
        <w:snapToGrid w:val="0"/>
        <w:spacing w:line="360" w:lineRule="auto"/>
        <w:ind w:firstLine="560"/>
        <w:rPr>
          <w:szCs w:val="28"/>
        </w:rPr>
      </w:pPr>
      <w:r>
        <w:rPr>
          <w:rFonts w:hint="eastAsia"/>
          <w:szCs w:val="28"/>
        </w:rPr>
        <w:t>1）第四系冲洪积砂、砾石孔隙水含水层</w:t>
      </w:r>
    </w:p>
    <w:p w14:paraId="4211BACA">
      <w:pPr>
        <w:widowControl/>
        <w:adjustRightInd w:val="0"/>
        <w:snapToGrid w:val="0"/>
        <w:spacing w:line="360" w:lineRule="auto"/>
        <w:ind w:firstLine="560"/>
        <w:rPr>
          <w:szCs w:val="28"/>
        </w:rPr>
      </w:pPr>
      <w:r>
        <w:rPr>
          <w:rFonts w:hint="eastAsia"/>
          <w:szCs w:val="28"/>
        </w:rPr>
        <w:t>由粗砂、中砂及含砾中粗砂组成，局部为细砂，遍布全矿区，埋深3～13m，厚度7～30m，分布较稳定，局部夹透镜状粘土薄层，富含孔隙水，略具承压性质，其富水性受砂层厚度及颗粒粗细控制，具由东北向西南增厚趋势，地下水径流方向由东向西，</w:t>
      </w:r>
      <w:r>
        <w:rPr>
          <w:rFonts w:hint="eastAsia"/>
          <w:szCs w:val="28"/>
          <w:lang w:eastAsia="zh-TW"/>
        </w:rPr>
        <w:t>为矿区主要含水层</w:t>
      </w:r>
      <w:r>
        <w:rPr>
          <w:rFonts w:hint="eastAsia"/>
          <w:szCs w:val="28"/>
        </w:rPr>
        <w:t>。</w:t>
      </w:r>
    </w:p>
    <w:p w14:paraId="3D379D24">
      <w:pPr>
        <w:widowControl/>
        <w:adjustRightInd w:val="0"/>
        <w:snapToGrid w:val="0"/>
        <w:spacing w:line="360" w:lineRule="auto"/>
        <w:ind w:firstLine="560"/>
        <w:rPr>
          <w:szCs w:val="28"/>
        </w:rPr>
      </w:pPr>
      <w:r>
        <w:rPr>
          <w:rFonts w:hint="eastAsia"/>
          <w:szCs w:val="28"/>
        </w:rPr>
        <w:t>通过对7个钻孔和10个民井抽水资料结果，单位涌水量3.151～11.405L</w:t>
      </w:r>
      <w:r>
        <w:rPr>
          <w:szCs w:val="28"/>
        </w:rPr>
        <w:t>/</w:t>
      </w:r>
      <w:r>
        <w:rPr>
          <w:rFonts w:hint="eastAsia"/>
          <w:szCs w:val="28"/>
        </w:rPr>
        <w:t>s</w:t>
      </w:r>
      <w:r>
        <w:rPr>
          <w:rFonts w:hint="eastAsia"/>
          <w:szCs w:val="28"/>
          <w:lang w:eastAsia="zh-TW"/>
        </w:rPr>
        <w:t>·</w:t>
      </w:r>
      <w:r>
        <w:rPr>
          <w:rFonts w:hint="eastAsia"/>
          <w:szCs w:val="28"/>
        </w:rPr>
        <w:t>m，渗透系数15.133～42.710m/d。地下水位埋深3.18～5.12m，地下水化学类型为</w:t>
      </w:r>
      <w:r>
        <w:rPr>
          <w:szCs w:val="28"/>
        </w:rPr>
        <w:t>HCO</w:t>
      </w:r>
      <w:r>
        <w:rPr>
          <w:rFonts w:hint="eastAsia"/>
          <w:szCs w:val="28"/>
          <w:vertAlign w:val="subscript"/>
        </w:rPr>
        <w:t>3</w:t>
      </w:r>
      <w:r>
        <w:rPr>
          <w:rFonts w:hint="eastAsia"/>
          <w:szCs w:val="28"/>
        </w:rPr>
        <w:t>—</w:t>
      </w:r>
      <w:r>
        <w:rPr>
          <w:szCs w:val="28"/>
        </w:rPr>
        <w:t>Ca</w:t>
      </w:r>
      <w:r>
        <w:rPr>
          <w:rFonts w:hint="eastAsia"/>
          <w:szCs w:val="28"/>
        </w:rPr>
        <w:t>型水，矿化度</w:t>
      </w:r>
      <w:r>
        <w:rPr>
          <w:szCs w:val="28"/>
        </w:rPr>
        <w:t>0.</w:t>
      </w:r>
      <w:r>
        <w:rPr>
          <w:rFonts w:hint="eastAsia"/>
          <w:szCs w:val="28"/>
        </w:rPr>
        <w:t>663～0.899</w:t>
      </w:r>
      <w:r>
        <w:rPr>
          <w:szCs w:val="28"/>
        </w:rPr>
        <w:t>g</w:t>
      </w:r>
      <w:r>
        <w:rPr>
          <w:rFonts w:hint="eastAsia"/>
          <w:szCs w:val="28"/>
        </w:rPr>
        <w:t>/L。</w:t>
      </w:r>
    </w:p>
    <w:p w14:paraId="54CF435F">
      <w:pPr>
        <w:widowControl/>
        <w:adjustRightInd w:val="0"/>
        <w:snapToGrid w:val="0"/>
        <w:spacing w:line="360" w:lineRule="auto"/>
        <w:ind w:firstLine="560"/>
        <w:rPr>
          <w:szCs w:val="28"/>
        </w:rPr>
      </w:pPr>
      <w:r>
        <w:rPr>
          <w:rFonts w:hint="eastAsia"/>
          <w:szCs w:val="28"/>
        </w:rPr>
        <w:t>2）山草峪组黑云</w:t>
      </w:r>
      <w:r>
        <w:rPr>
          <w:rFonts w:hint="eastAsia"/>
          <w:szCs w:val="28"/>
          <w:lang w:eastAsia="zh-TW"/>
        </w:rPr>
        <w:t>变</w:t>
      </w:r>
      <w:r>
        <w:rPr>
          <w:rFonts w:hint="eastAsia"/>
          <w:szCs w:val="28"/>
        </w:rPr>
        <w:t>粒</w:t>
      </w:r>
      <w:r>
        <w:rPr>
          <w:rFonts w:hint="eastAsia"/>
          <w:szCs w:val="28"/>
          <w:lang w:eastAsia="zh-TW"/>
        </w:rPr>
        <w:t>岩裂隙水</w:t>
      </w:r>
      <w:r>
        <w:rPr>
          <w:rFonts w:hint="eastAsia"/>
          <w:szCs w:val="28"/>
        </w:rPr>
        <w:t>含</w:t>
      </w:r>
      <w:r>
        <w:rPr>
          <w:rFonts w:hint="eastAsia"/>
          <w:szCs w:val="28"/>
          <w:lang w:eastAsia="zh-TW"/>
        </w:rPr>
        <w:t>水</w:t>
      </w:r>
      <w:r>
        <w:rPr>
          <w:rFonts w:hint="eastAsia"/>
          <w:szCs w:val="28"/>
        </w:rPr>
        <w:t>层</w:t>
      </w:r>
    </w:p>
    <w:p w14:paraId="2E587658">
      <w:pPr>
        <w:widowControl/>
        <w:adjustRightInd w:val="0"/>
        <w:snapToGrid w:val="0"/>
        <w:spacing w:line="360" w:lineRule="auto"/>
        <w:ind w:firstLine="560"/>
        <w:rPr>
          <w:szCs w:val="28"/>
        </w:rPr>
      </w:pPr>
      <w:r>
        <w:rPr>
          <w:rFonts w:hint="eastAsia"/>
          <w:szCs w:val="28"/>
        </w:rPr>
        <w:t>由黑云变粒岩、黑云斜长片麻岩、含磁铁角闪石英岩等组成，含裂隙承压水。区内均被第四系覆盖，</w:t>
      </w:r>
      <w:r>
        <w:rPr>
          <w:rFonts w:hint="eastAsia"/>
          <w:szCs w:val="28"/>
          <w:lang w:eastAsia="zh-TW"/>
        </w:rPr>
        <w:t>埋深</w:t>
      </w:r>
      <w:r>
        <w:rPr>
          <w:rFonts w:hint="eastAsia"/>
          <w:szCs w:val="28"/>
        </w:rPr>
        <w:t>26.79～112.03m。基岩风化裂隙含水层厚度为20～60m，对</w:t>
      </w:r>
      <w:r>
        <w:rPr>
          <w:rFonts w:hint="eastAsia"/>
          <w:szCs w:val="28"/>
          <w:lang w:eastAsia="zh-TW"/>
        </w:rPr>
        <w:t>泰山</w:t>
      </w:r>
      <w:r>
        <w:rPr>
          <w:rFonts w:hint="eastAsia"/>
          <w:szCs w:val="28"/>
        </w:rPr>
        <w:t>岩</w:t>
      </w:r>
      <w:r>
        <w:rPr>
          <w:rFonts w:hint="eastAsia"/>
          <w:szCs w:val="28"/>
          <w:lang w:eastAsia="zh-TW"/>
        </w:rPr>
        <w:t>群</w:t>
      </w:r>
      <w:r>
        <w:rPr>
          <w:rFonts w:hint="eastAsia"/>
          <w:szCs w:val="28"/>
        </w:rPr>
        <w:t>山草峪组黑云</w:t>
      </w:r>
      <w:r>
        <w:rPr>
          <w:rFonts w:hint="eastAsia"/>
          <w:szCs w:val="28"/>
          <w:lang w:eastAsia="zh-TW"/>
        </w:rPr>
        <w:t>变</w:t>
      </w:r>
      <w:r>
        <w:rPr>
          <w:rFonts w:hint="eastAsia"/>
          <w:szCs w:val="28"/>
        </w:rPr>
        <w:t>粒</w:t>
      </w:r>
      <w:r>
        <w:rPr>
          <w:rFonts w:hint="eastAsia"/>
          <w:szCs w:val="28"/>
          <w:lang w:eastAsia="zh-TW"/>
        </w:rPr>
        <w:t>岩</w:t>
      </w:r>
      <w:r>
        <w:rPr>
          <w:rFonts w:hint="eastAsia"/>
          <w:szCs w:val="28"/>
        </w:rPr>
        <w:t>风化</w:t>
      </w:r>
      <w:r>
        <w:rPr>
          <w:rFonts w:hint="eastAsia"/>
          <w:szCs w:val="28"/>
          <w:lang w:eastAsia="zh-TW"/>
        </w:rPr>
        <w:t>裂隙水</w:t>
      </w:r>
      <w:r>
        <w:rPr>
          <w:rFonts w:hint="eastAsia"/>
          <w:szCs w:val="28"/>
        </w:rPr>
        <w:t>含水层ZK11-11和ZK19-3钻孔抽水试验结果，</w:t>
      </w:r>
      <w:r>
        <w:rPr>
          <w:rFonts w:hint="eastAsia"/>
          <w:szCs w:val="28"/>
          <w:lang w:eastAsia="zh-TW"/>
        </w:rPr>
        <w:t>单位涌水量</w:t>
      </w:r>
      <w:r>
        <w:rPr>
          <w:rFonts w:hint="eastAsia"/>
          <w:szCs w:val="28"/>
        </w:rPr>
        <w:t>0.030～0.076L</w:t>
      </w:r>
      <w:r>
        <w:rPr>
          <w:szCs w:val="28"/>
        </w:rPr>
        <w:t>/</w:t>
      </w:r>
      <w:r>
        <w:rPr>
          <w:rFonts w:hint="eastAsia"/>
          <w:szCs w:val="28"/>
        </w:rPr>
        <w:t>s</w:t>
      </w:r>
      <w:r>
        <w:rPr>
          <w:rFonts w:hint="eastAsia"/>
          <w:szCs w:val="28"/>
          <w:lang w:eastAsia="zh-TW"/>
        </w:rPr>
        <w:t>·</w:t>
      </w:r>
      <w:r>
        <w:rPr>
          <w:rFonts w:hint="eastAsia"/>
          <w:szCs w:val="28"/>
        </w:rPr>
        <w:t>m，</w:t>
      </w:r>
      <w:r>
        <w:rPr>
          <w:rFonts w:hint="eastAsia"/>
          <w:szCs w:val="28"/>
          <w:lang w:eastAsia="zh-TW"/>
        </w:rPr>
        <w:t>渗透系数</w:t>
      </w:r>
      <w:r>
        <w:rPr>
          <w:rFonts w:hint="eastAsia"/>
          <w:szCs w:val="28"/>
        </w:rPr>
        <w:t>0.007-0.017</w:t>
      </w:r>
      <w:r>
        <w:rPr>
          <w:szCs w:val="28"/>
        </w:rPr>
        <w:t>m/d</w:t>
      </w:r>
      <w:r>
        <w:rPr>
          <w:rFonts w:hint="eastAsia"/>
          <w:szCs w:val="28"/>
        </w:rPr>
        <w:t>，水化学类型</w:t>
      </w:r>
      <w:r>
        <w:rPr>
          <w:szCs w:val="28"/>
        </w:rPr>
        <w:t>HCO</w:t>
      </w:r>
      <w:r>
        <w:rPr>
          <w:rFonts w:hint="eastAsia"/>
          <w:szCs w:val="28"/>
          <w:vertAlign w:val="subscript"/>
        </w:rPr>
        <w:t>3</w:t>
      </w:r>
      <w:r>
        <w:rPr>
          <w:rFonts w:hint="eastAsia"/>
          <w:szCs w:val="28"/>
        </w:rPr>
        <w:t>—</w:t>
      </w:r>
      <w:r>
        <w:rPr>
          <w:szCs w:val="28"/>
        </w:rPr>
        <w:t>Ca</w:t>
      </w:r>
      <w:r>
        <w:rPr>
          <w:rFonts w:hint="eastAsia"/>
          <w:szCs w:val="28"/>
          <w:lang w:eastAsia="zh-TW"/>
        </w:rPr>
        <w:t>·</w:t>
      </w:r>
      <w:r>
        <w:rPr>
          <w:rFonts w:hint="eastAsia"/>
          <w:szCs w:val="28"/>
        </w:rPr>
        <w:t>（k+Na）</w:t>
      </w:r>
      <w:r>
        <w:rPr>
          <w:rFonts w:hint="eastAsia"/>
          <w:szCs w:val="28"/>
          <w:lang w:eastAsia="zh-TW"/>
        </w:rPr>
        <w:t>·</w:t>
      </w:r>
      <w:r>
        <w:rPr>
          <w:szCs w:val="28"/>
        </w:rPr>
        <w:t>Mg</w:t>
      </w:r>
      <w:r>
        <w:rPr>
          <w:rFonts w:hint="eastAsia"/>
          <w:szCs w:val="28"/>
        </w:rPr>
        <w:t>及</w:t>
      </w:r>
      <w:r>
        <w:rPr>
          <w:szCs w:val="28"/>
        </w:rPr>
        <w:t>HCO</w:t>
      </w:r>
      <w:r>
        <w:rPr>
          <w:rFonts w:hint="eastAsia"/>
          <w:szCs w:val="28"/>
          <w:vertAlign w:val="subscript"/>
        </w:rPr>
        <w:t>3</w:t>
      </w:r>
      <w:r>
        <w:rPr>
          <w:rFonts w:hint="eastAsia"/>
          <w:szCs w:val="28"/>
        </w:rPr>
        <w:t>·SO</w:t>
      </w:r>
      <w:r>
        <w:rPr>
          <w:rFonts w:hint="eastAsia"/>
          <w:szCs w:val="28"/>
          <w:vertAlign w:val="subscript"/>
        </w:rPr>
        <w:t>4</w:t>
      </w:r>
      <w:r>
        <w:rPr>
          <w:rFonts w:hint="eastAsia"/>
          <w:szCs w:val="28"/>
        </w:rPr>
        <w:t>—（k+Na），矿化度</w:t>
      </w:r>
      <w:r>
        <w:rPr>
          <w:szCs w:val="28"/>
        </w:rPr>
        <w:t>0.</w:t>
      </w:r>
      <w:r>
        <w:rPr>
          <w:rFonts w:hint="eastAsia"/>
          <w:szCs w:val="28"/>
        </w:rPr>
        <w:t>528～1.023</w:t>
      </w:r>
      <w:r>
        <w:rPr>
          <w:szCs w:val="28"/>
        </w:rPr>
        <w:t>g</w:t>
      </w:r>
      <w:r>
        <w:rPr>
          <w:rFonts w:hint="eastAsia"/>
          <w:szCs w:val="28"/>
        </w:rPr>
        <w:t>/L。</w:t>
      </w:r>
    </w:p>
    <w:p w14:paraId="12C0D7DA">
      <w:pPr>
        <w:widowControl/>
        <w:adjustRightInd w:val="0"/>
        <w:snapToGrid w:val="0"/>
        <w:spacing w:line="360" w:lineRule="auto"/>
        <w:ind w:firstLine="560"/>
        <w:rPr>
          <w:szCs w:val="28"/>
        </w:rPr>
      </w:pPr>
      <w:r>
        <w:rPr>
          <w:rFonts w:hint="eastAsia"/>
          <w:szCs w:val="28"/>
        </w:rPr>
        <w:t>在矿体下盘布设的水2孔（专门水文地质孔），</w:t>
      </w:r>
      <w:r>
        <w:rPr>
          <w:rFonts w:hint="eastAsia"/>
          <w:szCs w:val="28"/>
          <w:lang w:eastAsia="zh-TW"/>
        </w:rPr>
        <w:t>单位涌水量</w:t>
      </w:r>
      <w:r>
        <w:rPr>
          <w:rFonts w:hint="eastAsia"/>
          <w:szCs w:val="28"/>
        </w:rPr>
        <w:t>仅为0.008L</w:t>
      </w:r>
      <w:r>
        <w:rPr>
          <w:szCs w:val="28"/>
        </w:rPr>
        <w:t>/</w:t>
      </w:r>
      <w:r>
        <w:rPr>
          <w:rFonts w:hint="eastAsia"/>
          <w:szCs w:val="28"/>
        </w:rPr>
        <w:t>s</w:t>
      </w:r>
      <w:r>
        <w:rPr>
          <w:rFonts w:hint="eastAsia"/>
          <w:szCs w:val="28"/>
          <w:lang w:eastAsia="zh-TW"/>
        </w:rPr>
        <w:t>·</w:t>
      </w:r>
      <w:r>
        <w:rPr>
          <w:rFonts w:hint="eastAsia"/>
          <w:szCs w:val="28"/>
        </w:rPr>
        <w:t>m，</w:t>
      </w:r>
      <w:r>
        <w:rPr>
          <w:rFonts w:hint="eastAsia"/>
          <w:szCs w:val="28"/>
          <w:lang w:eastAsia="zh-TW"/>
        </w:rPr>
        <w:t>渗透系数</w:t>
      </w:r>
      <w:r>
        <w:rPr>
          <w:rFonts w:hint="eastAsia"/>
          <w:szCs w:val="28"/>
        </w:rPr>
        <w:t>为0.002</w:t>
      </w:r>
      <w:r>
        <w:rPr>
          <w:szCs w:val="28"/>
        </w:rPr>
        <w:t xml:space="preserve"> m/d</w:t>
      </w:r>
      <w:r>
        <w:rPr>
          <w:rFonts w:hint="eastAsia"/>
          <w:szCs w:val="28"/>
        </w:rPr>
        <w:t>。风化带的透水性好于深部的黑云变粒岩，黑云</w:t>
      </w:r>
      <w:r>
        <w:rPr>
          <w:rFonts w:hint="eastAsia"/>
          <w:szCs w:val="28"/>
          <w:lang w:eastAsia="zh-TW"/>
        </w:rPr>
        <w:t>变</w:t>
      </w:r>
      <w:r>
        <w:rPr>
          <w:rFonts w:hint="eastAsia"/>
          <w:szCs w:val="28"/>
        </w:rPr>
        <w:t>粒</w:t>
      </w:r>
      <w:r>
        <w:rPr>
          <w:rFonts w:hint="eastAsia"/>
          <w:szCs w:val="28"/>
          <w:lang w:eastAsia="zh-TW"/>
        </w:rPr>
        <w:t>岩裂隙水</w:t>
      </w:r>
      <w:r>
        <w:rPr>
          <w:rFonts w:hint="eastAsia"/>
          <w:szCs w:val="28"/>
        </w:rPr>
        <w:t>含水层</w:t>
      </w:r>
      <w:r>
        <w:rPr>
          <w:rFonts w:hint="eastAsia"/>
          <w:szCs w:val="28"/>
          <w:lang w:eastAsia="zh-TW"/>
        </w:rPr>
        <w:t>为矿床直接充水</w:t>
      </w:r>
      <w:r>
        <w:rPr>
          <w:rFonts w:hint="eastAsia"/>
          <w:szCs w:val="28"/>
        </w:rPr>
        <w:t>因素，但其富</w:t>
      </w:r>
      <w:r>
        <w:rPr>
          <w:rFonts w:hint="eastAsia"/>
          <w:szCs w:val="28"/>
          <w:lang w:eastAsia="zh-TW"/>
        </w:rPr>
        <w:t>水</w:t>
      </w:r>
      <w:r>
        <w:rPr>
          <w:rFonts w:hint="eastAsia"/>
          <w:szCs w:val="28"/>
        </w:rPr>
        <w:t>性、</w:t>
      </w:r>
      <w:r>
        <w:rPr>
          <w:rFonts w:hint="eastAsia"/>
          <w:szCs w:val="28"/>
          <w:lang w:eastAsia="zh-TW"/>
        </w:rPr>
        <w:t>透水性均较</w:t>
      </w:r>
      <w:r>
        <w:rPr>
          <w:rFonts w:hint="eastAsia"/>
          <w:szCs w:val="28"/>
        </w:rPr>
        <w:t>弱。</w:t>
      </w:r>
    </w:p>
    <w:p w14:paraId="0B257D6C">
      <w:pPr>
        <w:widowControl/>
        <w:adjustRightInd w:val="0"/>
        <w:snapToGrid w:val="0"/>
        <w:spacing w:line="360" w:lineRule="auto"/>
        <w:ind w:firstLine="560"/>
        <w:rPr>
          <w:szCs w:val="28"/>
        </w:rPr>
      </w:pPr>
      <w:r>
        <w:rPr>
          <w:rFonts w:hint="eastAsia"/>
          <w:szCs w:val="28"/>
        </w:rPr>
        <w:t>3）隔水层</w:t>
      </w:r>
    </w:p>
    <w:p w14:paraId="384946B1">
      <w:pPr>
        <w:widowControl/>
        <w:adjustRightInd w:val="0"/>
        <w:snapToGrid w:val="0"/>
        <w:spacing w:line="360" w:lineRule="auto"/>
        <w:ind w:firstLine="560"/>
        <w:rPr>
          <w:szCs w:val="28"/>
        </w:rPr>
      </w:pPr>
      <w:r>
        <w:rPr>
          <w:rFonts w:hint="eastAsia"/>
          <w:szCs w:val="28"/>
        </w:rPr>
        <w:t>第四系粘土隔水层：由第四系下部粘土、姜石、钙质富集层及半固结碎石组成，分布于矿区全新统早期含水砂层之下，厚度10.09～84.75m，构成全新统早期冲洪积孔隙水含水层与下部含水层之间较稳定的隔水底板。该隔水层在冯家庄矿段明显变薄并局部缺失，第四系含水砂层直接覆于泰山岩群山草峪组之上，形成“天窗”。</w:t>
      </w:r>
    </w:p>
    <w:p w14:paraId="6E29BF74">
      <w:pPr>
        <w:widowControl/>
        <w:adjustRightInd w:val="0"/>
        <w:snapToGrid w:val="0"/>
        <w:spacing w:line="360" w:lineRule="auto"/>
        <w:ind w:firstLine="560"/>
        <w:rPr>
          <w:szCs w:val="28"/>
        </w:rPr>
      </w:pPr>
      <w:r>
        <w:rPr>
          <w:rFonts w:hint="eastAsia"/>
          <w:szCs w:val="28"/>
        </w:rPr>
        <w:t>泰山岩群山草峪组完整的黑云变粒岩隔水层：分布于</w:t>
      </w:r>
      <w:r>
        <w:rPr>
          <w:rFonts w:hint="eastAsia"/>
          <w:szCs w:val="28"/>
          <w:lang w:eastAsia="zh-TW"/>
        </w:rPr>
        <w:t>泰山</w:t>
      </w:r>
      <w:r>
        <w:rPr>
          <w:rFonts w:hint="eastAsia"/>
          <w:szCs w:val="28"/>
        </w:rPr>
        <w:t>岩</w:t>
      </w:r>
      <w:r>
        <w:rPr>
          <w:rFonts w:hint="eastAsia"/>
          <w:szCs w:val="28"/>
          <w:lang w:eastAsia="zh-TW"/>
        </w:rPr>
        <w:t>群</w:t>
      </w:r>
      <w:r>
        <w:rPr>
          <w:rFonts w:hint="eastAsia"/>
          <w:szCs w:val="28"/>
        </w:rPr>
        <w:t>山草峪组</w:t>
      </w:r>
      <w:r>
        <w:rPr>
          <w:rFonts w:hint="eastAsia"/>
          <w:szCs w:val="28"/>
          <w:lang w:eastAsia="zh-TW"/>
        </w:rPr>
        <w:t>变质岩裂隙水</w:t>
      </w:r>
      <w:r>
        <w:rPr>
          <w:rFonts w:hint="eastAsia"/>
          <w:szCs w:val="28"/>
        </w:rPr>
        <w:t>含水层之下和矿体底板以下，根据钻孔揭露该层岩心完整多呈长柱状，裂隙不发育，阻隔了第四系含水层、地表水及大气降水的下渗。</w:t>
      </w:r>
    </w:p>
    <w:p w14:paraId="52A2A619">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（2）地下水的补给、径流与排泄条件</w:t>
      </w:r>
    </w:p>
    <w:p w14:paraId="44CAE8B8">
      <w:pPr>
        <w:widowControl/>
        <w:adjustRightInd w:val="0"/>
        <w:snapToGrid w:val="0"/>
        <w:spacing w:line="360" w:lineRule="auto"/>
        <w:ind w:firstLine="560"/>
        <w:rPr>
          <w:szCs w:val="28"/>
        </w:rPr>
      </w:pPr>
      <w:r>
        <w:rPr>
          <w:rFonts w:hint="eastAsia"/>
          <w:szCs w:val="28"/>
        </w:rPr>
        <w:t>地表水、大气降水为该区地下水的主要补给来源。但由于该区地形低洼、坡降小，地下水径流缓慢，该区地下水补给条件较好，径流、排泄条件差。</w:t>
      </w:r>
    </w:p>
    <w:p w14:paraId="374EBA4E">
      <w:pPr>
        <w:widowControl/>
        <w:adjustRightInd w:val="0"/>
        <w:snapToGrid w:val="0"/>
        <w:spacing w:line="360" w:lineRule="auto"/>
        <w:ind w:firstLine="560"/>
        <w:rPr>
          <w:szCs w:val="28"/>
        </w:rPr>
      </w:pPr>
      <w:r>
        <w:rPr>
          <w:rFonts w:hint="eastAsia"/>
          <w:szCs w:val="28"/>
        </w:rPr>
        <w:t>1）第四系孔隙水</w:t>
      </w:r>
    </w:p>
    <w:p w14:paraId="624E058B">
      <w:pPr>
        <w:widowControl/>
        <w:adjustRightInd w:val="0"/>
        <w:snapToGrid w:val="0"/>
        <w:spacing w:line="360" w:lineRule="auto"/>
        <w:ind w:firstLine="560"/>
        <w:rPr>
          <w:szCs w:val="28"/>
        </w:rPr>
      </w:pPr>
      <w:r>
        <w:rPr>
          <w:rFonts w:hint="eastAsia"/>
          <w:szCs w:val="28"/>
        </w:rPr>
        <w:t>第四系孔隙水的补给来源主要为大气降水入渗，其次是河流渗漏和侧向径流补给。第四系孔隙水径流总趋势为由东北向西南径流，平均水力坡度在0.73‰左右。区内多数地段第四系孔隙水水位都高于基岩风化裂隙水，由于含水岩组间弱透水层隔水的相对性，浅层地下水能够通过越流补给基岩风化裂隙水。</w:t>
      </w:r>
    </w:p>
    <w:p w14:paraId="6637A313">
      <w:pPr>
        <w:widowControl/>
        <w:adjustRightInd w:val="0"/>
        <w:snapToGrid w:val="0"/>
        <w:spacing w:line="360" w:lineRule="auto"/>
        <w:ind w:firstLine="560"/>
        <w:rPr>
          <w:szCs w:val="28"/>
        </w:rPr>
      </w:pPr>
      <w:r>
        <w:rPr>
          <w:rFonts w:hint="eastAsia"/>
          <w:szCs w:val="28"/>
        </w:rPr>
        <w:t>2）基岩风化裂隙水</w:t>
      </w:r>
    </w:p>
    <w:p w14:paraId="02BD5C3E">
      <w:pPr>
        <w:pStyle w:val="19"/>
        <w:ind w:firstLine="560"/>
        <w:rPr>
          <w:szCs w:val="28"/>
        </w:rPr>
      </w:pPr>
      <w:r>
        <w:rPr>
          <w:rFonts w:hint="eastAsia"/>
          <w:szCs w:val="28"/>
        </w:rPr>
        <w:t>基岩风化裂隙水接受上游地区的侧向径流补给和第四系孔隙水的越流补给。基岩风化裂隙水径流方向总体由东北向西南运移。基岩风化裂隙水的排泄侧向以径流排泄为主，其次为人工开采。</w:t>
      </w:r>
    </w:p>
    <w:p w14:paraId="38C7533F">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（3）矿床充水因素</w:t>
      </w:r>
    </w:p>
    <w:p w14:paraId="51D15926">
      <w:pPr>
        <w:widowControl/>
        <w:adjustRightInd w:val="0"/>
        <w:snapToGrid w:val="0"/>
        <w:spacing w:line="360" w:lineRule="auto"/>
        <w:ind w:firstLine="560"/>
        <w:rPr>
          <w:szCs w:val="28"/>
        </w:rPr>
      </w:pPr>
      <w:r>
        <w:rPr>
          <w:rFonts w:hint="eastAsia"/>
          <w:szCs w:val="28"/>
        </w:rPr>
        <w:t>矿山采用充填法开采，大气降雨、地表水体对于矿床充水的影响均不大，主要充水因素为基岩裂隙含水层中的地下水。</w:t>
      </w:r>
    </w:p>
    <w:p w14:paraId="6755E8A9">
      <w:pPr>
        <w:widowControl/>
        <w:adjustRightInd w:val="0"/>
        <w:snapToGrid w:val="0"/>
        <w:spacing w:line="360" w:lineRule="auto"/>
        <w:ind w:firstLine="560"/>
        <w:rPr>
          <w:szCs w:val="28"/>
        </w:rPr>
      </w:pPr>
      <w:r>
        <w:rPr>
          <w:rFonts w:hint="eastAsia"/>
          <w:szCs w:val="28"/>
        </w:rPr>
        <w:t>1）大气降雨、地表水体对于矿床充水的影响</w:t>
      </w:r>
    </w:p>
    <w:p w14:paraId="65CB7DC6">
      <w:pPr>
        <w:widowControl/>
        <w:adjustRightInd w:val="0"/>
        <w:snapToGrid w:val="0"/>
        <w:spacing w:line="360" w:lineRule="auto"/>
        <w:ind w:firstLine="560"/>
        <w:rPr>
          <w:szCs w:val="28"/>
        </w:rPr>
      </w:pPr>
      <w:r>
        <w:rPr>
          <w:rFonts w:hint="eastAsia"/>
          <w:szCs w:val="28"/>
        </w:rPr>
        <w:t>采用充填法开采可保护矿体顶板，因此，大气降雨、地表水体对于矿床充水的影响均不大。</w:t>
      </w:r>
    </w:p>
    <w:p w14:paraId="207C242A">
      <w:pPr>
        <w:pStyle w:val="19"/>
        <w:snapToGrid w:val="0"/>
        <w:spacing w:line="360" w:lineRule="auto"/>
        <w:ind w:firstLine="560"/>
        <w:rPr>
          <w:szCs w:val="28"/>
        </w:rPr>
      </w:pPr>
      <w:r>
        <w:rPr>
          <w:rFonts w:hint="eastAsia"/>
          <w:szCs w:val="28"/>
        </w:rPr>
        <w:t>流经矿区的小河如小汶河等地表水体，其河床狭窄，流量变化大，河床底部一般为粘土、粉质粘土或砂层，第四系含水层底部存在稳定的隔水粘土层，充填法不破坏顶板的情况下，河水下渗补给矿坑需经过透水性较弱的地层，因此，地表水对矿坑矿坑充水没有直接影响。</w:t>
      </w:r>
    </w:p>
    <w:p w14:paraId="37400C85">
      <w:pPr>
        <w:widowControl/>
        <w:adjustRightInd w:val="0"/>
        <w:snapToGrid w:val="0"/>
        <w:spacing w:line="360" w:lineRule="auto"/>
        <w:ind w:firstLine="560"/>
        <w:rPr>
          <w:szCs w:val="28"/>
        </w:rPr>
      </w:pPr>
      <w:r>
        <w:rPr>
          <w:rFonts w:hint="eastAsia"/>
          <w:szCs w:val="28"/>
        </w:rPr>
        <w:t>2）含水层对于矿床充水的影响</w:t>
      </w:r>
    </w:p>
    <w:p w14:paraId="2F2D1CE4">
      <w:pPr>
        <w:widowControl/>
        <w:adjustRightInd w:val="0"/>
        <w:snapToGrid w:val="0"/>
        <w:spacing w:line="360" w:lineRule="auto"/>
        <w:ind w:firstLine="560"/>
        <w:rPr>
          <w:szCs w:val="28"/>
        </w:rPr>
      </w:pPr>
      <w:r>
        <w:rPr>
          <w:rFonts w:hint="eastAsia"/>
          <w:szCs w:val="28"/>
        </w:rPr>
        <w:t>矿床赋存于第四系松散层之下的沉积变质岩中。矿体倾角一般57～82°，呈层状和似层状，顶板埋深50～600m。</w:t>
      </w:r>
    </w:p>
    <w:p w14:paraId="70BA10BF">
      <w:pPr>
        <w:widowControl/>
        <w:adjustRightInd w:val="0"/>
        <w:snapToGrid w:val="0"/>
        <w:spacing w:line="360" w:lineRule="auto"/>
        <w:ind w:firstLine="560"/>
        <w:rPr>
          <w:szCs w:val="28"/>
        </w:rPr>
      </w:pPr>
      <w:r>
        <w:rPr>
          <w:rFonts w:hint="eastAsia"/>
          <w:szCs w:val="28"/>
        </w:rPr>
        <w:t>充填法开采可保护第四系孔隙水含水层不被破坏，第四系孔隙水含水层对于矿床充水的影响小。</w:t>
      </w:r>
    </w:p>
    <w:p w14:paraId="2D2158E3">
      <w:pPr>
        <w:widowControl/>
        <w:adjustRightInd w:val="0"/>
        <w:snapToGrid w:val="0"/>
        <w:spacing w:line="360" w:lineRule="auto"/>
        <w:ind w:firstLine="560"/>
        <w:rPr>
          <w:szCs w:val="28"/>
        </w:rPr>
      </w:pPr>
      <w:r>
        <w:rPr>
          <w:rFonts w:hint="eastAsia"/>
          <w:szCs w:val="28"/>
        </w:rPr>
        <w:t>黑云变粒岩仅上部基岩风化带裂隙较发育，其富水性、透水性均弱。由于黑云变粒岩裂隙含水层分布范围广，而且是直接作为矿体的顶、底板，所以黑云变粒岩裂隙水是矿床充水的主要因素，但由于其富水性、透水性弱，对于矿床充水的影响不大。</w:t>
      </w:r>
    </w:p>
    <w:p w14:paraId="735BCCB6">
      <w:pPr>
        <w:widowControl/>
        <w:adjustRightInd w:val="0"/>
        <w:snapToGrid w:val="0"/>
        <w:spacing w:line="360" w:lineRule="auto"/>
        <w:ind w:firstLine="560"/>
        <w:rPr>
          <w:szCs w:val="28"/>
        </w:rPr>
      </w:pPr>
      <w:r>
        <w:rPr>
          <w:rFonts w:hint="eastAsia"/>
          <w:szCs w:val="28"/>
        </w:rPr>
        <w:t>3）断层对于矿床充水的影响</w:t>
      </w:r>
    </w:p>
    <w:p w14:paraId="23C95090">
      <w:pPr>
        <w:widowControl/>
        <w:adjustRightInd w:val="0"/>
        <w:snapToGrid w:val="0"/>
        <w:spacing w:line="360" w:lineRule="auto"/>
        <w:ind w:firstLine="560"/>
        <w:rPr>
          <w:szCs w:val="28"/>
        </w:rPr>
      </w:pPr>
      <w:r>
        <w:rPr>
          <w:rFonts w:hint="eastAsia"/>
          <w:szCs w:val="28"/>
        </w:rPr>
        <w:t>矿区主要发育有3条断层：F1断层、F2断层、F3断层，断层均远离开采范围内的矿体，矿床范围内断层不发育，断层对于矿床开采的影响小。</w:t>
      </w:r>
    </w:p>
    <w:p w14:paraId="7D247442">
      <w:pPr>
        <w:widowControl/>
        <w:adjustRightInd w:val="0"/>
        <w:snapToGrid w:val="0"/>
        <w:spacing w:line="360" w:lineRule="auto"/>
        <w:ind w:firstLine="560"/>
        <w:rPr>
          <w:szCs w:val="28"/>
        </w:rPr>
      </w:pPr>
      <w:r>
        <w:rPr>
          <w:rFonts w:hint="eastAsia"/>
          <w:szCs w:val="28"/>
        </w:rPr>
        <w:t>矿床属于以裂隙水充水为主水文地质条件中等类型。</w:t>
      </w:r>
    </w:p>
    <w:p w14:paraId="69CF939B">
      <w:pPr>
        <w:pStyle w:val="385"/>
        <w:numPr>
          <w:ilvl w:val="0"/>
          <w:numId w:val="0"/>
        </w:numPr>
        <w:adjustRightInd w:val="0"/>
        <w:snapToGrid w:val="0"/>
        <w:spacing w:before="0" w:after="0" w:line="360" w:lineRule="auto"/>
        <w:ind w:firstLine="562" w:firstLineChars="200"/>
        <w:outlineLvl w:val="9"/>
        <w:rPr>
          <w:szCs w:val="28"/>
        </w:rPr>
      </w:pPr>
      <w:r>
        <w:rPr>
          <w:rFonts w:hint="eastAsia"/>
          <w:szCs w:val="28"/>
        </w:rPr>
        <w:t>（4）矿床涌水量的预测</w:t>
      </w:r>
    </w:p>
    <w:p w14:paraId="74C81C9F">
      <w:pPr>
        <w:widowControl/>
        <w:adjustRightInd w:val="0"/>
        <w:snapToGrid w:val="0"/>
        <w:spacing w:line="360" w:lineRule="auto"/>
        <w:ind w:firstLine="560"/>
        <w:rPr>
          <w:rFonts w:cs="Times New Roman"/>
          <w:szCs w:val="28"/>
        </w:rPr>
      </w:pPr>
      <w:r>
        <w:rPr>
          <w:rFonts w:cs="Times New Roman"/>
          <w:szCs w:val="28"/>
        </w:rPr>
        <w:t>彭集铁矿分为彭集矿段与冯家庄矿段，开采范围为彭集矿段</w:t>
      </w:r>
      <w:bookmarkStart w:id="64" w:name="OLE_LINK8"/>
      <w:r>
        <w:rPr>
          <w:rFonts w:cs="Times New Roman"/>
          <w:szCs w:val="28"/>
        </w:rPr>
        <w:t>5~19勘探线</w:t>
      </w:r>
      <w:bookmarkEnd w:id="64"/>
      <w:r>
        <w:rPr>
          <w:rFonts w:cs="Times New Roman"/>
          <w:szCs w:val="28"/>
        </w:rPr>
        <w:t>-100m~-805m之间矿体和冯家庄矿段-100m~475m之间矿体。总规模为800万t/a，分期建设：</w:t>
      </w:r>
      <w:bookmarkStart w:id="65" w:name="OLE_LINK10"/>
      <w:r>
        <w:rPr>
          <w:rFonts w:cs="Times New Roman"/>
          <w:szCs w:val="28"/>
        </w:rPr>
        <w:t>一期开采彭集矿段-100m~475m之间矿体，</w:t>
      </w:r>
      <w:bookmarkEnd w:id="65"/>
      <w:r>
        <w:rPr>
          <w:rFonts w:cs="Times New Roman"/>
          <w:szCs w:val="28"/>
        </w:rPr>
        <w:t>建设规模800万t/a；</w:t>
      </w:r>
      <w:bookmarkStart w:id="66" w:name="OLE_LINK24"/>
      <w:r>
        <w:rPr>
          <w:rFonts w:cs="Times New Roman"/>
          <w:szCs w:val="28"/>
        </w:rPr>
        <w:t>二期开采彭集矿段-475m~-805m之间矿体和冯家庄矿段-100m~475m之间矿体，</w:t>
      </w:r>
      <w:bookmarkEnd w:id="66"/>
      <w:r>
        <w:rPr>
          <w:rFonts w:cs="Times New Roman"/>
          <w:szCs w:val="28"/>
        </w:rPr>
        <w:t>建设规模450万t/a。采用充填采矿法，分段高度为75m。开采顺序为自下而上，单阶段开采。一期矿体开采时，</w:t>
      </w:r>
      <w:bookmarkStart w:id="67" w:name="OLE_LINK12"/>
      <w:r>
        <w:rPr>
          <w:rFonts w:cs="Times New Roman"/>
          <w:szCs w:val="28"/>
        </w:rPr>
        <w:t>首采阶段为-400m~-475m，-505m为运输水平。</w:t>
      </w:r>
    </w:p>
    <w:bookmarkEnd w:id="67"/>
    <w:p w14:paraId="3BFEF77F">
      <w:pPr>
        <w:widowControl/>
        <w:adjustRightInd w:val="0"/>
        <w:snapToGrid w:val="0"/>
        <w:spacing w:line="360" w:lineRule="auto"/>
        <w:ind w:firstLine="560"/>
        <w:rPr>
          <w:rFonts w:cs="Times New Roman"/>
          <w:szCs w:val="28"/>
        </w:rPr>
      </w:pPr>
      <w:r>
        <w:rPr>
          <w:rFonts w:cs="Times New Roman"/>
          <w:szCs w:val="28"/>
        </w:rPr>
        <w:t>排水系统：（1）彭集矿段：</w:t>
      </w:r>
      <w:bookmarkStart w:id="68" w:name="OLE_LINK13"/>
      <w:r>
        <w:rPr>
          <w:rFonts w:cs="Times New Roman"/>
          <w:szCs w:val="28"/>
        </w:rPr>
        <w:t>一期在-505m水平设排水系统，一段式排水。</w:t>
      </w:r>
      <w:bookmarkEnd w:id="68"/>
      <w:bookmarkStart w:id="69" w:name="OLE_LINK25"/>
      <w:r>
        <w:rPr>
          <w:rFonts w:cs="Times New Roman"/>
          <w:szCs w:val="28"/>
        </w:rPr>
        <w:t>二期采用倒段排水方式，在-835m水平副井附近设排水系统，倒段至彭集-505m排水系统排至地表。</w:t>
      </w:r>
      <w:bookmarkEnd w:id="69"/>
      <w:r>
        <w:rPr>
          <w:rFonts w:cs="Times New Roman"/>
          <w:szCs w:val="28"/>
        </w:rPr>
        <w:t>（2）二期冯家庄：</w:t>
      </w:r>
      <w:bookmarkStart w:id="70" w:name="OLE_LINK27"/>
      <w:r>
        <w:rPr>
          <w:rFonts w:cs="Times New Roman"/>
          <w:szCs w:val="28"/>
        </w:rPr>
        <w:t>利用一期彭集矿段排水系统，井下涌水通过泄水井汇至-505m运输水平，水沟流至彭集矿段-505m水仓。</w:t>
      </w:r>
    </w:p>
    <w:bookmarkEnd w:id="70"/>
    <w:p w14:paraId="75575024">
      <w:pPr>
        <w:widowControl/>
        <w:adjustRightInd w:val="0"/>
        <w:snapToGrid w:val="0"/>
        <w:spacing w:line="360" w:lineRule="auto"/>
        <w:ind w:firstLine="560"/>
        <w:rPr>
          <w:rFonts w:cs="Times New Roman"/>
          <w:szCs w:val="28"/>
        </w:rPr>
      </w:pPr>
      <w:bookmarkStart w:id="71" w:name="OLE_LINK20"/>
      <w:r>
        <w:rPr>
          <w:rFonts w:hint="eastAsia" w:cs="Times New Roman"/>
          <w:szCs w:val="28"/>
        </w:rPr>
        <w:t>一期开采矿坑总涌水量计算结果见表</w:t>
      </w:r>
      <w:r>
        <w:rPr>
          <w:rFonts w:cs="Times New Roman"/>
          <w:szCs w:val="28"/>
        </w:rPr>
        <w:t>2.3-1</w:t>
      </w:r>
      <w:r>
        <w:rPr>
          <w:rFonts w:hint="eastAsia" w:cs="Times New Roman"/>
          <w:szCs w:val="28"/>
        </w:rPr>
        <w:t>。</w:t>
      </w:r>
    </w:p>
    <w:p w14:paraId="31AA7BF3">
      <w:pPr>
        <w:snapToGrid w:val="0"/>
        <w:spacing w:line="360" w:lineRule="auto"/>
        <w:ind w:firstLine="560"/>
        <w:jc w:val="center"/>
        <w:rPr>
          <w:rFonts w:asciiTheme="minorHAnsi" w:hAnsiTheme="minorHAnsi" w:cstheme="minorHAnsi"/>
        </w:rPr>
      </w:pPr>
      <w:r>
        <w:rPr>
          <w:rFonts w:hint="eastAsia" w:asciiTheme="minorHAnsi" w:hAnsiTheme="minorHAnsi" w:cstheme="minorHAnsi"/>
        </w:rPr>
        <w:t>表</w:t>
      </w:r>
      <w:r>
        <w:rPr>
          <w:rFonts w:asciiTheme="minorHAnsi" w:hAnsiTheme="minorHAnsi" w:cstheme="minorHAnsi"/>
        </w:rPr>
        <w:t xml:space="preserve">2.3-1  </w:t>
      </w:r>
      <w:r>
        <w:rPr>
          <w:rFonts w:hint="eastAsia" w:asciiTheme="minorHAnsi" w:hAnsiTheme="minorHAnsi" w:cstheme="minorHAnsi"/>
        </w:rPr>
        <w:t>一期</w:t>
      </w:r>
      <w:bookmarkStart w:id="72" w:name="OLE_LINK23"/>
      <w:r>
        <w:rPr>
          <w:rFonts w:hint="eastAsia" w:asciiTheme="minorHAnsi" w:hAnsiTheme="minorHAnsi" w:cstheme="minorHAnsi"/>
        </w:rPr>
        <w:t>开采</w:t>
      </w:r>
      <w:bookmarkEnd w:id="72"/>
      <w:r>
        <w:rPr>
          <w:rFonts w:hint="eastAsia" w:asciiTheme="minorHAnsi" w:hAnsiTheme="minorHAnsi" w:cstheme="minorHAnsi"/>
        </w:rPr>
        <w:t xml:space="preserve">矿坑总涌水量计算结果表                 </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4"/>
        <w:gridCol w:w="2190"/>
        <w:gridCol w:w="2192"/>
        <w:gridCol w:w="2398"/>
      </w:tblGrid>
      <w:tr w14:paraId="0D58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restart"/>
            <w:vAlign w:val="center"/>
          </w:tcPr>
          <w:p w14:paraId="7461F151">
            <w:pPr>
              <w:pStyle w:val="116"/>
              <w:rPr>
                <w:w w:val="90"/>
                <w:sz w:val="21"/>
              </w:rPr>
            </w:pPr>
            <w:r>
              <w:rPr>
                <w:w w:val="90"/>
                <w:sz w:val="21"/>
              </w:rPr>
              <w:t>排水水平</w:t>
            </w:r>
          </w:p>
          <w:p w14:paraId="6C739AAC">
            <w:pPr>
              <w:pStyle w:val="116"/>
              <w:adjustRightInd w:val="0"/>
              <w:snapToGrid w:val="0"/>
              <w:spacing w:line="240" w:lineRule="auto"/>
              <w:rPr>
                <w:sz w:val="21"/>
              </w:rPr>
            </w:pPr>
            <w:r>
              <w:rPr>
                <w:sz w:val="21"/>
              </w:rPr>
              <w:t>（m）</w:t>
            </w:r>
          </w:p>
        </w:tc>
        <w:tc>
          <w:tcPr>
            <w:tcW w:w="2303" w:type="pct"/>
            <w:gridSpan w:val="2"/>
            <w:vAlign w:val="center"/>
          </w:tcPr>
          <w:p w14:paraId="2A01A834">
            <w:pPr>
              <w:pStyle w:val="116"/>
              <w:adjustRightInd w:val="0"/>
              <w:snapToGrid w:val="0"/>
              <w:spacing w:line="240" w:lineRule="auto"/>
              <w:rPr>
                <w:sz w:val="21"/>
              </w:rPr>
            </w:pPr>
            <w:r>
              <w:rPr>
                <w:sz w:val="21"/>
              </w:rPr>
              <w:t>矿坑总涌水量（m</w:t>
            </w:r>
            <w:r>
              <w:rPr>
                <w:sz w:val="21"/>
                <w:vertAlign w:val="superscript"/>
              </w:rPr>
              <w:t>3</w:t>
            </w:r>
            <w:r>
              <w:rPr>
                <w:sz w:val="21"/>
              </w:rPr>
              <w:t>/d）</w:t>
            </w:r>
          </w:p>
        </w:tc>
        <w:tc>
          <w:tcPr>
            <w:tcW w:w="1260" w:type="pct"/>
            <w:vMerge w:val="restart"/>
            <w:vAlign w:val="center"/>
          </w:tcPr>
          <w:p w14:paraId="1C9EA623">
            <w:pPr>
              <w:pStyle w:val="116"/>
              <w:adjustRightInd w:val="0"/>
              <w:snapToGrid w:val="0"/>
              <w:spacing w:line="240" w:lineRule="auto"/>
              <w:rPr>
                <w:sz w:val="21"/>
              </w:rPr>
            </w:pPr>
            <w:r>
              <w:rPr>
                <w:sz w:val="21"/>
              </w:rPr>
              <w:t>备注</w:t>
            </w:r>
          </w:p>
        </w:tc>
      </w:tr>
      <w:tr w14:paraId="55AEC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continue"/>
            <w:vAlign w:val="center"/>
          </w:tcPr>
          <w:p w14:paraId="1240D453">
            <w:pPr>
              <w:pStyle w:val="116"/>
              <w:adjustRightInd w:val="0"/>
              <w:snapToGrid w:val="0"/>
              <w:spacing w:line="240" w:lineRule="auto"/>
              <w:rPr>
                <w:sz w:val="21"/>
              </w:rPr>
            </w:pPr>
          </w:p>
        </w:tc>
        <w:tc>
          <w:tcPr>
            <w:tcW w:w="1151" w:type="pct"/>
            <w:vAlign w:val="center"/>
          </w:tcPr>
          <w:p w14:paraId="5C1E2168">
            <w:pPr>
              <w:pStyle w:val="116"/>
              <w:adjustRightInd w:val="0"/>
              <w:snapToGrid w:val="0"/>
              <w:spacing w:line="240" w:lineRule="auto"/>
              <w:rPr>
                <w:sz w:val="21"/>
              </w:rPr>
            </w:pPr>
            <w:r>
              <w:rPr>
                <w:sz w:val="21"/>
              </w:rPr>
              <w:t>正常</w:t>
            </w:r>
          </w:p>
        </w:tc>
        <w:tc>
          <w:tcPr>
            <w:tcW w:w="1152" w:type="pct"/>
            <w:vAlign w:val="center"/>
          </w:tcPr>
          <w:p w14:paraId="0AF487E6">
            <w:pPr>
              <w:pStyle w:val="116"/>
              <w:adjustRightInd w:val="0"/>
              <w:snapToGrid w:val="0"/>
              <w:spacing w:line="240" w:lineRule="auto"/>
              <w:rPr>
                <w:sz w:val="21"/>
              </w:rPr>
            </w:pPr>
            <w:r>
              <w:rPr>
                <w:sz w:val="21"/>
              </w:rPr>
              <w:t>最大</w:t>
            </w:r>
          </w:p>
        </w:tc>
        <w:tc>
          <w:tcPr>
            <w:tcW w:w="1260" w:type="pct"/>
            <w:vMerge w:val="continue"/>
            <w:vAlign w:val="center"/>
          </w:tcPr>
          <w:p w14:paraId="620E325B">
            <w:pPr>
              <w:pStyle w:val="116"/>
              <w:adjustRightInd w:val="0"/>
              <w:snapToGrid w:val="0"/>
              <w:spacing w:line="240" w:lineRule="auto"/>
              <w:rPr>
                <w:sz w:val="21"/>
              </w:rPr>
            </w:pPr>
          </w:p>
        </w:tc>
      </w:tr>
      <w:tr w14:paraId="2E4C0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shd w:val="clear" w:color="auto" w:fill="FFFFFF"/>
            <w:noWrap/>
            <w:vAlign w:val="center"/>
          </w:tcPr>
          <w:p w14:paraId="2D5E9C84">
            <w:pPr>
              <w:pStyle w:val="116"/>
              <w:adjustRightInd w:val="0"/>
              <w:snapToGrid w:val="0"/>
              <w:spacing w:line="240" w:lineRule="auto"/>
              <w:rPr>
                <w:sz w:val="21"/>
              </w:rPr>
            </w:pPr>
            <w:r>
              <w:rPr>
                <w:sz w:val="21"/>
              </w:rPr>
              <w:t>-505</w:t>
            </w:r>
          </w:p>
        </w:tc>
        <w:tc>
          <w:tcPr>
            <w:tcW w:w="1151" w:type="pct"/>
            <w:shd w:val="clear" w:color="auto" w:fill="FFFFFF"/>
            <w:vAlign w:val="center"/>
          </w:tcPr>
          <w:p w14:paraId="21A72FD3">
            <w:pPr>
              <w:pStyle w:val="116"/>
              <w:adjustRightInd w:val="0"/>
              <w:snapToGrid w:val="0"/>
              <w:spacing w:line="240" w:lineRule="auto"/>
              <w:rPr>
                <w:sz w:val="21"/>
              </w:rPr>
            </w:pPr>
            <w:r>
              <w:rPr>
                <w:kern w:val="0"/>
                <w:sz w:val="21"/>
                <w:lang w:bidi="ar"/>
              </w:rPr>
              <w:t>9762</w:t>
            </w:r>
          </w:p>
        </w:tc>
        <w:tc>
          <w:tcPr>
            <w:tcW w:w="1152" w:type="pct"/>
            <w:shd w:val="clear" w:color="auto" w:fill="FFFFFF"/>
            <w:vAlign w:val="center"/>
          </w:tcPr>
          <w:p w14:paraId="25E26A26">
            <w:pPr>
              <w:pStyle w:val="116"/>
              <w:adjustRightInd w:val="0"/>
              <w:snapToGrid w:val="0"/>
              <w:spacing w:line="240" w:lineRule="auto"/>
              <w:rPr>
                <w:sz w:val="21"/>
              </w:rPr>
            </w:pPr>
            <w:r>
              <w:rPr>
                <w:sz w:val="21"/>
              </w:rPr>
              <w:t>14643</w:t>
            </w:r>
          </w:p>
        </w:tc>
        <w:tc>
          <w:tcPr>
            <w:tcW w:w="1260" w:type="pct"/>
            <w:shd w:val="clear" w:color="auto" w:fill="FFFFFF"/>
            <w:vAlign w:val="center"/>
          </w:tcPr>
          <w:p w14:paraId="7A0F0BFE">
            <w:pPr>
              <w:pStyle w:val="116"/>
              <w:adjustRightInd w:val="0"/>
              <w:snapToGrid w:val="0"/>
              <w:spacing w:line="240" w:lineRule="auto"/>
              <w:rPr>
                <w:sz w:val="21"/>
              </w:rPr>
            </w:pPr>
            <w:r>
              <w:rPr>
                <w:kern w:val="0"/>
                <w:sz w:val="21"/>
                <w:lang w:bidi="ar"/>
              </w:rPr>
              <w:t>彭集矿段</w:t>
            </w:r>
          </w:p>
        </w:tc>
      </w:tr>
      <w:bookmarkEnd w:id="71"/>
    </w:tbl>
    <w:p w14:paraId="4269534A">
      <w:pPr>
        <w:widowControl/>
        <w:adjustRightInd w:val="0"/>
        <w:snapToGrid w:val="0"/>
        <w:spacing w:line="360" w:lineRule="auto"/>
        <w:ind w:firstLine="560"/>
        <w:rPr>
          <w:rFonts w:cs="Times New Roman"/>
          <w:szCs w:val="28"/>
        </w:rPr>
      </w:pPr>
      <w:r>
        <w:rPr>
          <w:rFonts w:cs="Times New Roman"/>
          <w:szCs w:val="28"/>
        </w:rPr>
        <w:t>二期开采</w:t>
      </w:r>
      <w:bookmarkStart w:id="73" w:name="OLE_LINK26"/>
      <w:r>
        <w:rPr>
          <w:rFonts w:cs="Times New Roman"/>
          <w:szCs w:val="28"/>
        </w:rPr>
        <w:t>彭集矿段</w:t>
      </w:r>
      <w:bookmarkEnd w:id="73"/>
      <w:r>
        <w:rPr>
          <w:rFonts w:cs="Times New Roman"/>
          <w:szCs w:val="28"/>
        </w:rPr>
        <w:t>-475m~-795m之间矿体和冯家庄矿段-475m以上矿体。二期采用倒段排水方式，在彭集矿段-835m水平设排水系统，倒段至彭集</w:t>
      </w:r>
      <w:bookmarkStart w:id="74" w:name="OLE_LINK28"/>
      <w:r>
        <w:rPr>
          <w:rFonts w:cs="Times New Roman"/>
          <w:szCs w:val="28"/>
        </w:rPr>
        <w:t>-505m</w:t>
      </w:r>
      <w:bookmarkEnd w:id="74"/>
      <w:r>
        <w:rPr>
          <w:rFonts w:cs="Times New Roman"/>
          <w:szCs w:val="28"/>
        </w:rPr>
        <w:t>排水系统排至地表。冯家庄矿段二期开采利用一期彭集矿段-505m排水系统排水，井下涌水通过泄水井汇至-505m运输水平，水沟流至彭集矿段-505m水仓。</w:t>
      </w:r>
    </w:p>
    <w:p w14:paraId="45B461F9">
      <w:pPr>
        <w:widowControl/>
        <w:adjustRightInd w:val="0"/>
        <w:snapToGrid w:val="0"/>
        <w:spacing w:line="360" w:lineRule="auto"/>
        <w:ind w:firstLine="560"/>
        <w:rPr>
          <w:rFonts w:cs="Times New Roman"/>
          <w:szCs w:val="28"/>
        </w:rPr>
      </w:pPr>
      <w:r>
        <w:rPr>
          <w:rFonts w:hint="eastAsia" w:cs="Times New Roman"/>
          <w:szCs w:val="28"/>
        </w:rPr>
        <w:t>二</w:t>
      </w:r>
      <w:r>
        <w:rPr>
          <w:rFonts w:cs="Times New Roman"/>
          <w:szCs w:val="28"/>
        </w:rPr>
        <w:t>期开采矿坑总涌水量计算结果见表2.3-2。</w:t>
      </w:r>
    </w:p>
    <w:p w14:paraId="31C822E5">
      <w:pPr>
        <w:snapToGrid w:val="0"/>
        <w:spacing w:line="360" w:lineRule="auto"/>
        <w:ind w:firstLine="560"/>
        <w:jc w:val="center"/>
        <w:rPr>
          <w:rFonts w:asciiTheme="minorHAnsi" w:hAnsiTheme="minorHAnsi" w:cstheme="minorHAnsi"/>
        </w:rPr>
      </w:pPr>
      <w:r>
        <w:rPr>
          <w:rFonts w:asciiTheme="minorHAnsi" w:hAnsiTheme="minorHAnsi" w:cstheme="minorHAnsi"/>
        </w:rPr>
        <w:t xml:space="preserve">表2.3-2  二期开采矿坑总涌水量计算结果表              </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4"/>
        <w:gridCol w:w="2190"/>
        <w:gridCol w:w="2190"/>
        <w:gridCol w:w="2396"/>
      </w:tblGrid>
      <w:tr w14:paraId="36E97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restart"/>
            <w:vAlign w:val="center"/>
          </w:tcPr>
          <w:p w14:paraId="65EF8554">
            <w:pPr>
              <w:pStyle w:val="116"/>
              <w:adjustRightInd w:val="0"/>
              <w:snapToGrid w:val="0"/>
              <w:spacing w:line="240" w:lineRule="auto"/>
              <w:rPr>
                <w:w w:val="90"/>
                <w:sz w:val="21"/>
              </w:rPr>
            </w:pPr>
            <w:r>
              <w:rPr>
                <w:w w:val="90"/>
                <w:sz w:val="21"/>
              </w:rPr>
              <w:t>排水水平</w:t>
            </w:r>
          </w:p>
          <w:p w14:paraId="30DAD510">
            <w:pPr>
              <w:pStyle w:val="116"/>
              <w:adjustRightInd w:val="0"/>
              <w:snapToGrid w:val="0"/>
              <w:spacing w:line="240" w:lineRule="auto"/>
              <w:rPr>
                <w:sz w:val="21"/>
              </w:rPr>
            </w:pPr>
            <w:r>
              <w:rPr>
                <w:sz w:val="21"/>
              </w:rPr>
              <w:t>（m）</w:t>
            </w:r>
          </w:p>
        </w:tc>
        <w:tc>
          <w:tcPr>
            <w:tcW w:w="2302" w:type="pct"/>
            <w:gridSpan w:val="2"/>
            <w:vAlign w:val="center"/>
          </w:tcPr>
          <w:p w14:paraId="562C8FB7">
            <w:pPr>
              <w:pStyle w:val="116"/>
              <w:adjustRightInd w:val="0"/>
              <w:snapToGrid w:val="0"/>
              <w:spacing w:line="240" w:lineRule="auto"/>
              <w:rPr>
                <w:sz w:val="21"/>
              </w:rPr>
            </w:pPr>
            <w:r>
              <w:rPr>
                <w:sz w:val="21"/>
              </w:rPr>
              <w:t>矿坑总涌水量（m</w:t>
            </w:r>
            <w:r>
              <w:rPr>
                <w:sz w:val="21"/>
                <w:vertAlign w:val="superscript"/>
              </w:rPr>
              <w:t>3</w:t>
            </w:r>
            <w:r>
              <w:rPr>
                <w:sz w:val="21"/>
              </w:rPr>
              <w:t>/d）</w:t>
            </w:r>
          </w:p>
        </w:tc>
        <w:tc>
          <w:tcPr>
            <w:tcW w:w="1259" w:type="pct"/>
            <w:vMerge w:val="restart"/>
            <w:vAlign w:val="center"/>
          </w:tcPr>
          <w:p w14:paraId="06925592">
            <w:pPr>
              <w:pStyle w:val="116"/>
              <w:adjustRightInd w:val="0"/>
              <w:snapToGrid w:val="0"/>
              <w:spacing w:line="240" w:lineRule="auto"/>
              <w:rPr>
                <w:sz w:val="21"/>
              </w:rPr>
            </w:pPr>
            <w:r>
              <w:rPr>
                <w:sz w:val="21"/>
              </w:rPr>
              <w:t>备注</w:t>
            </w:r>
          </w:p>
        </w:tc>
      </w:tr>
      <w:tr w14:paraId="7FD63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continue"/>
            <w:vAlign w:val="center"/>
          </w:tcPr>
          <w:p w14:paraId="36D5090A">
            <w:pPr>
              <w:pStyle w:val="116"/>
              <w:adjustRightInd w:val="0"/>
              <w:snapToGrid w:val="0"/>
              <w:spacing w:line="240" w:lineRule="auto"/>
              <w:rPr>
                <w:sz w:val="21"/>
              </w:rPr>
            </w:pPr>
          </w:p>
        </w:tc>
        <w:tc>
          <w:tcPr>
            <w:tcW w:w="1151" w:type="pct"/>
            <w:vAlign w:val="center"/>
          </w:tcPr>
          <w:p w14:paraId="25C886A6">
            <w:pPr>
              <w:pStyle w:val="116"/>
              <w:adjustRightInd w:val="0"/>
              <w:snapToGrid w:val="0"/>
              <w:spacing w:line="240" w:lineRule="auto"/>
              <w:rPr>
                <w:sz w:val="21"/>
              </w:rPr>
            </w:pPr>
            <w:r>
              <w:rPr>
                <w:sz w:val="21"/>
              </w:rPr>
              <w:t>正常</w:t>
            </w:r>
          </w:p>
        </w:tc>
        <w:tc>
          <w:tcPr>
            <w:tcW w:w="1151" w:type="pct"/>
            <w:vAlign w:val="center"/>
          </w:tcPr>
          <w:p w14:paraId="18E242C2">
            <w:pPr>
              <w:pStyle w:val="116"/>
              <w:adjustRightInd w:val="0"/>
              <w:snapToGrid w:val="0"/>
              <w:spacing w:line="240" w:lineRule="auto"/>
              <w:rPr>
                <w:sz w:val="21"/>
              </w:rPr>
            </w:pPr>
            <w:r>
              <w:rPr>
                <w:sz w:val="21"/>
              </w:rPr>
              <w:t>最大</w:t>
            </w:r>
          </w:p>
        </w:tc>
        <w:tc>
          <w:tcPr>
            <w:tcW w:w="1259" w:type="pct"/>
            <w:vMerge w:val="continue"/>
            <w:vAlign w:val="center"/>
          </w:tcPr>
          <w:p w14:paraId="3B27C5A6">
            <w:pPr>
              <w:pStyle w:val="116"/>
              <w:adjustRightInd w:val="0"/>
              <w:snapToGrid w:val="0"/>
              <w:spacing w:line="240" w:lineRule="auto"/>
              <w:rPr>
                <w:sz w:val="21"/>
              </w:rPr>
            </w:pPr>
          </w:p>
        </w:tc>
      </w:tr>
      <w:tr w14:paraId="75E46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shd w:val="clear" w:color="auto" w:fill="FFFFFF"/>
            <w:noWrap/>
            <w:vAlign w:val="center"/>
          </w:tcPr>
          <w:p w14:paraId="58B4D724">
            <w:pPr>
              <w:pStyle w:val="116"/>
              <w:adjustRightInd w:val="0"/>
              <w:snapToGrid w:val="0"/>
              <w:spacing w:line="240" w:lineRule="auto"/>
              <w:rPr>
                <w:sz w:val="21"/>
              </w:rPr>
            </w:pPr>
            <w:r>
              <w:rPr>
                <w:sz w:val="21"/>
              </w:rPr>
              <w:t>-505</w:t>
            </w:r>
          </w:p>
        </w:tc>
        <w:tc>
          <w:tcPr>
            <w:tcW w:w="2112" w:type="dxa"/>
            <w:shd w:val="clear" w:color="auto" w:fill="FFFFFF"/>
            <w:vAlign w:val="center"/>
          </w:tcPr>
          <w:p w14:paraId="2CAE6ADA">
            <w:pPr>
              <w:adjustRightInd w:val="0"/>
              <w:snapToGrid w:val="0"/>
              <w:spacing w:line="240" w:lineRule="auto"/>
              <w:ind w:firstLine="0" w:firstLineChars="0"/>
              <w:jc w:val="center"/>
              <w:rPr>
                <w:rFonts w:cs="Times New Roman"/>
                <w:sz w:val="21"/>
              </w:rPr>
            </w:pPr>
            <w:r>
              <w:rPr>
                <w:rFonts w:cs="Times New Roman"/>
                <w:bCs/>
                <w:sz w:val="21"/>
                <w:szCs w:val="24"/>
              </w:rPr>
              <w:t>3554</w:t>
            </w:r>
          </w:p>
        </w:tc>
        <w:tc>
          <w:tcPr>
            <w:tcW w:w="2112" w:type="dxa"/>
            <w:shd w:val="clear" w:color="auto" w:fill="FFFFFF"/>
            <w:vAlign w:val="center"/>
          </w:tcPr>
          <w:p w14:paraId="3A4600D1">
            <w:pPr>
              <w:widowControl/>
              <w:adjustRightInd w:val="0"/>
              <w:snapToGrid w:val="0"/>
              <w:spacing w:line="240" w:lineRule="auto"/>
              <w:ind w:firstLine="0" w:firstLineChars="0"/>
              <w:jc w:val="center"/>
              <w:textAlignment w:val="bottom"/>
              <w:rPr>
                <w:rFonts w:cs="Times New Roman"/>
                <w:sz w:val="21"/>
              </w:rPr>
            </w:pPr>
            <w:r>
              <w:rPr>
                <w:rFonts w:cs="Times New Roman"/>
                <w:bCs/>
                <w:sz w:val="21"/>
                <w:szCs w:val="24"/>
              </w:rPr>
              <w:t>5332</w:t>
            </w:r>
          </w:p>
        </w:tc>
        <w:tc>
          <w:tcPr>
            <w:tcW w:w="1259" w:type="pct"/>
            <w:shd w:val="clear" w:color="auto" w:fill="FFFFFF"/>
            <w:vAlign w:val="center"/>
          </w:tcPr>
          <w:p w14:paraId="2A9A20AD">
            <w:pPr>
              <w:pStyle w:val="116"/>
              <w:adjustRightInd w:val="0"/>
              <w:snapToGrid w:val="0"/>
              <w:spacing w:line="240" w:lineRule="auto"/>
              <w:rPr>
                <w:sz w:val="21"/>
              </w:rPr>
            </w:pPr>
            <w:r>
              <w:rPr>
                <w:kern w:val="0"/>
                <w:sz w:val="21"/>
                <w:lang w:bidi="ar"/>
              </w:rPr>
              <w:t>冯家庄矿段</w:t>
            </w:r>
          </w:p>
        </w:tc>
      </w:tr>
      <w:tr w14:paraId="6091C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shd w:val="clear" w:color="auto" w:fill="FFFFFF"/>
            <w:noWrap/>
            <w:vAlign w:val="center"/>
          </w:tcPr>
          <w:p w14:paraId="55B765F2">
            <w:pPr>
              <w:pStyle w:val="116"/>
              <w:adjustRightInd w:val="0"/>
              <w:snapToGrid w:val="0"/>
              <w:spacing w:line="240" w:lineRule="auto"/>
              <w:rPr>
                <w:sz w:val="21"/>
              </w:rPr>
            </w:pPr>
            <w:r>
              <w:rPr>
                <w:sz w:val="21"/>
              </w:rPr>
              <w:t>-835</w:t>
            </w:r>
          </w:p>
        </w:tc>
        <w:tc>
          <w:tcPr>
            <w:tcW w:w="2112" w:type="dxa"/>
            <w:shd w:val="clear" w:color="auto" w:fill="FFFFFF"/>
            <w:vAlign w:val="center"/>
          </w:tcPr>
          <w:p w14:paraId="77CED87E">
            <w:pPr>
              <w:adjustRightInd w:val="0"/>
              <w:snapToGrid w:val="0"/>
              <w:spacing w:line="240" w:lineRule="auto"/>
              <w:ind w:firstLine="0" w:firstLineChars="0"/>
              <w:jc w:val="center"/>
              <w:rPr>
                <w:rFonts w:cs="Times New Roman"/>
                <w:kern w:val="0"/>
                <w:sz w:val="21"/>
                <w:szCs w:val="24"/>
                <w:lang w:bidi="ar"/>
              </w:rPr>
            </w:pPr>
            <w:r>
              <w:rPr>
                <w:rFonts w:cs="Times New Roman"/>
                <w:bCs/>
                <w:sz w:val="21"/>
                <w:szCs w:val="24"/>
              </w:rPr>
              <w:t>12180</w:t>
            </w:r>
          </w:p>
        </w:tc>
        <w:tc>
          <w:tcPr>
            <w:tcW w:w="2112" w:type="dxa"/>
            <w:shd w:val="clear" w:color="auto" w:fill="FFFFFF"/>
            <w:vAlign w:val="center"/>
          </w:tcPr>
          <w:p w14:paraId="555442F9">
            <w:pPr>
              <w:widowControl/>
              <w:adjustRightInd w:val="0"/>
              <w:snapToGrid w:val="0"/>
              <w:spacing w:line="240" w:lineRule="auto"/>
              <w:ind w:firstLine="0" w:firstLineChars="0"/>
              <w:jc w:val="center"/>
              <w:textAlignment w:val="bottom"/>
              <w:rPr>
                <w:rFonts w:cs="Times New Roman"/>
                <w:sz w:val="21"/>
              </w:rPr>
            </w:pPr>
            <w:r>
              <w:rPr>
                <w:rFonts w:cs="Times New Roman"/>
                <w:bCs/>
                <w:sz w:val="21"/>
                <w:szCs w:val="24"/>
              </w:rPr>
              <w:t>18279</w:t>
            </w:r>
          </w:p>
        </w:tc>
        <w:tc>
          <w:tcPr>
            <w:tcW w:w="1259" w:type="pct"/>
            <w:shd w:val="clear" w:color="auto" w:fill="FFFFFF"/>
            <w:vAlign w:val="center"/>
          </w:tcPr>
          <w:p w14:paraId="1C9A2533">
            <w:pPr>
              <w:pStyle w:val="116"/>
              <w:adjustRightInd w:val="0"/>
              <w:snapToGrid w:val="0"/>
              <w:spacing w:line="240" w:lineRule="auto"/>
              <w:rPr>
                <w:kern w:val="0"/>
                <w:sz w:val="21"/>
                <w:lang w:bidi="ar"/>
              </w:rPr>
            </w:pPr>
            <w:r>
              <w:rPr>
                <w:kern w:val="0"/>
                <w:sz w:val="21"/>
                <w:lang w:bidi="ar"/>
              </w:rPr>
              <w:t>彭集矿段</w:t>
            </w:r>
          </w:p>
        </w:tc>
      </w:tr>
      <w:tr w14:paraId="64D63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shd w:val="clear" w:color="auto" w:fill="FFFFFF"/>
            <w:noWrap/>
            <w:vAlign w:val="center"/>
          </w:tcPr>
          <w:p w14:paraId="53A81F3C">
            <w:pPr>
              <w:pStyle w:val="116"/>
              <w:adjustRightInd w:val="0"/>
              <w:snapToGrid w:val="0"/>
              <w:spacing w:line="240" w:lineRule="auto"/>
              <w:rPr>
                <w:sz w:val="21"/>
              </w:rPr>
            </w:pPr>
            <w:r>
              <w:rPr>
                <w:sz w:val="21"/>
              </w:rPr>
              <w:t>合计</w:t>
            </w:r>
          </w:p>
        </w:tc>
        <w:tc>
          <w:tcPr>
            <w:tcW w:w="2112" w:type="dxa"/>
            <w:shd w:val="clear" w:color="auto" w:fill="FFFFFF"/>
            <w:vAlign w:val="center"/>
          </w:tcPr>
          <w:p w14:paraId="73C31384">
            <w:pPr>
              <w:widowControl/>
              <w:adjustRightInd w:val="0"/>
              <w:snapToGrid w:val="0"/>
              <w:spacing w:line="240" w:lineRule="auto"/>
              <w:ind w:firstLine="0" w:firstLineChars="0"/>
              <w:jc w:val="center"/>
              <w:textAlignment w:val="center"/>
              <w:rPr>
                <w:rFonts w:cs="Times New Roman"/>
                <w:kern w:val="0"/>
                <w:sz w:val="21"/>
                <w:szCs w:val="24"/>
                <w:lang w:bidi="ar"/>
              </w:rPr>
            </w:pPr>
            <w:r>
              <w:rPr>
                <w:rFonts w:cs="Times New Roman"/>
                <w:kern w:val="0"/>
                <w:sz w:val="21"/>
                <w:szCs w:val="24"/>
                <w:lang w:bidi="ar"/>
              </w:rPr>
              <w:t>15734</w:t>
            </w:r>
          </w:p>
        </w:tc>
        <w:tc>
          <w:tcPr>
            <w:tcW w:w="2112" w:type="dxa"/>
            <w:shd w:val="clear" w:color="auto" w:fill="FFFFFF"/>
            <w:vAlign w:val="center"/>
          </w:tcPr>
          <w:p w14:paraId="1DD09D2D">
            <w:pPr>
              <w:widowControl/>
              <w:adjustRightInd w:val="0"/>
              <w:snapToGrid w:val="0"/>
              <w:spacing w:line="240" w:lineRule="auto"/>
              <w:ind w:firstLine="0" w:firstLineChars="0"/>
              <w:jc w:val="center"/>
              <w:textAlignment w:val="center"/>
              <w:rPr>
                <w:rFonts w:cs="Times New Roman"/>
                <w:sz w:val="21"/>
              </w:rPr>
            </w:pPr>
            <w:r>
              <w:rPr>
                <w:rFonts w:cs="Times New Roman"/>
                <w:kern w:val="0"/>
                <w:sz w:val="21"/>
                <w:szCs w:val="24"/>
                <w:lang w:bidi="ar"/>
              </w:rPr>
              <w:t>23611</w:t>
            </w:r>
          </w:p>
        </w:tc>
        <w:tc>
          <w:tcPr>
            <w:tcW w:w="1259" w:type="pct"/>
            <w:shd w:val="clear" w:color="auto" w:fill="FFFFFF"/>
            <w:vAlign w:val="center"/>
          </w:tcPr>
          <w:p w14:paraId="672A8250">
            <w:pPr>
              <w:pStyle w:val="116"/>
              <w:adjustRightInd w:val="0"/>
              <w:snapToGrid w:val="0"/>
              <w:spacing w:line="240" w:lineRule="auto"/>
              <w:rPr>
                <w:kern w:val="0"/>
                <w:sz w:val="21"/>
                <w:lang w:bidi="ar"/>
              </w:rPr>
            </w:pPr>
          </w:p>
        </w:tc>
      </w:tr>
    </w:tbl>
    <w:p w14:paraId="08CB209D">
      <w:pPr>
        <w:pStyle w:val="119"/>
        <w:spacing w:line="400" w:lineRule="exact"/>
        <w:ind w:firstLine="480"/>
        <w:rPr>
          <w:rFonts w:ascii="Times New Roman" w:hAnsi="Times New Roman"/>
          <w:sz w:val="24"/>
        </w:rPr>
      </w:pPr>
      <w:r>
        <w:rPr>
          <w:rFonts w:ascii="Times New Roman" w:hAnsi="Times New Roman"/>
          <w:sz w:val="24"/>
        </w:rPr>
        <w:t>注：表中不包含充填析出水和生产用水量。根据储量核实报告，最大地下水涌水量按照正常涌水量的1.5倍考虑。</w:t>
      </w:r>
    </w:p>
    <w:p w14:paraId="75F412C8">
      <w:pPr>
        <w:pStyle w:val="5"/>
        <w:spacing w:after="190"/>
        <w:rPr>
          <w:rFonts w:asciiTheme="minorHAnsi" w:hAnsiTheme="minorHAnsi" w:cstheme="minorHAnsi"/>
        </w:rPr>
      </w:pPr>
      <w:r>
        <w:rPr>
          <w:rFonts w:asciiTheme="minorHAnsi" w:hAnsiTheme="minorHAnsi" w:cstheme="minorHAnsi"/>
        </w:rPr>
        <w:t>2.3.3工程地质概况</w:t>
      </w:r>
    </w:p>
    <w:p w14:paraId="2F816F3B">
      <w:pPr>
        <w:autoSpaceDE w:val="0"/>
        <w:autoSpaceDN w:val="0"/>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（1）工程地质岩组特征</w:t>
      </w:r>
    </w:p>
    <w:p w14:paraId="2FADBDDC">
      <w:pPr>
        <w:widowControl/>
        <w:adjustRightInd w:val="0"/>
        <w:snapToGrid w:val="0"/>
        <w:spacing w:line="360" w:lineRule="auto"/>
        <w:ind w:firstLine="560"/>
        <w:rPr>
          <w:szCs w:val="28"/>
        </w:rPr>
      </w:pPr>
      <w:r>
        <w:rPr>
          <w:rFonts w:hint="eastAsia"/>
          <w:szCs w:val="28"/>
        </w:rPr>
        <w:t>矿区主要发育岩性有第四系粉土、含砂质粉质粘土、中粗砂、钙质粘土等，新太古代泰山岩群山草峪组黑云变粒岩、含磁铁角闪石英岩、磁铁角闪石英岩、含石榴石磁铁角闪石英岩等，其中，矿体岩性为磁铁角闪石英岩，矿体顶、底板岩性为黑云变粒岩、含磁铁角闪石英岩等。各岩组的岩体结构特征见表</w:t>
      </w:r>
      <w:r>
        <w:rPr>
          <w:szCs w:val="28"/>
        </w:rPr>
        <w:t>2.3-3</w:t>
      </w:r>
      <w:r>
        <w:rPr>
          <w:rFonts w:hint="eastAsia"/>
          <w:szCs w:val="28"/>
        </w:rPr>
        <w:t>。</w:t>
      </w:r>
    </w:p>
    <w:p w14:paraId="591F9DB5">
      <w:pPr>
        <w:snapToGrid w:val="0"/>
        <w:spacing w:line="360" w:lineRule="auto"/>
        <w:ind w:firstLine="560"/>
        <w:jc w:val="center"/>
        <w:rPr>
          <w:rFonts w:asciiTheme="minorHAnsi" w:hAnsiTheme="minorHAnsi" w:cstheme="minorHAnsi"/>
        </w:rPr>
      </w:pPr>
      <w:r>
        <w:rPr>
          <w:rFonts w:hint="eastAsia" w:asciiTheme="minorHAnsi" w:hAnsiTheme="minorHAnsi" w:cstheme="minorHAnsi"/>
        </w:rPr>
        <w:t>表2</w:t>
      </w:r>
      <w:r>
        <w:rPr>
          <w:rFonts w:asciiTheme="minorHAnsi" w:hAnsiTheme="minorHAnsi" w:cstheme="minorHAnsi"/>
        </w:rPr>
        <w:t>.3-3  矿区主要岩体特征表</w:t>
      </w:r>
    </w:p>
    <w:tbl>
      <w:tblPr>
        <w:tblStyle w:val="5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16"/>
        <w:gridCol w:w="7898"/>
      </w:tblGrid>
      <w:tr w14:paraId="7FC5D2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760" w:type="pct"/>
            <w:tcBorders>
              <w:left w:val="single" w:color="000000" w:sz="6" w:space="0"/>
              <w:bottom w:val="single" w:color="000000" w:sz="2" w:space="0"/>
              <w:right w:val="single" w:color="000000" w:sz="2" w:space="0"/>
            </w:tcBorders>
            <w:vAlign w:val="center"/>
          </w:tcPr>
          <w:p w14:paraId="2CF20A63">
            <w:pPr>
              <w:pStyle w:val="386"/>
              <w:rPr>
                <w:rFonts w:ascii="Times New Roman" w:hAnsi="Times New Roman"/>
                <w:sz w:val="21"/>
                <w:szCs w:val="21"/>
              </w:rPr>
            </w:pPr>
            <w:r>
              <w:rPr>
                <w:rFonts w:ascii="Times New Roman" w:hAnsi="Times New Roman"/>
                <w:sz w:val="21"/>
                <w:szCs w:val="21"/>
              </w:rPr>
              <w:t>岩组</w:t>
            </w:r>
          </w:p>
        </w:tc>
        <w:tc>
          <w:tcPr>
            <w:tcW w:w="4240" w:type="pct"/>
            <w:tcBorders>
              <w:left w:val="single" w:color="000000" w:sz="2" w:space="0"/>
              <w:bottom w:val="single" w:color="000000" w:sz="2" w:space="0"/>
              <w:right w:val="single" w:color="000000" w:sz="6" w:space="0"/>
            </w:tcBorders>
            <w:vAlign w:val="center"/>
          </w:tcPr>
          <w:p w14:paraId="5C854570">
            <w:pPr>
              <w:pStyle w:val="386"/>
              <w:rPr>
                <w:rFonts w:ascii="Times New Roman" w:hAnsi="Times New Roman"/>
                <w:sz w:val="21"/>
                <w:szCs w:val="21"/>
              </w:rPr>
            </w:pPr>
            <w:r>
              <w:rPr>
                <w:rFonts w:ascii="Times New Roman" w:hAnsi="Times New Roman"/>
                <w:sz w:val="21"/>
                <w:szCs w:val="21"/>
              </w:rPr>
              <w:t>结构特征</w:t>
            </w:r>
          </w:p>
        </w:tc>
      </w:tr>
      <w:tr w14:paraId="782B29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63369DA8">
            <w:pPr>
              <w:pStyle w:val="386"/>
              <w:jc w:val="both"/>
              <w:rPr>
                <w:rFonts w:ascii="Times New Roman" w:hAnsi="Times New Roman"/>
                <w:sz w:val="21"/>
                <w:szCs w:val="21"/>
              </w:rPr>
            </w:pPr>
            <w:r>
              <w:rPr>
                <w:rFonts w:ascii="Times New Roman" w:hAnsi="Times New Roman"/>
                <w:sz w:val="21"/>
                <w:szCs w:val="21"/>
              </w:rPr>
              <w:t>第四系粉土段</w:t>
            </w:r>
          </w:p>
        </w:tc>
        <w:tc>
          <w:tcPr>
            <w:tcW w:w="4240" w:type="pct"/>
            <w:tcBorders>
              <w:top w:val="single" w:color="000000" w:sz="2" w:space="0"/>
              <w:left w:val="single" w:color="000000" w:sz="2" w:space="0"/>
              <w:bottom w:val="single" w:color="000000" w:sz="2" w:space="0"/>
              <w:right w:val="single" w:color="000000" w:sz="6" w:space="0"/>
            </w:tcBorders>
            <w:vAlign w:val="center"/>
          </w:tcPr>
          <w:p w14:paraId="414B132B">
            <w:pPr>
              <w:pStyle w:val="386"/>
              <w:jc w:val="both"/>
              <w:rPr>
                <w:rFonts w:ascii="Times New Roman" w:hAnsi="Times New Roman"/>
                <w:sz w:val="21"/>
                <w:szCs w:val="21"/>
              </w:rPr>
            </w:pPr>
            <w:r>
              <w:rPr>
                <w:rFonts w:ascii="Times New Roman" w:hAnsi="Times New Roman"/>
                <w:sz w:val="21"/>
                <w:szCs w:val="21"/>
              </w:rPr>
              <w:t>厚度2.90～8.70m，松散～稍密，土质力学结构较差，摇震反应迅速，干强度低，韧性差。</w:t>
            </w:r>
          </w:p>
        </w:tc>
      </w:tr>
      <w:tr w14:paraId="1906E0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2AF6D928">
            <w:pPr>
              <w:pStyle w:val="386"/>
              <w:jc w:val="both"/>
              <w:rPr>
                <w:rFonts w:ascii="Times New Roman" w:hAnsi="Times New Roman"/>
                <w:sz w:val="21"/>
                <w:szCs w:val="21"/>
              </w:rPr>
            </w:pPr>
            <w:r>
              <w:rPr>
                <w:rFonts w:ascii="Times New Roman" w:hAnsi="Times New Roman"/>
                <w:sz w:val="21"/>
                <w:szCs w:val="21"/>
              </w:rPr>
              <w:t>第四系含砂质粉质粘土段</w:t>
            </w:r>
          </w:p>
        </w:tc>
        <w:tc>
          <w:tcPr>
            <w:tcW w:w="4240" w:type="pct"/>
            <w:tcBorders>
              <w:top w:val="single" w:color="000000" w:sz="2" w:space="0"/>
              <w:left w:val="single" w:color="000000" w:sz="2" w:space="0"/>
              <w:bottom w:val="single" w:color="000000" w:sz="2" w:space="0"/>
              <w:right w:val="single" w:color="000000" w:sz="6" w:space="0"/>
            </w:tcBorders>
            <w:vAlign w:val="center"/>
          </w:tcPr>
          <w:p w14:paraId="5AF58BF3">
            <w:pPr>
              <w:pStyle w:val="386"/>
              <w:jc w:val="both"/>
              <w:rPr>
                <w:rFonts w:ascii="Times New Roman" w:hAnsi="Times New Roman"/>
                <w:sz w:val="21"/>
                <w:szCs w:val="21"/>
              </w:rPr>
            </w:pPr>
            <w:r>
              <w:rPr>
                <w:rFonts w:ascii="Times New Roman" w:hAnsi="Times New Roman"/>
                <w:sz w:val="21"/>
                <w:szCs w:val="21"/>
              </w:rPr>
              <w:t>厚度2.90～16.70m，饱和、可塑，力学结构较差，摇震微有反应，干强度中等，韧性中等。</w:t>
            </w:r>
          </w:p>
        </w:tc>
      </w:tr>
      <w:tr w14:paraId="72D0D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37ED543B">
            <w:pPr>
              <w:pStyle w:val="386"/>
              <w:jc w:val="both"/>
              <w:rPr>
                <w:rFonts w:ascii="Times New Roman" w:hAnsi="Times New Roman"/>
                <w:sz w:val="21"/>
                <w:szCs w:val="21"/>
              </w:rPr>
            </w:pPr>
            <w:r>
              <w:rPr>
                <w:rFonts w:ascii="Times New Roman" w:hAnsi="Times New Roman"/>
                <w:sz w:val="21"/>
                <w:szCs w:val="21"/>
              </w:rPr>
              <w:t>第四系中粗砂段</w:t>
            </w:r>
          </w:p>
        </w:tc>
        <w:tc>
          <w:tcPr>
            <w:tcW w:w="4240" w:type="pct"/>
            <w:tcBorders>
              <w:top w:val="single" w:color="000000" w:sz="2" w:space="0"/>
              <w:left w:val="single" w:color="000000" w:sz="2" w:space="0"/>
              <w:bottom w:val="single" w:color="000000" w:sz="2" w:space="0"/>
              <w:right w:val="single" w:color="000000" w:sz="6" w:space="0"/>
            </w:tcBorders>
            <w:vAlign w:val="center"/>
          </w:tcPr>
          <w:p w14:paraId="26C51C06">
            <w:pPr>
              <w:pStyle w:val="386"/>
              <w:jc w:val="both"/>
              <w:rPr>
                <w:rFonts w:ascii="Times New Roman" w:hAnsi="Times New Roman"/>
                <w:sz w:val="21"/>
                <w:szCs w:val="21"/>
              </w:rPr>
            </w:pPr>
            <w:r>
              <w:rPr>
                <w:rFonts w:ascii="Times New Roman" w:hAnsi="Times New Roman"/>
                <w:sz w:val="21"/>
                <w:szCs w:val="21"/>
              </w:rPr>
              <w:t>成分以长石、石英为主，力学结构一般，分选性差，磨圆度一般，透水性、富水性好，厚度一般4.40～24.50m。</w:t>
            </w:r>
          </w:p>
        </w:tc>
      </w:tr>
      <w:tr w14:paraId="41C873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3"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5188A9AE">
            <w:pPr>
              <w:pStyle w:val="386"/>
              <w:jc w:val="both"/>
              <w:rPr>
                <w:rFonts w:ascii="Times New Roman" w:hAnsi="Times New Roman"/>
                <w:sz w:val="21"/>
                <w:szCs w:val="21"/>
              </w:rPr>
            </w:pPr>
            <w:r>
              <w:rPr>
                <w:rFonts w:ascii="Times New Roman" w:hAnsi="Times New Roman"/>
                <w:sz w:val="21"/>
                <w:szCs w:val="21"/>
              </w:rPr>
              <w:t>第四系钙质粘土段</w:t>
            </w:r>
          </w:p>
        </w:tc>
        <w:tc>
          <w:tcPr>
            <w:tcW w:w="4240" w:type="pct"/>
            <w:tcBorders>
              <w:top w:val="single" w:color="000000" w:sz="2" w:space="0"/>
              <w:left w:val="single" w:color="000000" w:sz="2" w:space="0"/>
              <w:bottom w:val="single" w:color="000000" w:sz="2" w:space="0"/>
              <w:right w:val="single" w:color="000000" w:sz="6" w:space="0"/>
            </w:tcBorders>
            <w:vAlign w:val="center"/>
          </w:tcPr>
          <w:p w14:paraId="02E261A4">
            <w:pPr>
              <w:pStyle w:val="386"/>
              <w:jc w:val="both"/>
              <w:rPr>
                <w:rFonts w:ascii="Times New Roman" w:hAnsi="Times New Roman"/>
                <w:sz w:val="21"/>
                <w:szCs w:val="21"/>
              </w:rPr>
            </w:pPr>
            <w:r>
              <w:rPr>
                <w:rFonts w:ascii="Times New Roman" w:hAnsi="Times New Roman"/>
                <w:sz w:val="21"/>
                <w:szCs w:val="21"/>
              </w:rPr>
              <w:t>厚度一般4.60～65.52m，随深度增加铁锰结核、钙质结核及姜石的含量增多，底部碎石含量较多，碎石成分以石灰岩为主，自上而下从轻微胶结至中等胶结程度，透水性、富水性差，结构密实，力学强度较高。</w:t>
            </w:r>
          </w:p>
        </w:tc>
      </w:tr>
      <w:tr w14:paraId="6080D0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5"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1F6B3F09">
            <w:pPr>
              <w:pStyle w:val="386"/>
              <w:jc w:val="both"/>
              <w:rPr>
                <w:rFonts w:ascii="Times New Roman" w:hAnsi="Times New Roman"/>
                <w:sz w:val="21"/>
                <w:szCs w:val="21"/>
              </w:rPr>
            </w:pPr>
            <w:r>
              <w:rPr>
                <w:rFonts w:ascii="Times New Roman" w:hAnsi="Times New Roman"/>
                <w:sz w:val="21"/>
                <w:szCs w:val="21"/>
              </w:rPr>
              <w:t>风化基岩层</w:t>
            </w:r>
          </w:p>
        </w:tc>
        <w:tc>
          <w:tcPr>
            <w:tcW w:w="4240" w:type="pct"/>
            <w:tcBorders>
              <w:top w:val="single" w:color="000000" w:sz="2" w:space="0"/>
              <w:left w:val="single" w:color="000000" w:sz="2" w:space="0"/>
              <w:bottom w:val="single" w:color="000000" w:sz="2" w:space="0"/>
              <w:right w:val="single" w:color="000000" w:sz="6" w:space="0"/>
            </w:tcBorders>
            <w:vAlign w:val="center"/>
          </w:tcPr>
          <w:p w14:paraId="705DFB5B">
            <w:pPr>
              <w:pStyle w:val="386"/>
              <w:jc w:val="both"/>
              <w:rPr>
                <w:rFonts w:ascii="Times New Roman" w:hAnsi="Times New Roman"/>
                <w:sz w:val="21"/>
                <w:szCs w:val="21"/>
              </w:rPr>
            </w:pPr>
            <w:r>
              <w:rPr>
                <w:rFonts w:ascii="Times New Roman" w:hAnsi="Times New Roman"/>
                <w:sz w:val="21"/>
                <w:szCs w:val="21"/>
              </w:rPr>
              <w:t>厚度为9.1～76.3m，多呈中～强风化状态，岩心破碎，裂隙发育，RQD&lt;25%，岩体破碎，岩石饱和抗压强度（fr）一般为3.3Mpa，自然状态下抗剪强度凝聚力为2.3Mpa，内摩擦角40.1°，岩体质量差，岩体质量指标（M）&lt;0.01。</w:t>
            </w:r>
          </w:p>
        </w:tc>
      </w:tr>
      <w:tr w14:paraId="2C6BF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2"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78F491A0">
            <w:pPr>
              <w:pStyle w:val="386"/>
              <w:jc w:val="both"/>
              <w:rPr>
                <w:rFonts w:ascii="Times New Roman" w:hAnsi="Times New Roman"/>
                <w:sz w:val="21"/>
                <w:szCs w:val="21"/>
              </w:rPr>
            </w:pPr>
            <w:r>
              <w:rPr>
                <w:rFonts w:ascii="Times New Roman" w:hAnsi="Times New Roman"/>
                <w:sz w:val="21"/>
                <w:szCs w:val="21"/>
              </w:rPr>
              <w:t>黑云变粒岩</w:t>
            </w:r>
          </w:p>
        </w:tc>
        <w:tc>
          <w:tcPr>
            <w:tcW w:w="4240" w:type="pct"/>
            <w:tcBorders>
              <w:top w:val="single" w:color="000000" w:sz="2" w:space="0"/>
              <w:left w:val="single" w:color="000000" w:sz="2" w:space="0"/>
              <w:bottom w:val="single" w:color="000000" w:sz="2" w:space="0"/>
              <w:right w:val="single" w:color="000000" w:sz="6" w:space="0"/>
            </w:tcBorders>
            <w:vAlign w:val="center"/>
          </w:tcPr>
          <w:p w14:paraId="5983B2B7">
            <w:pPr>
              <w:pStyle w:val="386"/>
              <w:jc w:val="both"/>
              <w:rPr>
                <w:rFonts w:ascii="Times New Roman" w:hAnsi="Times New Roman"/>
                <w:sz w:val="21"/>
                <w:szCs w:val="21"/>
              </w:rPr>
            </w:pPr>
            <w:r>
              <w:rPr>
                <w:rFonts w:ascii="Times New Roman" w:hAnsi="Times New Roman"/>
                <w:sz w:val="21"/>
                <w:szCs w:val="21"/>
              </w:rPr>
              <w:t>为矿体顶板，裂隙不发育或呈闭合状，岩石呈块状，结构稳定，取样深度128.00～525.00 m，其饱和单轴抗压强度平均值为41.0～70.2Mpa，自然状态下抗剪强度凝聚力为4.4～11.2 Mpa，内摩擦角36.2～37.8°，顶板岩体质量中等，岩体质量指标（M）一般为0.12～0.2之间。</w:t>
            </w:r>
          </w:p>
        </w:tc>
      </w:tr>
      <w:tr w14:paraId="146EE6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9" w:hRule="atLeast"/>
          <w:jc w:val="center"/>
        </w:trPr>
        <w:tc>
          <w:tcPr>
            <w:tcW w:w="760" w:type="pct"/>
            <w:tcBorders>
              <w:top w:val="single" w:color="000000" w:sz="2" w:space="0"/>
              <w:left w:val="single" w:color="000000" w:sz="6" w:space="0"/>
              <w:bottom w:val="single" w:color="000000" w:sz="2" w:space="0"/>
              <w:right w:val="single" w:color="000000" w:sz="2" w:space="0"/>
            </w:tcBorders>
            <w:vAlign w:val="center"/>
          </w:tcPr>
          <w:p w14:paraId="4639B114">
            <w:pPr>
              <w:pStyle w:val="386"/>
              <w:jc w:val="both"/>
              <w:rPr>
                <w:rFonts w:ascii="Times New Roman" w:hAnsi="Times New Roman"/>
                <w:sz w:val="21"/>
                <w:szCs w:val="21"/>
              </w:rPr>
            </w:pPr>
            <w:r>
              <w:rPr>
                <w:rFonts w:ascii="Times New Roman" w:hAnsi="Times New Roman"/>
                <w:sz w:val="21"/>
                <w:szCs w:val="21"/>
              </w:rPr>
              <w:t>矿体</w:t>
            </w:r>
          </w:p>
        </w:tc>
        <w:tc>
          <w:tcPr>
            <w:tcW w:w="4240" w:type="pct"/>
            <w:tcBorders>
              <w:top w:val="single" w:color="000000" w:sz="2" w:space="0"/>
              <w:left w:val="single" w:color="000000" w:sz="2" w:space="0"/>
              <w:bottom w:val="single" w:color="000000" w:sz="2" w:space="0"/>
              <w:right w:val="single" w:color="000000" w:sz="6" w:space="0"/>
            </w:tcBorders>
            <w:vAlign w:val="center"/>
          </w:tcPr>
          <w:p w14:paraId="2E4B28F4">
            <w:pPr>
              <w:pStyle w:val="386"/>
              <w:jc w:val="both"/>
              <w:rPr>
                <w:rFonts w:ascii="Times New Roman" w:hAnsi="Times New Roman"/>
                <w:sz w:val="21"/>
                <w:szCs w:val="21"/>
              </w:rPr>
            </w:pPr>
            <w:r>
              <w:rPr>
                <w:rFonts w:ascii="Times New Roman" w:hAnsi="Times New Roman"/>
                <w:sz w:val="21"/>
                <w:szCs w:val="21"/>
              </w:rPr>
              <w:t>坚硬完整，取样深度140.00～590.00m，其饱和单轴抗压强度平均值为83.6～234.0Mpa，自然状态下抗剪强度凝聚力为9.1～18.5 Mpa，内摩擦角36.3～41.8°，矿层岩体质量中等，岩体质量指标（M）一般为0.15～0.66之间。</w:t>
            </w:r>
          </w:p>
        </w:tc>
      </w:tr>
      <w:tr w14:paraId="7CC33F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5" w:hRule="atLeast"/>
          <w:jc w:val="center"/>
        </w:trPr>
        <w:tc>
          <w:tcPr>
            <w:tcW w:w="760" w:type="pct"/>
            <w:tcBorders>
              <w:top w:val="single" w:color="000000" w:sz="2" w:space="0"/>
              <w:left w:val="single" w:color="000000" w:sz="6" w:space="0"/>
              <w:bottom w:val="single" w:color="000000" w:sz="6" w:space="0"/>
              <w:right w:val="single" w:color="000000" w:sz="2" w:space="0"/>
            </w:tcBorders>
            <w:vAlign w:val="center"/>
          </w:tcPr>
          <w:p w14:paraId="7D901EEA">
            <w:pPr>
              <w:pStyle w:val="386"/>
              <w:jc w:val="both"/>
              <w:rPr>
                <w:rFonts w:ascii="Times New Roman" w:hAnsi="Times New Roman"/>
                <w:sz w:val="21"/>
                <w:szCs w:val="21"/>
              </w:rPr>
            </w:pPr>
            <w:r>
              <w:rPr>
                <w:rFonts w:ascii="Times New Roman" w:hAnsi="Times New Roman"/>
                <w:sz w:val="21"/>
                <w:szCs w:val="21"/>
              </w:rPr>
              <w:t>黑云变粒岩、含磁铁角闪石英岩</w:t>
            </w:r>
          </w:p>
        </w:tc>
        <w:tc>
          <w:tcPr>
            <w:tcW w:w="4240" w:type="pct"/>
            <w:tcBorders>
              <w:top w:val="single" w:color="000000" w:sz="2" w:space="0"/>
              <w:left w:val="single" w:color="000000" w:sz="2" w:space="0"/>
              <w:bottom w:val="single" w:color="000000" w:sz="6" w:space="0"/>
              <w:right w:val="single" w:color="000000" w:sz="6" w:space="0"/>
            </w:tcBorders>
            <w:vAlign w:val="center"/>
          </w:tcPr>
          <w:p w14:paraId="1CFEF9D6">
            <w:pPr>
              <w:pStyle w:val="386"/>
              <w:jc w:val="both"/>
              <w:rPr>
                <w:rFonts w:ascii="Times New Roman" w:hAnsi="Times New Roman"/>
                <w:sz w:val="21"/>
                <w:szCs w:val="21"/>
              </w:rPr>
            </w:pPr>
            <w:r>
              <w:rPr>
                <w:rFonts w:ascii="Times New Roman" w:hAnsi="Times New Roman"/>
                <w:sz w:val="21"/>
                <w:szCs w:val="21"/>
              </w:rPr>
              <w:t>为矿体底板，裂隙不发育，岩石呈块状，结构稳定，取样深度 192.00～636.00 m，其饱和单轴抗压强度平均值为42.1～59.2Mpa，自然状态下抗剪强度凝聚力为4.7～8.6 Mpa，内摩擦角38.6～42.5°，矿层底板岩体质量中等，岩体质量指标（M）一般为0.12～0.18 之间。</w:t>
            </w:r>
          </w:p>
        </w:tc>
      </w:tr>
    </w:tbl>
    <w:p w14:paraId="6977BE2F">
      <w:pPr>
        <w:widowControl/>
        <w:spacing w:line="360" w:lineRule="auto"/>
        <w:ind w:firstLine="560"/>
        <w:rPr>
          <w:szCs w:val="28"/>
        </w:rPr>
      </w:pPr>
      <w:r>
        <w:rPr>
          <w:rFonts w:hint="eastAsia"/>
          <w:szCs w:val="28"/>
        </w:rPr>
        <w:t>矿区第四系粘性土层，自上而下胶结性差至中等，其下部基岩风化层，岩心破碎，裂隙发育，RQD &lt;25%，岩体质量指标（M）&lt;0.01，新鲜基岩RQD多在85%以上，岩体完整性较好，岩体质量中等，岩体质量指标（M）一般为 0.12～0.66 之间。矿区岩石质量情况见表</w:t>
      </w:r>
      <w:r>
        <w:rPr>
          <w:szCs w:val="28"/>
        </w:rPr>
        <w:t>2.3-4</w:t>
      </w:r>
      <w:r>
        <w:rPr>
          <w:rFonts w:hint="eastAsia"/>
          <w:szCs w:val="28"/>
        </w:rPr>
        <w:t>。</w:t>
      </w:r>
    </w:p>
    <w:p w14:paraId="0BDE7826">
      <w:pPr>
        <w:snapToGrid w:val="0"/>
        <w:spacing w:line="360" w:lineRule="auto"/>
        <w:ind w:firstLine="560"/>
        <w:jc w:val="center"/>
        <w:rPr>
          <w:rFonts w:asciiTheme="minorHAnsi" w:hAnsiTheme="minorHAnsi" w:cstheme="minorHAnsi"/>
        </w:rPr>
      </w:pPr>
      <w:r>
        <w:rPr>
          <w:rFonts w:hint="eastAsia" w:asciiTheme="minorHAnsi" w:hAnsiTheme="minorHAnsi" w:cstheme="minorHAnsi"/>
        </w:rPr>
        <w:t>表2</w:t>
      </w:r>
      <w:r>
        <w:rPr>
          <w:rFonts w:asciiTheme="minorHAnsi" w:hAnsiTheme="minorHAnsi" w:cstheme="minorHAnsi"/>
        </w:rPr>
        <w:t xml:space="preserve">.3-4 </w:t>
      </w:r>
      <w:r>
        <w:rPr>
          <w:rFonts w:hint="eastAsia" w:asciiTheme="minorHAnsi" w:hAnsiTheme="minorHAnsi" w:cstheme="minorHAnsi"/>
        </w:rPr>
        <w:t>矿区岩石质量等级统计表</w:t>
      </w:r>
    </w:p>
    <w:tbl>
      <w:tblPr>
        <w:tblStyle w:val="5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21"/>
        <w:gridCol w:w="1105"/>
        <w:gridCol w:w="1821"/>
        <w:gridCol w:w="1223"/>
        <w:gridCol w:w="1223"/>
        <w:gridCol w:w="1521"/>
      </w:tblGrid>
      <w:tr w14:paraId="2C538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jc w:val="center"/>
        </w:trPr>
        <w:tc>
          <w:tcPr>
            <w:tcW w:w="1299" w:type="pct"/>
            <w:tcBorders>
              <w:left w:val="single" w:color="000000" w:sz="8" w:space="0"/>
              <w:bottom w:val="single" w:color="000000" w:sz="8" w:space="0"/>
              <w:right w:val="single" w:color="000000" w:sz="8" w:space="0"/>
            </w:tcBorders>
            <w:vAlign w:val="center"/>
          </w:tcPr>
          <w:p w14:paraId="70B3F230">
            <w:pPr>
              <w:pStyle w:val="386"/>
              <w:rPr>
                <w:rFonts w:ascii="Times New Roman" w:hAnsi="Times New Roman"/>
                <w:sz w:val="21"/>
                <w:szCs w:val="21"/>
              </w:rPr>
            </w:pPr>
            <w:r>
              <w:rPr>
                <w:rFonts w:ascii="Times New Roman" w:hAnsi="Times New Roman"/>
                <w:sz w:val="21"/>
                <w:szCs w:val="21"/>
              </w:rPr>
              <w:t>岩石名称</w:t>
            </w:r>
          </w:p>
        </w:tc>
        <w:tc>
          <w:tcPr>
            <w:tcW w:w="593" w:type="pct"/>
            <w:tcBorders>
              <w:left w:val="single" w:color="000000" w:sz="8" w:space="0"/>
              <w:bottom w:val="single" w:color="000000" w:sz="8" w:space="0"/>
              <w:right w:val="single" w:color="000000" w:sz="8" w:space="0"/>
            </w:tcBorders>
            <w:vAlign w:val="center"/>
          </w:tcPr>
          <w:p w14:paraId="425F17F8">
            <w:pPr>
              <w:pStyle w:val="386"/>
              <w:rPr>
                <w:rFonts w:ascii="Times New Roman" w:hAnsi="Times New Roman"/>
                <w:sz w:val="21"/>
                <w:szCs w:val="21"/>
              </w:rPr>
            </w:pPr>
            <w:r>
              <w:rPr>
                <w:rFonts w:ascii="Times New Roman" w:hAnsi="Times New Roman"/>
                <w:sz w:val="21"/>
                <w:szCs w:val="21"/>
              </w:rPr>
              <w:t>RQD 值</w:t>
            </w:r>
          </w:p>
          <w:p w14:paraId="55275ABC">
            <w:pPr>
              <w:pStyle w:val="386"/>
              <w:rPr>
                <w:rFonts w:ascii="Times New Roman" w:hAnsi="Times New Roman"/>
                <w:sz w:val="21"/>
                <w:szCs w:val="21"/>
              </w:rPr>
            </w:pPr>
            <w:r>
              <w:rPr>
                <w:rFonts w:ascii="Times New Roman" w:hAnsi="Times New Roman"/>
                <w:sz w:val="21"/>
                <w:szCs w:val="21"/>
              </w:rPr>
              <w:t>（%）</w:t>
            </w:r>
          </w:p>
        </w:tc>
        <w:tc>
          <w:tcPr>
            <w:tcW w:w="977" w:type="pct"/>
            <w:tcBorders>
              <w:left w:val="single" w:color="000000" w:sz="8" w:space="0"/>
              <w:bottom w:val="single" w:color="000000" w:sz="8" w:space="0"/>
              <w:right w:val="single" w:color="000000" w:sz="8" w:space="0"/>
            </w:tcBorders>
            <w:vAlign w:val="center"/>
          </w:tcPr>
          <w:p w14:paraId="61D0CFBD">
            <w:pPr>
              <w:pStyle w:val="386"/>
              <w:rPr>
                <w:rFonts w:ascii="Times New Roman" w:hAnsi="Times New Roman"/>
                <w:sz w:val="21"/>
                <w:szCs w:val="21"/>
              </w:rPr>
            </w:pPr>
            <w:r>
              <w:rPr>
                <w:rFonts w:ascii="Times New Roman" w:hAnsi="Times New Roman"/>
                <w:sz w:val="21"/>
                <w:szCs w:val="21"/>
              </w:rPr>
              <w:t>岩体质量指标</w:t>
            </w:r>
          </w:p>
          <w:p w14:paraId="22BE5FA7">
            <w:pPr>
              <w:pStyle w:val="386"/>
              <w:rPr>
                <w:rFonts w:ascii="Times New Roman" w:hAnsi="Times New Roman"/>
                <w:sz w:val="21"/>
                <w:szCs w:val="21"/>
              </w:rPr>
            </w:pPr>
            <w:r>
              <w:rPr>
                <w:rFonts w:ascii="Times New Roman" w:hAnsi="Times New Roman"/>
                <w:sz w:val="21"/>
                <w:szCs w:val="21"/>
              </w:rPr>
              <w:t>（M）</w:t>
            </w:r>
          </w:p>
        </w:tc>
        <w:tc>
          <w:tcPr>
            <w:tcW w:w="656" w:type="pct"/>
            <w:tcBorders>
              <w:left w:val="single" w:color="000000" w:sz="8" w:space="0"/>
              <w:bottom w:val="single" w:color="000000" w:sz="8" w:space="0"/>
              <w:right w:val="single" w:color="000000" w:sz="8" w:space="0"/>
            </w:tcBorders>
            <w:vAlign w:val="center"/>
          </w:tcPr>
          <w:p w14:paraId="7C6842E9">
            <w:pPr>
              <w:pStyle w:val="386"/>
              <w:rPr>
                <w:rFonts w:ascii="Times New Roman" w:hAnsi="Times New Roman"/>
                <w:sz w:val="21"/>
                <w:szCs w:val="21"/>
              </w:rPr>
            </w:pPr>
            <w:r>
              <w:rPr>
                <w:rFonts w:ascii="Times New Roman" w:hAnsi="Times New Roman"/>
                <w:sz w:val="21"/>
                <w:szCs w:val="21"/>
              </w:rPr>
              <w:t>岩石质量</w:t>
            </w:r>
          </w:p>
          <w:p w14:paraId="46DBDC28">
            <w:pPr>
              <w:pStyle w:val="386"/>
              <w:rPr>
                <w:rFonts w:ascii="Times New Roman" w:hAnsi="Times New Roman"/>
                <w:sz w:val="21"/>
                <w:szCs w:val="21"/>
              </w:rPr>
            </w:pPr>
            <w:r>
              <w:rPr>
                <w:rFonts w:ascii="Times New Roman" w:hAnsi="Times New Roman"/>
                <w:sz w:val="21"/>
                <w:szCs w:val="21"/>
              </w:rPr>
              <w:t>等级</w:t>
            </w:r>
          </w:p>
        </w:tc>
        <w:tc>
          <w:tcPr>
            <w:tcW w:w="656" w:type="pct"/>
            <w:tcBorders>
              <w:left w:val="single" w:color="000000" w:sz="8" w:space="0"/>
              <w:bottom w:val="single" w:color="000000" w:sz="8" w:space="0"/>
              <w:right w:val="single" w:color="000000" w:sz="8" w:space="0"/>
            </w:tcBorders>
            <w:vAlign w:val="center"/>
          </w:tcPr>
          <w:p w14:paraId="7B99B994">
            <w:pPr>
              <w:pStyle w:val="386"/>
              <w:rPr>
                <w:rFonts w:ascii="Times New Roman" w:hAnsi="Times New Roman"/>
                <w:sz w:val="21"/>
                <w:szCs w:val="21"/>
              </w:rPr>
            </w:pPr>
            <w:r>
              <w:rPr>
                <w:rFonts w:ascii="Times New Roman" w:hAnsi="Times New Roman"/>
                <w:sz w:val="21"/>
                <w:szCs w:val="21"/>
              </w:rPr>
              <w:t>岩石质量</w:t>
            </w:r>
          </w:p>
          <w:p w14:paraId="537154CE">
            <w:pPr>
              <w:pStyle w:val="386"/>
              <w:rPr>
                <w:rFonts w:ascii="Times New Roman" w:hAnsi="Times New Roman"/>
                <w:sz w:val="21"/>
                <w:szCs w:val="21"/>
              </w:rPr>
            </w:pPr>
            <w:r>
              <w:rPr>
                <w:rFonts w:ascii="Times New Roman" w:hAnsi="Times New Roman"/>
                <w:sz w:val="21"/>
                <w:szCs w:val="21"/>
              </w:rPr>
              <w:t>描述</w:t>
            </w:r>
          </w:p>
        </w:tc>
        <w:tc>
          <w:tcPr>
            <w:tcW w:w="816" w:type="pct"/>
            <w:tcBorders>
              <w:left w:val="single" w:color="000000" w:sz="8" w:space="0"/>
              <w:bottom w:val="single" w:color="000000" w:sz="8" w:space="0"/>
              <w:right w:val="single" w:color="000000" w:sz="8" w:space="0"/>
            </w:tcBorders>
            <w:vAlign w:val="center"/>
          </w:tcPr>
          <w:p w14:paraId="3DCF4E5C">
            <w:pPr>
              <w:pStyle w:val="386"/>
              <w:rPr>
                <w:rFonts w:ascii="Times New Roman" w:hAnsi="Times New Roman"/>
                <w:sz w:val="21"/>
                <w:szCs w:val="21"/>
              </w:rPr>
            </w:pPr>
            <w:r>
              <w:rPr>
                <w:rFonts w:ascii="Times New Roman" w:hAnsi="Times New Roman"/>
                <w:sz w:val="21"/>
                <w:szCs w:val="21"/>
              </w:rPr>
              <w:t>岩体完整</w:t>
            </w:r>
          </w:p>
          <w:p w14:paraId="54FDEBFF">
            <w:pPr>
              <w:pStyle w:val="386"/>
              <w:rPr>
                <w:rFonts w:ascii="Times New Roman" w:hAnsi="Times New Roman"/>
                <w:sz w:val="21"/>
                <w:szCs w:val="21"/>
              </w:rPr>
            </w:pPr>
            <w:r>
              <w:rPr>
                <w:rFonts w:ascii="Times New Roman" w:hAnsi="Times New Roman"/>
                <w:sz w:val="21"/>
                <w:szCs w:val="21"/>
              </w:rPr>
              <w:t>评价</w:t>
            </w:r>
          </w:p>
        </w:tc>
      </w:tr>
      <w:tr w14:paraId="19252D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4"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1B9182D6">
            <w:pPr>
              <w:pStyle w:val="386"/>
              <w:rPr>
                <w:rFonts w:ascii="Times New Roman" w:hAnsi="Times New Roman"/>
                <w:sz w:val="21"/>
                <w:szCs w:val="21"/>
              </w:rPr>
            </w:pPr>
            <w:r>
              <w:rPr>
                <w:rFonts w:ascii="Times New Roman" w:hAnsi="Times New Roman"/>
                <w:sz w:val="21"/>
                <w:szCs w:val="21"/>
              </w:rPr>
              <w:t>粉土</w:t>
            </w:r>
          </w:p>
        </w:tc>
        <w:tc>
          <w:tcPr>
            <w:tcW w:w="593" w:type="pct"/>
            <w:tcBorders>
              <w:top w:val="single" w:color="000000" w:sz="8" w:space="0"/>
              <w:left w:val="single" w:color="000000" w:sz="8" w:space="0"/>
              <w:bottom w:val="single" w:color="000000" w:sz="8" w:space="0"/>
              <w:right w:val="single" w:color="000000" w:sz="8" w:space="0"/>
            </w:tcBorders>
            <w:vAlign w:val="center"/>
          </w:tcPr>
          <w:p w14:paraId="3854FE05">
            <w:pPr>
              <w:pStyle w:val="386"/>
              <w:rPr>
                <w:rFonts w:ascii="Times New Roman" w:hAnsi="Times New Roman"/>
                <w:sz w:val="21"/>
                <w:szCs w:val="21"/>
              </w:rPr>
            </w:pPr>
            <w:r>
              <w:rPr>
                <w:rFonts w:ascii="Times New Roman" w:hAnsi="Times New Roman"/>
                <w:sz w:val="21"/>
                <w:szCs w:val="21"/>
              </w:rPr>
              <w:t>﹣﹣</w:t>
            </w:r>
          </w:p>
        </w:tc>
        <w:tc>
          <w:tcPr>
            <w:tcW w:w="977" w:type="pct"/>
            <w:tcBorders>
              <w:top w:val="single" w:color="000000" w:sz="8" w:space="0"/>
              <w:left w:val="single" w:color="000000" w:sz="8" w:space="0"/>
              <w:bottom w:val="single" w:color="000000" w:sz="8" w:space="0"/>
              <w:right w:val="single" w:color="000000" w:sz="8" w:space="0"/>
            </w:tcBorders>
            <w:vAlign w:val="center"/>
          </w:tcPr>
          <w:p w14:paraId="2FA1DB16">
            <w:pPr>
              <w:pStyle w:val="386"/>
              <w:rPr>
                <w:rFonts w:ascii="Times New Roman" w:hAnsi="Times New Roman"/>
                <w:sz w:val="21"/>
                <w:szCs w:val="21"/>
              </w:rPr>
            </w:pPr>
            <w:r>
              <w:rPr>
                <w:rFonts w:ascii="Times New Roman" w:hAnsi="Times New Roman"/>
                <w:sz w:val="21"/>
                <w:szCs w:val="21"/>
              </w:rPr>
              <w:t>﹣﹣</w:t>
            </w:r>
          </w:p>
        </w:tc>
        <w:tc>
          <w:tcPr>
            <w:tcW w:w="656" w:type="pct"/>
            <w:tcBorders>
              <w:top w:val="single" w:color="000000" w:sz="8" w:space="0"/>
              <w:left w:val="single" w:color="000000" w:sz="8" w:space="0"/>
              <w:bottom w:val="single" w:color="000000" w:sz="8" w:space="0"/>
              <w:right w:val="single" w:color="000000" w:sz="8" w:space="0"/>
            </w:tcBorders>
            <w:vAlign w:val="center"/>
          </w:tcPr>
          <w:p w14:paraId="6F5EA997">
            <w:pPr>
              <w:pStyle w:val="386"/>
              <w:rPr>
                <w:rFonts w:ascii="Times New Roman" w:hAnsi="Times New Roman"/>
                <w:sz w:val="21"/>
                <w:szCs w:val="21"/>
              </w:rPr>
            </w:pPr>
            <w:r>
              <w:rPr>
                <w:rFonts w:ascii="Times New Roman" w:hAnsi="Times New Roman"/>
                <w:sz w:val="21"/>
                <w:szCs w:val="21"/>
              </w:rPr>
              <w:t>Ⅴ</w:t>
            </w:r>
          </w:p>
        </w:tc>
        <w:tc>
          <w:tcPr>
            <w:tcW w:w="656" w:type="pct"/>
            <w:tcBorders>
              <w:top w:val="single" w:color="000000" w:sz="8" w:space="0"/>
              <w:left w:val="single" w:color="000000" w:sz="8" w:space="0"/>
              <w:bottom w:val="single" w:color="000000" w:sz="8" w:space="0"/>
              <w:right w:val="single" w:color="000000" w:sz="8" w:space="0"/>
            </w:tcBorders>
            <w:vAlign w:val="center"/>
          </w:tcPr>
          <w:p w14:paraId="1D9CF474">
            <w:pPr>
              <w:pStyle w:val="386"/>
              <w:rPr>
                <w:rFonts w:ascii="Times New Roman" w:hAnsi="Times New Roman"/>
                <w:sz w:val="21"/>
                <w:szCs w:val="21"/>
              </w:rPr>
            </w:pPr>
            <w:r>
              <w:rPr>
                <w:rFonts w:ascii="Times New Roman" w:hAnsi="Times New Roman"/>
                <w:sz w:val="21"/>
                <w:szCs w:val="21"/>
              </w:rPr>
              <w:t>极劣</w:t>
            </w:r>
          </w:p>
        </w:tc>
        <w:tc>
          <w:tcPr>
            <w:tcW w:w="816" w:type="pct"/>
            <w:tcBorders>
              <w:top w:val="single" w:color="000000" w:sz="8" w:space="0"/>
              <w:left w:val="single" w:color="000000" w:sz="8" w:space="0"/>
              <w:bottom w:val="single" w:color="000000" w:sz="8" w:space="0"/>
              <w:right w:val="single" w:color="000000" w:sz="8" w:space="0"/>
            </w:tcBorders>
            <w:vAlign w:val="center"/>
          </w:tcPr>
          <w:p w14:paraId="295ABD84">
            <w:pPr>
              <w:pStyle w:val="386"/>
              <w:rPr>
                <w:rFonts w:ascii="Times New Roman" w:hAnsi="Times New Roman"/>
                <w:sz w:val="21"/>
                <w:szCs w:val="21"/>
              </w:rPr>
            </w:pPr>
            <w:r>
              <w:rPr>
                <w:rFonts w:ascii="Times New Roman" w:hAnsi="Times New Roman"/>
                <w:sz w:val="21"/>
                <w:szCs w:val="21"/>
              </w:rPr>
              <w:t>松散</w:t>
            </w:r>
          </w:p>
        </w:tc>
      </w:tr>
      <w:tr w14:paraId="19837E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4249723E">
            <w:pPr>
              <w:pStyle w:val="386"/>
              <w:rPr>
                <w:rFonts w:ascii="Times New Roman" w:hAnsi="Times New Roman"/>
                <w:sz w:val="21"/>
                <w:szCs w:val="21"/>
              </w:rPr>
            </w:pPr>
            <w:r>
              <w:rPr>
                <w:rFonts w:ascii="Times New Roman" w:hAnsi="Times New Roman"/>
                <w:sz w:val="21"/>
                <w:szCs w:val="21"/>
              </w:rPr>
              <w:t>含砂质粉质粘土</w:t>
            </w:r>
          </w:p>
        </w:tc>
        <w:tc>
          <w:tcPr>
            <w:tcW w:w="593" w:type="pct"/>
            <w:tcBorders>
              <w:top w:val="single" w:color="000000" w:sz="8" w:space="0"/>
              <w:left w:val="single" w:color="000000" w:sz="8" w:space="0"/>
              <w:bottom w:val="single" w:color="000000" w:sz="8" w:space="0"/>
              <w:right w:val="single" w:color="000000" w:sz="8" w:space="0"/>
            </w:tcBorders>
            <w:vAlign w:val="center"/>
          </w:tcPr>
          <w:p w14:paraId="16B0963C">
            <w:pPr>
              <w:pStyle w:val="386"/>
              <w:rPr>
                <w:rFonts w:ascii="Times New Roman" w:hAnsi="Times New Roman"/>
                <w:sz w:val="21"/>
                <w:szCs w:val="21"/>
              </w:rPr>
            </w:pPr>
            <w:r>
              <w:rPr>
                <w:rFonts w:ascii="Times New Roman" w:hAnsi="Times New Roman"/>
                <w:sz w:val="21"/>
                <w:szCs w:val="21"/>
              </w:rPr>
              <w:t>﹣﹣</w:t>
            </w:r>
          </w:p>
        </w:tc>
        <w:tc>
          <w:tcPr>
            <w:tcW w:w="977" w:type="pct"/>
            <w:tcBorders>
              <w:top w:val="single" w:color="000000" w:sz="8" w:space="0"/>
              <w:left w:val="single" w:color="000000" w:sz="8" w:space="0"/>
              <w:bottom w:val="single" w:color="000000" w:sz="8" w:space="0"/>
              <w:right w:val="single" w:color="000000" w:sz="8" w:space="0"/>
            </w:tcBorders>
            <w:vAlign w:val="center"/>
          </w:tcPr>
          <w:p w14:paraId="0F8029E2">
            <w:pPr>
              <w:pStyle w:val="386"/>
              <w:rPr>
                <w:rFonts w:ascii="Times New Roman" w:hAnsi="Times New Roman"/>
                <w:sz w:val="21"/>
                <w:szCs w:val="21"/>
              </w:rPr>
            </w:pPr>
            <w:r>
              <w:rPr>
                <w:rFonts w:ascii="Times New Roman" w:hAnsi="Times New Roman"/>
                <w:sz w:val="21"/>
                <w:szCs w:val="21"/>
              </w:rPr>
              <w:t>﹣﹣</w:t>
            </w:r>
          </w:p>
        </w:tc>
        <w:tc>
          <w:tcPr>
            <w:tcW w:w="656" w:type="pct"/>
            <w:tcBorders>
              <w:top w:val="single" w:color="000000" w:sz="8" w:space="0"/>
              <w:left w:val="single" w:color="000000" w:sz="8" w:space="0"/>
              <w:bottom w:val="single" w:color="000000" w:sz="8" w:space="0"/>
              <w:right w:val="single" w:color="000000" w:sz="8" w:space="0"/>
            </w:tcBorders>
            <w:vAlign w:val="center"/>
          </w:tcPr>
          <w:p w14:paraId="42D36B6A">
            <w:pPr>
              <w:pStyle w:val="386"/>
              <w:rPr>
                <w:rFonts w:ascii="Times New Roman" w:hAnsi="Times New Roman"/>
                <w:sz w:val="21"/>
                <w:szCs w:val="21"/>
              </w:rPr>
            </w:pPr>
            <w:r>
              <w:rPr>
                <w:rFonts w:ascii="Times New Roman" w:hAnsi="Times New Roman"/>
                <w:sz w:val="21"/>
                <w:szCs w:val="21"/>
              </w:rPr>
              <w:t>Ⅴ</w:t>
            </w:r>
          </w:p>
        </w:tc>
        <w:tc>
          <w:tcPr>
            <w:tcW w:w="656" w:type="pct"/>
            <w:tcBorders>
              <w:top w:val="single" w:color="000000" w:sz="8" w:space="0"/>
              <w:left w:val="single" w:color="000000" w:sz="8" w:space="0"/>
              <w:bottom w:val="single" w:color="000000" w:sz="8" w:space="0"/>
              <w:right w:val="single" w:color="000000" w:sz="8" w:space="0"/>
            </w:tcBorders>
            <w:vAlign w:val="center"/>
          </w:tcPr>
          <w:p w14:paraId="43CC90B5">
            <w:pPr>
              <w:pStyle w:val="386"/>
              <w:rPr>
                <w:rFonts w:ascii="Times New Roman" w:hAnsi="Times New Roman"/>
                <w:sz w:val="21"/>
                <w:szCs w:val="21"/>
              </w:rPr>
            </w:pPr>
            <w:r>
              <w:rPr>
                <w:rFonts w:ascii="Times New Roman" w:hAnsi="Times New Roman"/>
                <w:sz w:val="21"/>
                <w:szCs w:val="21"/>
              </w:rPr>
              <w:t>极劣</w:t>
            </w:r>
          </w:p>
        </w:tc>
        <w:tc>
          <w:tcPr>
            <w:tcW w:w="816" w:type="pct"/>
            <w:tcBorders>
              <w:top w:val="single" w:color="000000" w:sz="8" w:space="0"/>
              <w:left w:val="single" w:color="000000" w:sz="8" w:space="0"/>
              <w:bottom w:val="single" w:color="000000" w:sz="8" w:space="0"/>
              <w:right w:val="single" w:color="000000" w:sz="8" w:space="0"/>
            </w:tcBorders>
            <w:vAlign w:val="center"/>
          </w:tcPr>
          <w:p w14:paraId="19D8495F">
            <w:pPr>
              <w:pStyle w:val="386"/>
              <w:rPr>
                <w:rFonts w:ascii="Times New Roman" w:hAnsi="Times New Roman"/>
                <w:sz w:val="21"/>
                <w:szCs w:val="21"/>
              </w:rPr>
            </w:pPr>
            <w:r>
              <w:rPr>
                <w:rFonts w:ascii="Times New Roman" w:hAnsi="Times New Roman"/>
                <w:sz w:val="21"/>
                <w:szCs w:val="21"/>
              </w:rPr>
              <w:t>岩体破碎</w:t>
            </w:r>
          </w:p>
        </w:tc>
      </w:tr>
      <w:tr w14:paraId="61EA9B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64904F8B">
            <w:pPr>
              <w:pStyle w:val="386"/>
              <w:rPr>
                <w:rFonts w:ascii="Times New Roman" w:hAnsi="Times New Roman"/>
                <w:sz w:val="21"/>
                <w:szCs w:val="21"/>
              </w:rPr>
            </w:pPr>
            <w:r>
              <w:rPr>
                <w:rFonts w:ascii="Times New Roman" w:hAnsi="Times New Roman"/>
                <w:sz w:val="21"/>
                <w:szCs w:val="21"/>
              </w:rPr>
              <w:t>中粗砂</w:t>
            </w:r>
          </w:p>
        </w:tc>
        <w:tc>
          <w:tcPr>
            <w:tcW w:w="593" w:type="pct"/>
            <w:tcBorders>
              <w:top w:val="single" w:color="000000" w:sz="8" w:space="0"/>
              <w:left w:val="single" w:color="000000" w:sz="8" w:space="0"/>
              <w:bottom w:val="single" w:color="000000" w:sz="8" w:space="0"/>
              <w:right w:val="single" w:color="000000" w:sz="8" w:space="0"/>
            </w:tcBorders>
            <w:vAlign w:val="center"/>
          </w:tcPr>
          <w:p w14:paraId="0F487AF7">
            <w:pPr>
              <w:pStyle w:val="386"/>
              <w:rPr>
                <w:rFonts w:ascii="Times New Roman" w:hAnsi="Times New Roman"/>
                <w:sz w:val="21"/>
                <w:szCs w:val="21"/>
              </w:rPr>
            </w:pPr>
            <w:r>
              <w:rPr>
                <w:rFonts w:ascii="Times New Roman" w:hAnsi="Times New Roman"/>
                <w:sz w:val="21"/>
                <w:szCs w:val="21"/>
              </w:rPr>
              <w:t>﹣﹣</w:t>
            </w:r>
          </w:p>
        </w:tc>
        <w:tc>
          <w:tcPr>
            <w:tcW w:w="977" w:type="pct"/>
            <w:tcBorders>
              <w:top w:val="single" w:color="000000" w:sz="8" w:space="0"/>
              <w:left w:val="single" w:color="000000" w:sz="8" w:space="0"/>
              <w:bottom w:val="single" w:color="000000" w:sz="8" w:space="0"/>
              <w:right w:val="single" w:color="000000" w:sz="8" w:space="0"/>
            </w:tcBorders>
            <w:vAlign w:val="center"/>
          </w:tcPr>
          <w:p w14:paraId="6AA205AF">
            <w:pPr>
              <w:pStyle w:val="386"/>
              <w:rPr>
                <w:rFonts w:ascii="Times New Roman" w:hAnsi="Times New Roman"/>
                <w:sz w:val="21"/>
                <w:szCs w:val="21"/>
              </w:rPr>
            </w:pPr>
            <w:r>
              <w:rPr>
                <w:rFonts w:ascii="Times New Roman" w:hAnsi="Times New Roman"/>
                <w:sz w:val="21"/>
                <w:szCs w:val="21"/>
              </w:rPr>
              <w:t>﹣﹣</w:t>
            </w:r>
          </w:p>
        </w:tc>
        <w:tc>
          <w:tcPr>
            <w:tcW w:w="656" w:type="pct"/>
            <w:tcBorders>
              <w:top w:val="single" w:color="000000" w:sz="8" w:space="0"/>
              <w:left w:val="single" w:color="000000" w:sz="8" w:space="0"/>
              <w:bottom w:val="single" w:color="000000" w:sz="8" w:space="0"/>
              <w:right w:val="single" w:color="000000" w:sz="8" w:space="0"/>
            </w:tcBorders>
            <w:vAlign w:val="center"/>
          </w:tcPr>
          <w:p w14:paraId="64C0EE01">
            <w:pPr>
              <w:pStyle w:val="386"/>
              <w:rPr>
                <w:rFonts w:ascii="Times New Roman" w:hAnsi="Times New Roman"/>
                <w:sz w:val="21"/>
                <w:szCs w:val="21"/>
              </w:rPr>
            </w:pPr>
            <w:r>
              <w:rPr>
                <w:rFonts w:ascii="Times New Roman" w:hAnsi="Times New Roman"/>
                <w:sz w:val="21"/>
                <w:szCs w:val="21"/>
              </w:rPr>
              <w:t>Ⅴ</w:t>
            </w:r>
          </w:p>
        </w:tc>
        <w:tc>
          <w:tcPr>
            <w:tcW w:w="656" w:type="pct"/>
            <w:tcBorders>
              <w:top w:val="single" w:color="000000" w:sz="8" w:space="0"/>
              <w:left w:val="single" w:color="000000" w:sz="8" w:space="0"/>
              <w:bottom w:val="single" w:color="000000" w:sz="8" w:space="0"/>
              <w:right w:val="single" w:color="000000" w:sz="8" w:space="0"/>
            </w:tcBorders>
            <w:vAlign w:val="center"/>
          </w:tcPr>
          <w:p w14:paraId="587777A0">
            <w:pPr>
              <w:pStyle w:val="386"/>
              <w:rPr>
                <w:rFonts w:ascii="Times New Roman" w:hAnsi="Times New Roman"/>
                <w:sz w:val="21"/>
                <w:szCs w:val="21"/>
              </w:rPr>
            </w:pPr>
            <w:r>
              <w:rPr>
                <w:rFonts w:ascii="Times New Roman" w:hAnsi="Times New Roman"/>
                <w:sz w:val="21"/>
                <w:szCs w:val="21"/>
              </w:rPr>
              <w:t>极劣</w:t>
            </w:r>
          </w:p>
        </w:tc>
        <w:tc>
          <w:tcPr>
            <w:tcW w:w="816" w:type="pct"/>
            <w:tcBorders>
              <w:top w:val="single" w:color="000000" w:sz="8" w:space="0"/>
              <w:left w:val="single" w:color="000000" w:sz="8" w:space="0"/>
              <w:bottom w:val="single" w:color="000000" w:sz="8" w:space="0"/>
              <w:right w:val="single" w:color="000000" w:sz="8" w:space="0"/>
            </w:tcBorders>
            <w:vAlign w:val="center"/>
          </w:tcPr>
          <w:p w14:paraId="7A35181A">
            <w:pPr>
              <w:pStyle w:val="386"/>
              <w:rPr>
                <w:rFonts w:ascii="Times New Roman" w:hAnsi="Times New Roman"/>
                <w:sz w:val="21"/>
                <w:szCs w:val="21"/>
              </w:rPr>
            </w:pPr>
            <w:r>
              <w:rPr>
                <w:rFonts w:ascii="Times New Roman" w:hAnsi="Times New Roman"/>
                <w:sz w:val="21"/>
                <w:szCs w:val="21"/>
              </w:rPr>
              <w:t>岩体破碎</w:t>
            </w:r>
          </w:p>
        </w:tc>
      </w:tr>
      <w:tr w14:paraId="406A40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00611E79">
            <w:pPr>
              <w:pStyle w:val="386"/>
              <w:rPr>
                <w:rFonts w:ascii="Times New Roman" w:hAnsi="Times New Roman"/>
                <w:sz w:val="21"/>
                <w:szCs w:val="21"/>
              </w:rPr>
            </w:pPr>
            <w:r>
              <w:rPr>
                <w:rFonts w:ascii="Times New Roman" w:hAnsi="Times New Roman"/>
                <w:sz w:val="21"/>
                <w:szCs w:val="21"/>
              </w:rPr>
              <w:t>钙质粘土</w:t>
            </w:r>
          </w:p>
        </w:tc>
        <w:tc>
          <w:tcPr>
            <w:tcW w:w="593" w:type="pct"/>
            <w:tcBorders>
              <w:top w:val="single" w:color="000000" w:sz="8" w:space="0"/>
              <w:left w:val="single" w:color="000000" w:sz="8" w:space="0"/>
              <w:bottom w:val="single" w:color="000000" w:sz="8" w:space="0"/>
              <w:right w:val="single" w:color="000000" w:sz="8" w:space="0"/>
            </w:tcBorders>
            <w:vAlign w:val="center"/>
          </w:tcPr>
          <w:p w14:paraId="28DAB72A">
            <w:pPr>
              <w:pStyle w:val="386"/>
              <w:rPr>
                <w:rFonts w:ascii="Times New Roman" w:hAnsi="Times New Roman"/>
                <w:sz w:val="21"/>
                <w:szCs w:val="21"/>
              </w:rPr>
            </w:pPr>
            <w:r>
              <w:rPr>
                <w:rFonts w:ascii="Times New Roman" w:hAnsi="Times New Roman"/>
                <w:sz w:val="21"/>
                <w:szCs w:val="21"/>
              </w:rPr>
              <w:t>﹣﹣</w:t>
            </w:r>
          </w:p>
        </w:tc>
        <w:tc>
          <w:tcPr>
            <w:tcW w:w="977" w:type="pct"/>
            <w:tcBorders>
              <w:top w:val="single" w:color="000000" w:sz="8" w:space="0"/>
              <w:left w:val="single" w:color="000000" w:sz="8" w:space="0"/>
              <w:bottom w:val="single" w:color="000000" w:sz="8" w:space="0"/>
              <w:right w:val="single" w:color="000000" w:sz="8" w:space="0"/>
            </w:tcBorders>
            <w:vAlign w:val="center"/>
          </w:tcPr>
          <w:p w14:paraId="69B18A5E">
            <w:pPr>
              <w:pStyle w:val="386"/>
              <w:rPr>
                <w:rFonts w:ascii="Times New Roman" w:hAnsi="Times New Roman"/>
                <w:sz w:val="21"/>
                <w:szCs w:val="21"/>
              </w:rPr>
            </w:pPr>
            <w:r>
              <w:rPr>
                <w:rFonts w:ascii="Times New Roman" w:hAnsi="Times New Roman"/>
                <w:sz w:val="21"/>
                <w:szCs w:val="21"/>
              </w:rPr>
              <w:t>﹣﹣</w:t>
            </w:r>
          </w:p>
        </w:tc>
        <w:tc>
          <w:tcPr>
            <w:tcW w:w="656" w:type="pct"/>
            <w:tcBorders>
              <w:top w:val="single" w:color="000000" w:sz="8" w:space="0"/>
              <w:left w:val="single" w:color="000000" w:sz="8" w:space="0"/>
              <w:bottom w:val="single" w:color="000000" w:sz="8" w:space="0"/>
              <w:right w:val="single" w:color="000000" w:sz="8" w:space="0"/>
            </w:tcBorders>
            <w:vAlign w:val="center"/>
          </w:tcPr>
          <w:p w14:paraId="5B1624A5">
            <w:pPr>
              <w:pStyle w:val="386"/>
              <w:rPr>
                <w:rFonts w:ascii="Times New Roman" w:hAnsi="Times New Roman"/>
                <w:sz w:val="21"/>
                <w:szCs w:val="21"/>
              </w:rPr>
            </w:pPr>
            <w:r>
              <w:rPr>
                <w:rFonts w:ascii="Times New Roman" w:hAnsi="Times New Roman"/>
                <w:sz w:val="21"/>
                <w:szCs w:val="21"/>
              </w:rPr>
              <w:t>Ⅳ</w:t>
            </w:r>
          </w:p>
        </w:tc>
        <w:tc>
          <w:tcPr>
            <w:tcW w:w="656" w:type="pct"/>
            <w:tcBorders>
              <w:top w:val="single" w:color="000000" w:sz="8" w:space="0"/>
              <w:left w:val="single" w:color="000000" w:sz="8" w:space="0"/>
              <w:bottom w:val="single" w:color="000000" w:sz="8" w:space="0"/>
              <w:right w:val="single" w:color="000000" w:sz="8" w:space="0"/>
            </w:tcBorders>
            <w:vAlign w:val="center"/>
          </w:tcPr>
          <w:p w14:paraId="7B88A860">
            <w:pPr>
              <w:pStyle w:val="386"/>
              <w:rPr>
                <w:rFonts w:ascii="Times New Roman" w:hAnsi="Times New Roman"/>
                <w:sz w:val="21"/>
                <w:szCs w:val="21"/>
              </w:rPr>
            </w:pPr>
            <w:r>
              <w:rPr>
                <w:rFonts w:ascii="Times New Roman" w:hAnsi="Times New Roman"/>
                <w:sz w:val="21"/>
                <w:szCs w:val="21"/>
              </w:rPr>
              <w:t>劣</w:t>
            </w:r>
          </w:p>
        </w:tc>
        <w:tc>
          <w:tcPr>
            <w:tcW w:w="816" w:type="pct"/>
            <w:tcBorders>
              <w:top w:val="single" w:color="000000" w:sz="8" w:space="0"/>
              <w:left w:val="single" w:color="000000" w:sz="8" w:space="0"/>
              <w:bottom w:val="single" w:color="000000" w:sz="8" w:space="0"/>
              <w:right w:val="single" w:color="000000" w:sz="8" w:space="0"/>
            </w:tcBorders>
            <w:vAlign w:val="center"/>
          </w:tcPr>
          <w:p w14:paraId="44B0744B">
            <w:pPr>
              <w:pStyle w:val="386"/>
              <w:rPr>
                <w:rFonts w:ascii="Times New Roman" w:hAnsi="Times New Roman"/>
                <w:sz w:val="21"/>
                <w:szCs w:val="21"/>
              </w:rPr>
            </w:pPr>
            <w:r>
              <w:rPr>
                <w:rFonts w:ascii="Times New Roman" w:hAnsi="Times New Roman"/>
                <w:sz w:val="21"/>
                <w:szCs w:val="21"/>
              </w:rPr>
              <w:t>岩体破碎</w:t>
            </w:r>
          </w:p>
        </w:tc>
      </w:tr>
      <w:tr w14:paraId="6C0CB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472D03DF">
            <w:pPr>
              <w:pStyle w:val="386"/>
              <w:rPr>
                <w:rFonts w:ascii="Times New Roman" w:hAnsi="Times New Roman"/>
                <w:sz w:val="21"/>
                <w:szCs w:val="21"/>
              </w:rPr>
            </w:pPr>
            <w:r>
              <w:rPr>
                <w:rFonts w:ascii="Times New Roman" w:hAnsi="Times New Roman"/>
                <w:sz w:val="21"/>
                <w:szCs w:val="21"/>
              </w:rPr>
              <w:t>风化基岩</w:t>
            </w:r>
          </w:p>
        </w:tc>
        <w:tc>
          <w:tcPr>
            <w:tcW w:w="593" w:type="pct"/>
            <w:tcBorders>
              <w:top w:val="single" w:color="000000" w:sz="8" w:space="0"/>
              <w:left w:val="single" w:color="000000" w:sz="8" w:space="0"/>
              <w:bottom w:val="single" w:color="000000" w:sz="8" w:space="0"/>
              <w:right w:val="single" w:color="000000" w:sz="8" w:space="0"/>
            </w:tcBorders>
            <w:vAlign w:val="center"/>
          </w:tcPr>
          <w:p w14:paraId="24FA4FB7">
            <w:pPr>
              <w:pStyle w:val="386"/>
              <w:rPr>
                <w:rFonts w:ascii="Times New Roman" w:hAnsi="Times New Roman"/>
                <w:sz w:val="21"/>
                <w:szCs w:val="21"/>
              </w:rPr>
            </w:pPr>
            <w:r>
              <w:rPr>
                <w:rFonts w:ascii="Times New Roman" w:hAnsi="Times New Roman"/>
                <w:sz w:val="21"/>
                <w:szCs w:val="21"/>
              </w:rPr>
              <w:t>25</w:t>
            </w:r>
          </w:p>
        </w:tc>
        <w:tc>
          <w:tcPr>
            <w:tcW w:w="977" w:type="pct"/>
            <w:tcBorders>
              <w:top w:val="single" w:color="000000" w:sz="8" w:space="0"/>
              <w:left w:val="single" w:color="000000" w:sz="8" w:space="0"/>
              <w:bottom w:val="single" w:color="000000" w:sz="8" w:space="0"/>
              <w:right w:val="single" w:color="000000" w:sz="8" w:space="0"/>
            </w:tcBorders>
            <w:vAlign w:val="center"/>
          </w:tcPr>
          <w:p w14:paraId="31D0E0D2">
            <w:pPr>
              <w:pStyle w:val="386"/>
              <w:rPr>
                <w:rFonts w:ascii="Times New Roman" w:hAnsi="Times New Roman"/>
                <w:sz w:val="21"/>
                <w:szCs w:val="21"/>
              </w:rPr>
            </w:pPr>
            <w:r>
              <w:rPr>
                <w:rFonts w:ascii="Times New Roman" w:hAnsi="Times New Roman"/>
                <w:sz w:val="21"/>
                <w:szCs w:val="21"/>
              </w:rPr>
              <w:t>＜0.01</w:t>
            </w:r>
          </w:p>
        </w:tc>
        <w:tc>
          <w:tcPr>
            <w:tcW w:w="656" w:type="pct"/>
            <w:tcBorders>
              <w:top w:val="single" w:color="000000" w:sz="8" w:space="0"/>
              <w:left w:val="single" w:color="000000" w:sz="8" w:space="0"/>
              <w:bottom w:val="single" w:color="000000" w:sz="8" w:space="0"/>
              <w:right w:val="single" w:color="000000" w:sz="8" w:space="0"/>
            </w:tcBorders>
            <w:vAlign w:val="center"/>
          </w:tcPr>
          <w:p w14:paraId="354D9AC0">
            <w:pPr>
              <w:pStyle w:val="386"/>
              <w:rPr>
                <w:rFonts w:ascii="Times New Roman" w:hAnsi="Times New Roman"/>
                <w:sz w:val="21"/>
                <w:szCs w:val="21"/>
              </w:rPr>
            </w:pPr>
            <w:r>
              <w:rPr>
                <w:rFonts w:ascii="Times New Roman" w:hAnsi="Times New Roman"/>
                <w:sz w:val="21"/>
                <w:szCs w:val="21"/>
              </w:rPr>
              <w:t>Ⅳ</w:t>
            </w:r>
          </w:p>
        </w:tc>
        <w:tc>
          <w:tcPr>
            <w:tcW w:w="656" w:type="pct"/>
            <w:tcBorders>
              <w:top w:val="single" w:color="000000" w:sz="8" w:space="0"/>
              <w:left w:val="single" w:color="000000" w:sz="8" w:space="0"/>
              <w:bottom w:val="single" w:color="000000" w:sz="8" w:space="0"/>
              <w:right w:val="single" w:color="000000" w:sz="8" w:space="0"/>
            </w:tcBorders>
            <w:vAlign w:val="center"/>
          </w:tcPr>
          <w:p w14:paraId="7D369602">
            <w:pPr>
              <w:pStyle w:val="386"/>
              <w:rPr>
                <w:rFonts w:ascii="Times New Roman" w:hAnsi="Times New Roman"/>
                <w:sz w:val="21"/>
                <w:szCs w:val="21"/>
              </w:rPr>
            </w:pPr>
            <w:r>
              <w:rPr>
                <w:rFonts w:ascii="Times New Roman" w:hAnsi="Times New Roman"/>
                <w:sz w:val="21"/>
                <w:szCs w:val="21"/>
              </w:rPr>
              <w:t>劣</w:t>
            </w:r>
          </w:p>
        </w:tc>
        <w:tc>
          <w:tcPr>
            <w:tcW w:w="816" w:type="pct"/>
            <w:tcBorders>
              <w:top w:val="single" w:color="000000" w:sz="8" w:space="0"/>
              <w:left w:val="single" w:color="000000" w:sz="8" w:space="0"/>
              <w:bottom w:val="single" w:color="000000" w:sz="8" w:space="0"/>
              <w:right w:val="single" w:color="000000" w:sz="8" w:space="0"/>
            </w:tcBorders>
            <w:vAlign w:val="center"/>
          </w:tcPr>
          <w:p w14:paraId="3225B7E6">
            <w:pPr>
              <w:pStyle w:val="386"/>
              <w:rPr>
                <w:rFonts w:ascii="Times New Roman" w:hAnsi="Times New Roman"/>
                <w:sz w:val="21"/>
                <w:szCs w:val="21"/>
              </w:rPr>
            </w:pPr>
            <w:r>
              <w:rPr>
                <w:rFonts w:ascii="Times New Roman" w:hAnsi="Times New Roman"/>
                <w:sz w:val="21"/>
                <w:szCs w:val="21"/>
              </w:rPr>
              <w:t>岩体破碎</w:t>
            </w:r>
          </w:p>
        </w:tc>
      </w:tr>
      <w:tr w14:paraId="58A9E0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400A6762">
            <w:pPr>
              <w:pStyle w:val="386"/>
              <w:rPr>
                <w:rFonts w:ascii="Times New Roman" w:hAnsi="Times New Roman"/>
                <w:sz w:val="21"/>
                <w:szCs w:val="21"/>
              </w:rPr>
            </w:pPr>
            <w:r>
              <w:rPr>
                <w:rFonts w:ascii="Times New Roman" w:hAnsi="Times New Roman"/>
                <w:sz w:val="21"/>
                <w:szCs w:val="21"/>
              </w:rPr>
              <w:t>黑云变粒岩</w:t>
            </w:r>
          </w:p>
        </w:tc>
        <w:tc>
          <w:tcPr>
            <w:tcW w:w="593" w:type="pct"/>
            <w:tcBorders>
              <w:top w:val="single" w:color="000000" w:sz="8" w:space="0"/>
              <w:left w:val="single" w:color="000000" w:sz="8" w:space="0"/>
              <w:bottom w:val="single" w:color="000000" w:sz="8" w:space="0"/>
              <w:right w:val="single" w:color="000000" w:sz="8" w:space="0"/>
            </w:tcBorders>
            <w:vAlign w:val="center"/>
          </w:tcPr>
          <w:p w14:paraId="6A2CF8A2">
            <w:pPr>
              <w:pStyle w:val="386"/>
              <w:rPr>
                <w:rFonts w:ascii="Times New Roman" w:hAnsi="Times New Roman"/>
                <w:sz w:val="21"/>
                <w:szCs w:val="21"/>
              </w:rPr>
            </w:pPr>
            <w:r>
              <w:rPr>
                <w:rFonts w:ascii="Times New Roman" w:hAnsi="Times New Roman"/>
                <w:sz w:val="21"/>
                <w:szCs w:val="21"/>
              </w:rPr>
              <w:t>85</w:t>
            </w:r>
          </w:p>
        </w:tc>
        <w:tc>
          <w:tcPr>
            <w:tcW w:w="977" w:type="pct"/>
            <w:tcBorders>
              <w:top w:val="single" w:color="000000" w:sz="8" w:space="0"/>
              <w:left w:val="single" w:color="000000" w:sz="8" w:space="0"/>
              <w:bottom w:val="single" w:color="000000" w:sz="8" w:space="0"/>
              <w:right w:val="single" w:color="000000" w:sz="8" w:space="0"/>
            </w:tcBorders>
            <w:vAlign w:val="center"/>
          </w:tcPr>
          <w:p w14:paraId="5A4B5D7B">
            <w:pPr>
              <w:pStyle w:val="386"/>
              <w:rPr>
                <w:rFonts w:ascii="Times New Roman" w:hAnsi="Times New Roman"/>
                <w:sz w:val="21"/>
                <w:szCs w:val="21"/>
              </w:rPr>
            </w:pPr>
            <w:r>
              <w:rPr>
                <w:rFonts w:ascii="Times New Roman" w:hAnsi="Times New Roman"/>
                <w:sz w:val="21"/>
                <w:szCs w:val="21"/>
              </w:rPr>
              <w:t>0.12～0.2</w:t>
            </w:r>
          </w:p>
        </w:tc>
        <w:tc>
          <w:tcPr>
            <w:tcW w:w="656" w:type="pct"/>
            <w:tcBorders>
              <w:top w:val="single" w:color="000000" w:sz="8" w:space="0"/>
              <w:left w:val="single" w:color="000000" w:sz="8" w:space="0"/>
              <w:bottom w:val="single" w:color="000000" w:sz="8" w:space="0"/>
              <w:right w:val="single" w:color="000000" w:sz="8" w:space="0"/>
            </w:tcBorders>
            <w:vAlign w:val="center"/>
          </w:tcPr>
          <w:p w14:paraId="184E107A">
            <w:pPr>
              <w:pStyle w:val="386"/>
              <w:rPr>
                <w:rFonts w:ascii="Times New Roman" w:hAnsi="Times New Roman"/>
                <w:sz w:val="21"/>
                <w:szCs w:val="21"/>
              </w:rPr>
            </w:pPr>
            <w:r>
              <w:rPr>
                <w:rFonts w:ascii="Times New Roman" w:hAnsi="Times New Roman"/>
                <w:sz w:val="21"/>
                <w:szCs w:val="21"/>
              </w:rPr>
              <w:t>Ⅱ</w:t>
            </w:r>
          </w:p>
        </w:tc>
        <w:tc>
          <w:tcPr>
            <w:tcW w:w="656" w:type="pct"/>
            <w:tcBorders>
              <w:top w:val="single" w:color="000000" w:sz="8" w:space="0"/>
              <w:left w:val="single" w:color="000000" w:sz="8" w:space="0"/>
              <w:bottom w:val="single" w:color="000000" w:sz="8" w:space="0"/>
              <w:right w:val="single" w:color="000000" w:sz="8" w:space="0"/>
            </w:tcBorders>
            <w:vAlign w:val="center"/>
          </w:tcPr>
          <w:p w14:paraId="05DAD52A">
            <w:pPr>
              <w:pStyle w:val="386"/>
              <w:rPr>
                <w:rFonts w:ascii="Times New Roman" w:hAnsi="Times New Roman"/>
                <w:sz w:val="21"/>
                <w:szCs w:val="21"/>
              </w:rPr>
            </w:pPr>
            <w:r>
              <w:rPr>
                <w:rFonts w:ascii="Times New Roman" w:hAnsi="Times New Roman"/>
                <w:sz w:val="21"/>
                <w:szCs w:val="21"/>
              </w:rPr>
              <w:t>好</w:t>
            </w:r>
          </w:p>
        </w:tc>
        <w:tc>
          <w:tcPr>
            <w:tcW w:w="816" w:type="pct"/>
            <w:tcBorders>
              <w:top w:val="single" w:color="000000" w:sz="8" w:space="0"/>
              <w:left w:val="single" w:color="000000" w:sz="8" w:space="0"/>
              <w:bottom w:val="single" w:color="000000" w:sz="8" w:space="0"/>
              <w:right w:val="single" w:color="000000" w:sz="8" w:space="0"/>
            </w:tcBorders>
            <w:vAlign w:val="center"/>
          </w:tcPr>
          <w:p w14:paraId="3730729E">
            <w:pPr>
              <w:pStyle w:val="386"/>
              <w:rPr>
                <w:rFonts w:ascii="Times New Roman" w:hAnsi="Times New Roman"/>
                <w:sz w:val="21"/>
                <w:szCs w:val="21"/>
              </w:rPr>
            </w:pPr>
            <w:r>
              <w:rPr>
                <w:rFonts w:ascii="Times New Roman" w:hAnsi="Times New Roman"/>
                <w:sz w:val="21"/>
                <w:szCs w:val="21"/>
              </w:rPr>
              <w:t>岩体较完整</w:t>
            </w:r>
          </w:p>
        </w:tc>
      </w:tr>
      <w:tr w14:paraId="7C0BC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4"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0811BFEF">
            <w:pPr>
              <w:pStyle w:val="386"/>
              <w:rPr>
                <w:rFonts w:ascii="Times New Roman" w:hAnsi="Times New Roman"/>
                <w:sz w:val="21"/>
                <w:szCs w:val="21"/>
              </w:rPr>
            </w:pPr>
            <w:r>
              <w:rPr>
                <w:rFonts w:ascii="Times New Roman" w:hAnsi="Times New Roman"/>
                <w:sz w:val="21"/>
                <w:szCs w:val="21"/>
              </w:rPr>
              <w:t>含磁铁角闪石英岩</w:t>
            </w:r>
          </w:p>
        </w:tc>
        <w:tc>
          <w:tcPr>
            <w:tcW w:w="593" w:type="pct"/>
            <w:tcBorders>
              <w:top w:val="single" w:color="000000" w:sz="8" w:space="0"/>
              <w:left w:val="single" w:color="000000" w:sz="8" w:space="0"/>
              <w:bottom w:val="single" w:color="000000" w:sz="8" w:space="0"/>
              <w:right w:val="single" w:color="000000" w:sz="8" w:space="0"/>
            </w:tcBorders>
            <w:vAlign w:val="center"/>
          </w:tcPr>
          <w:p w14:paraId="2BFCED5F">
            <w:pPr>
              <w:pStyle w:val="386"/>
              <w:rPr>
                <w:rFonts w:ascii="Times New Roman" w:hAnsi="Times New Roman"/>
                <w:sz w:val="21"/>
                <w:szCs w:val="21"/>
              </w:rPr>
            </w:pPr>
            <w:r>
              <w:rPr>
                <w:rFonts w:ascii="Times New Roman" w:hAnsi="Times New Roman"/>
                <w:sz w:val="21"/>
                <w:szCs w:val="21"/>
              </w:rPr>
              <w:t>85</w:t>
            </w:r>
          </w:p>
        </w:tc>
        <w:tc>
          <w:tcPr>
            <w:tcW w:w="977" w:type="pct"/>
            <w:tcBorders>
              <w:top w:val="single" w:color="000000" w:sz="8" w:space="0"/>
              <w:left w:val="single" w:color="000000" w:sz="8" w:space="0"/>
              <w:bottom w:val="single" w:color="000000" w:sz="8" w:space="0"/>
              <w:right w:val="single" w:color="000000" w:sz="8" w:space="0"/>
            </w:tcBorders>
            <w:vAlign w:val="center"/>
          </w:tcPr>
          <w:p w14:paraId="212B1C2C">
            <w:pPr>
              <w:pStyle w:val="386"/>
              <w:rPr>
                <w:rFonts w:ascii="Times New Roman" w:hAnsi="Times New Roman"/>
                <w:sz w:val="21"/>
                <w:szCs w:val="21"/>
              </w:rPr>
            </w:pPr>
            <w:r>
              <w:rPr>
                <w:rFonts w:ascii="Times New Roman" w:hAnsi="Times New Roman"/>
                <w:sz w:val="21"/>
                <w:szCs w:val="21"/>
              </w:rPr>
              <w:t>0.12～0.2</w:t>
            </w:r>
          </w:p>
        </w:tc>
        <w:tc>
          <w:tcPr>
            <w:tcW w:w="656" w:type="pct"/>
            <w:tcBorders>
              <w:top w:val="single" w:color="000000" w:sz="8" w:space="0"/>
              <w:left w:val="single" w:color="000000" w:sz="8" w:space="0"/>
              <w:bottom w:val="single" w:color="000000" w:sz="8" w:space="0"/>
              <w:right w:val="single" w:color="000000" w:sz="8" w:space="0"/>
            </w:tcBorders>
            <w:vAlign w:val="center"/>
          </w:tcPr>
          <w:p w14:paraId="0DE4827A">
            <w:pPr>
              <w:pStyle w:val="386"/>
              <w:rPr>
                <w:rFonts w:ascii="Times New Roman" w:hAnsi="Times New Roman"/>
                <w:sz w:val="21"/>
                <w:szCs w:val="21"/>
              </w:rPr>
            </w:pPr>
            <w:r>
              <w:rPr>
                <w:rFonts w:ascii="Times New Roman" w:hAnsi="Times New Roman"/>
                <w:sz w:val="21"/>
                <w:szCs w:val="21"/>
              </w:rPr>
              <w:t>Ⅱ</w:t>
            </w:r>
          </w:p>
        </w:tc>
        <w:tc>
          <w:tcPr>
            <w:tcW w:w="656" w:type="pct"/>
            <w:tcBorders>
              <w:top w:val="single" w:color="000000" w:sz="8" w:space="0"/>
              <w:left w:val="single" w:color="000000" w:sz="8" w:space="0"/>
              <w:bottom w:val="single" w:color="000000" w:sz="8" w:space="0"/>
              <w:right w:val="single" w:color="000000" w:sz="8" w:space="0"/>
            </w:tcBorders>
            <w:vAlign w:val="center"/>
          </w:tcPr>
          <w:p w14:paraId="126E4888">
            <w:pPr>
              <w:pStyle w:val="386"/>
              <w:rPr>
                <w:rFonts w:ascii="Times New Roman" w:hAnsi="Times New Roman"/>
                <w:sz w:val="21"/>
                <w:szCs w:val="21"/>
              </w:rPr>
            </w:pPr>
            <w:r>
              <w:rPr>
                <w:rFonts w:ascii="Times New Roman" w:hAnsi="Times New Roman"/>
                <w:sz w:val="21"/>
                <w:szCs w:val="21"/>
              </w:rPr>
              <w:t>好</w:t>
            </w:r>
          </w:p>
        </w:tc>
        <w:tc>
          <w:tcPr>
            <w:tcW w:w="816" w:type="pct"/>
            <w:tcBorders>
              <w:top w:val="single" w:color="000000" w:sz="8" w:space="0"/>
              <w:left w:val="single" w:color="000000" w:sz="8" w:space="0"/>
              <w:bottom w:val="single" w:color="000000" w:sz="8" w:space="0"/>
              <w:right w:val="single" w:color="000000" w:sz="8" w:space="0"/>
            </w:tcBorders>
            <w:vAlign w:val="center"/>
          </w:tcPr>
          <w:p w14:paraId="2BE14474">
            <w:pPr>
              <w:pStyle w:val="386"/>
              <w:rPr>
                <w:rFonts w:ascii="Times New Roman" w:hAnsi="Times New Roman"/>
                <w:sz w:val="21"/>
                <w:szCs w:val="21"/>
              </w:rPr>
            </w:pPr>
            <w:r>
              <w:rPr>
                <w:rFonts w:ascii="Times New Roman" w:hAnsi="Times New Roman"/>
                <w:sz w:val="21"/>
                <w:szCs w:val="21"/>
              </w:rPr>
              <w:t>岩体较完整</w:t>
            </w:r>
          </w:p>
        </w:tc>
      </w:tr>
      <w:tr w14:paraId="2B439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6C05FB46">
            <w:pPr>
              <w:pStyle w:val="386"/>
              <w:rPr>
                <w:rFonts w:ascii="Times New Roman" w:hAnsi="Times New Roman"/>
                <w:sz w:val="21"/>
                <w:szCs w:val="21"/>
              </w:rPr>
            </w:pPr>
            <w:r>
              <w:rPr>
                <w:rFonts w:ascii="Times New Roman" w:hAnsi="Times New Roman"/>
                <w:sz w:val="21"/>
                <w:szCs w:val="21"/>
              </w:rPr>
              <w:t>磁铁角闪石英岩</w:t>
            </w:r>
          </w:p>
        </w:tc>
        <w:tc>
          <w:tcPr>
            <w:tcW w:w="593" w:type="pct"/>
            <w:tcBorders>
              <w:top w:val="single" w:color="000000" w:sz="8" w:space="0"/>
              <w:left w:val="single" w:color="000000" w:sz="8" w:space="0"/>
              <w:bottom w:val="single" w:color="000000" w:sz="8" w:space="0"/>
              <w:right w:val="single" w:color="000000" w:sz="8" w:space="0"/>
            </w:tcBorders>
            <w:vAlign w:val="center"/>
          </w:tcPr>
          <w:p w14:paraId="3C85A0A5">
            <w:pPr>
              <w:pStyle w:val="386"/>
              <w:rPr>
                <w:rFonts w:ascii="Times New Roman" w:hAnsi="Times New Roman"/>
                <w:sz w:val="21"/>
                <w:szCs w:val="21"/>
              </w:rPr>
            </w:pPr>
            <w:r>
              <w:rPr>
                <w:rFonts w:ascii="Times New Roman" w:hAnsi="Times New Roman"/>
                <w:sz w:val="21"/>
                <w:szCs w:val="21"/>
              </w:rPr>
              <w:t>85</w:t>
            </w:r>
          </w:p>
        </w:tc>
        <w:tc>
          <w:tcPr>
            <w:tcW w:w="977" w:type="pct"/>
            <w:tcBorders>
              <w:top w:val="single" w:color="000000" w:sz="8" w:space="0"/>
              <w:left w:val="single" w:color="000000" w:sz="8" w:space="0"/>
              <w:bottom w:val="single" w:color="000000" w:sz="8" w:space="0"/>
              <w:right w:val="single" w:color="000000" w:sz="8" w:space="0"/>
            </w:tcBorders>
            <w:vAlign w:val="center"/>
          </w:tcPr>
          <w:p w14:paraId="6D70A94A">
            <w:pPr>
              <w:pStyle w:val="386"/>
              <w:rPr>
                <w:rFonts w:ascii="Times New Roman" w:hAnsi="Times New Roman"/>
                <w:sz w:val="21"/>
                <w:szCs w:val="21"/>
              </w:rPr>
            </w:pPr>
            <w:r>
              <w:rPr>
                <w:rFonts w:ascii="Times New Roman" w:hAnsi="Times New Roman"/>
                <w:sz w:val="21"/>
                <w:szCs w:val="21"/>
              </w:rPr>
              <w:t>0.15～0.66</w:t>
            </w:r>
          </w:p>
        </w:tc>
        <w:tc>
          <w:tcPr>
            <w:tcW w:w="656" w:type="pct"/>
            <w:tcBorders>
              <w:top w:val="single" w:color="000000" w:sz="8" w:space="0"/>
              <w:left w:val="single" w:color="000000" w:sz="8" w:space="0"/>
              <w:bottom w:val="single" w:color="000000" w:sz="8" w:space="0"/>
              <w:right w:val="single" w:color="000000" w:sz="8" w:space="0"/>
            </w:tcBorders>
            <w:vAlign w:val="center"/>
          </w:tcPr>
          <w:p w14:paraId="161B6370">
            <w:pPr>
              <w:pStyle w:val="386"/>
              <w:rPr>
                <w:rFonts w:ascii="Times New Roman" w:hAnsi="Times New Roman"/>
                <w:sz w:val="21"/>
                <w:szCs w:val="21"/>
              </w:rPr>
            </w:pPr>
            <w:r>
              <w:rPr>
                <w:rFonts w:ascii="Times New Roman" w:hAnsi="Times New Roman"/>
                <w:sz w:val="21"/>
                <w:szCs w:val="21"/>
              </w:rPr>
              <w:t>Ⅱ</w:t>
            </w:r>
          </w:p>
        </w:tc>
        <w:tc>
          <w:tcPr>
            <w:tcW w:w="656" w:type="pct"/>
            <w:tcBorders>
              <w:top w:val="single" w:color="000000" w:sz="8" w:space="0"/>
              <w:left w:val="single" w:color="000000" w:sz="8" w:space="0"/>
              <w:bottom w:val="single" w:color="000000" w:sz="8" w:space="0"/>
              <w:right w:val="single" w:color="000000" w:sz="8" w:space="0"/>
            </w:tcBorders>
            <w:vAlign w:val="center"/>
          </w:tcPr>
          <w:p w14:paraId="33C2745D">
            <w:pPr>
              <w:pStyle w:val="386"/>
              <w:rPr>
                <w:rFonts w:ascii="Times New Roman" w:hAnsi="Times New Roman"/>
                <w:sz w:val="21"/>
                <w:szCs w:val="21"/>
              </w:rPr>
            </w:pPr>
            <w:r>
              <w:rPr>
                <w:rFonts w:ascii="Times New Roman" w:hAnsi="Times New Roman"/>
                <w:sz w:val="21"/>
                <w:szCs w:val="21"/>
              </w:rPr>
              <w:t>好</w:t>
            </w:r>
          </w:p>
        </w:tc>
        <w:tc>
          <w:tcPr>
            <w:tcW w:w="816" w:type="pct"/>
            <w:tcBorders>
              <w:top w:val="single" w:color="000000" w:sz="8" w:space="0"/>
              <w:left w:val="single" w:color="000000" w:sz="8" w:space="0"/>
              <w:bottom w:val="single" w:color="000000" w:sz="8" w:space="0"/>
              <w:right w:val="single" w:color="000000" w:sz="8" w:space="0"/>
            </w:tcBorders>
            <w:vAlign w:val="center"/>
          </w:tcPr>
          <w:p w14:paraId="45F6E1DC">
            <w:pPr>
              <w:pStyle w:val="386"/>
              <w:rPr>
                <w:rFonts w:ascii="Times New Roman" w:hAnsi="Times New Roman"/>
                <w:sz w:val="21"/>
                <w:szCs w:val="21"/>
              </w:rPr>
            </w:pPr>
            <w:r>
              <w:rPr>
                <w:rFonts w:ascii="Times New Roman" w:hAnsi="Times New Roman"/>
                <w:sz w:val="21"/>
                <w:szCs w:val="21"/>
              </w:rPr>
              <w:t>岩体较完整</w:t>
            </w:r>
          </w:p>
        </w:tc>
      </w:tr>
      <w:tr w14:paraId="5914E8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5B554EAA">
            <w:pPr>
              <w:pStyle w:val="386"/>
              <w:rPr>
                <w:rFonts w:ascii="Times New Roman" w:hAnsi="Times New Roman"/>
                <w:sz w:val="21"/>
                <w:szCs w:val="21"/>
              </w:rPr>
            </w:pPr>
            <w:r>
              <w:rPr>
                <w:rFonts w:ascii="Times New Roman" w:hAnsi="Times New Roman"/>
                <w:sz w:val="21"/>
                <w:szCs w:val="21"/>
              </w:rPr>
              <w:t>黑云变粒岩</w:t>
            </w:r>
          </w:p>
        </w:tc>
        <w:tc>
          <w:tcPr>
            <w:tcW w:w="593" w:type="pct"/>
            <w:tcBorders>
              <w:top w:val="single" w:color="000000" w:sz="8" w:space="0"/>
              <w:left w:val="single" w:color="000000" w:sz="8" w:space="0"/>
              <w:bottom w:val="single" w:color="000000" w:sz="8" w:space="0"/>
              <w:right w:val="single" w:color="000000" w:sz="8" w:space="0"/>
            </w:tcBorders>
            <w:vAlign w:val="center"/>
          </w:tcPr>
          <w:p w14:paraId="72B7AFE3">
            <w:pPr>
              <w:pStyle w:val="386"/>
              <w:rPr>
                <w:rFonts w:ascii="Times New Roman" w:hAnsi="Times New Roman"/>
                <w:sz w:val="21"/>
                <w:szCs w:val="21"/>
              </w:rPr>
            </w:pPr>
            <w:r>
              <w:rPr>
                <w:rFonts w:ascii="Times New Roman" w:hAnsi="Times New Roman"/>
                <w:sz w:val="21"/>
                <w:szCs w:val="21"/>
              </w:rPr>
              <w:t>85</w:t>
            </w:r>
          </w:p>
        </w:tc>
        <w:tc>
          <w:tcPr>
            <w:tcW w:w="977" w:type="pct"/>
            <w:tcBorders>
              <w:top w:val="single" w:color="000000" w:sz="8" w:space="0"/>
              <w:left w:val="single" w:color="000000" w:sz="8" w:space="0"/>
              <w:bottom w:val="single" w:color="000000" w:sz="8" w:space="0"/>
              <w:right w:val="single" w:color="000000" w:sz="8" w:space="0"/>
            </w:tcBorders>
            <w:vAlign w:val="center"/>
          </w:tcPr>
          <w:p w14:paraId="0BE39965">
            <w:pPr>
              <w:pStyle w:val="386"/>
              <w:rPr>
                <w:rFonts w:ascii="Times New Roman" w:hAnsi="Times New Roman"/>
                <w:sz w:val="21"/>
                <w:szCs w:val="21"/>
              </w:rPr>
            </w:pPr>
            <w:r>
              <w:rPr>
                <w:rFonts w:ascii="Times New Roman" w:hAnsi="Times New Roman"/>
                <w:sz w:val="21"/>
                <w:szCs w:val="21"/>
              </w:rPr>
              <w:t>0.12～0.18</w:t>
            </w:r>
          </w:p>
        </w:tc>
        <w:tc>
          <w:tcPr>
            <w:tcW w:w="656" w:type="pct"/>
            <w:tcBorders>
              <w:top w:val="single" w:color="000000" w:sz="8" w:space="0"/>
              <w:left w:val="single" w:color="000000" w:sz="8" w:space="0"/>
              <w:bottom w:val="single" w:color="000000" w:sz="8" w:space="0"/>
              <w:right w:val="single" w:color="000000" w:sz="8" w:space="0"/>
            </w:tcBorders>
            <w:vAlign w:val="center"/>
          </w:tcPr>
          <w:p w14:paraId="358069F8">
            <w:pPr>
              <w:pStyle w:val="386"/>
              <w:rPr>
                <w:rFonts w:ascii="Times New Roman" w:hAnsi="Times New Roman"/>
                <w:sz w:val="21"/>
                <w:szCs w:val="21"/>
              </w:rPr>
            </w:pPr>
            <w:r>
              <w:rPr>
                <w:rFonts w:ascii="Times New Roman" w:hAnsi="Times New Roman"/>
                <w:sz w:val="21"/>
                <w:szCs w:val="21"/>
              </w:rPr>
              <w:t>Ⅱ</w:t>
            </w:r>
          </w:p>
        </w:tc>
        <w:tc>
          <w:tcPr>
            <w:tcW w:w="656" w:type="pct"/>
            <w:tcBorders>
              <w:top w:val="single" w:color="000000" w:sz="8" w:space="0"/>
              <w:left w:val="single" w:color="000000" w:sz="8" w:space="0"/>
              <w:bottom w:val="single" w:color="000000" w:sz="8" w:space="0"/>
              <w:right w:val="single" w:color="000000" w:sz="8" w:space="0"/>
            </w:tcBorders>
            <w:vAlign w:val="center"/>
          </w:tcPr>
          <w:p w14:paraId="1A6E245D">
            <w:pPr>
              <w:pStyle w:val="386"/>
              <w:rPr>
                <w:rFonts w:ascii="Times New Roman" w:hAnsi="Times New Roman"/>
                <w:sz w:val="21"/>
                <w:szCs w:val="21"/>
              </w:rPr>
            </w:pPr>
            <w:r>
              <w:rPr>
                <w:rFonts w:ascii="Times New Roman" w:hAnsi="Times New Roman"/>
                <w:sz w:val="21"/>
                <w:szCs w:val="21"/>
              </w:rPr>
              <w:t>好</w:t>
            </w:r>
          </w:p>
        </w:tc>
        <w:tc>
          <w:tcPr>
            <w:tcW w:w="816" w:type="pct"/>
            <w:tcBorders>
              <w:top w:val="single" w:color="000000" w:sz="8" w:space="0"/>
              <w:left w:val="single" w:color="000000" w:sz="8" w:space="0"/>
              <w:bottom w:val="single" w:color="000000" w:sz="8" w:space="0"/>
              <w:right w:val="single" w:color="000000" w:sz="8" w:space="0"/>
            </w:tcBorders>
            <w:vAlign w:val="center"/>
          </w:tcPr>
          <w:p w14:paraId="0E75D263">
            <w:pPr>
              <w:pStyle w:val="386"/>
              <w:rPr>
                <w:rFonts w:ascii="Times New Roman" w:hAnsi="Times New Roman"/>
                <w:sz w:val="21"/>
                <w:szCs w:val="21"/>
              </w:rPr>
            </w:pPr>
            <w:r>
              <w:rPr>
                <w:rFonts w:ascii="Times New Roman" w:hAnsi="Times New Roman"/>
                <w:sz w:val="21"/>
                <w:szCs w:val="21"/>
              </w:rPr>
              <w:t>岩体较完整</w:t>
            </w:r>
          </w:p>
        </w:tc>
      </w:tr>
      <w:tr w14:paraId="10EE3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jc w:val="center"/>
        </w:trPr>
        <w:tc>
          <w:tcPr>
            <w:tcW w:w="1299" w:type="pct"/>
            <w:tcBorders>
              <w:top w:val="single" w:color="000000" w:sz="8" w:space="0"/>
              <w:left w:val="single" w:color="000000" w:sz="8" w:space="0"/>
              <w:bottom w:val="single" w:color="000000" w:sz="8" w:space="0"/>
              <w:right w:val="single" w:color="000000" w:sz="8" w:space="0"/>
            </w:tcBorders>
            <w:vAlign w:val="center"/>
          </w:tcPr>
          <w:p w14:paraId="121CA3E7">
            <w:pPr>
              <w:pStyle w:val="386"/>
              <w:rPr>
                <w:rFonts w:ascii="Times New Roman" w:hAnsi="Times New Roman"/>
                <w:sz w:val="21"/>
                <w:szCs w:val="21"/>
              </w:rPr>
            </w:pPr>
            <w:r>
              <w:rPr>
                <w:rFonts w:ascii="Times New Roman" w:hAnsi="Times New Roman"/>
                <w:sz w:val="21"/>
                <w:szCs w:val="21"/>
              </w:rPr>
              <w:t>含磁铁角闪石英岩</w:t>
            </w:r>
          </w:p>
        </w:tc>
        <w:tc>
          <w:tcPr>
            <w:tcW w:w="593" w:type="pct"/>
            <w:tcBorders>
              <w:top w:val="single" w:color="000000" w:sz="8" w:space="0"/>
              <w:left w:val="single" w:color="000000" w:sz="8" w:space="0"/>
              <w:bottom w:val="single" w:color="000000" w:sz="8" w:space="0"/>
              <w:right w:val="single" w:color="000000" w:sz="8" w:space="0"/>
            </w:tcBorders>
            <w:vAlign w:val="center"/>
          </w:tcPr>
          <w:p w14:paraId="6FC8914F">
            <w:pPr>
              <w:pStyle w:val="386"/>
              <w:rPr>
                <w:rFonts w:ascii="Times New Roman" w:hAnsi="Times New Roman"/>
                <w:sz w:val="21"/>
                <w:szCs w:val="21"/>
              </w:rPr>
            </w:pPr>
            <w:r>
              <w:rPr>
                <w:rFonts w:ascii="Times New Roman" w:hAnsi="Times New Roman"/>
                <w:sz w:val="21"/>
                <w:szCs w:val="21"/>
              </w:rPr>
              <w:t>85</w:t>
            </w:r>
          </w:p>
        </w:tc>
        <w:tc>
          <w:tcPr>
            <w:tcW w:w="977" w:type="pct"/>
            <w:tcBorders>
              <w:top w:val="single" w:color="000000" w:sz="8" w:space="0"/>
              <w:left w:val="single" w:color="000000" w:sz="8" w:space="0"/>
              <w:bottom w:val="single" w:color="000000" w:sz="8" w:space="0"/>
              <w:right w:val="single" w:color="000000" w:sz="8" w:space="0"/>
            </w:tcBorders>
            <w:vAlign w:val="center"/>
          </w:tcPr>
          <w:p w14:paraId="7C7B6CF8">
            <w:pPr>
              <w:pStyle w:val="386"/>
              <w:rPr>
                <w:rFonts w:ascii="Times New Roman" w:hAnsi="Times New Roman"/>
                <w:sz w:val="21"/>
                <w:szCs w:val="21"/>
              </w:rPr>
            </w:pPr>
            <w:r>
              <w:rPr>
                <w:rFonts w:ascii="Times New Roman" w:hAnsi="Times New Roman"/>
                <w:sz w:val="21"/>
                <w:szCs w:val="21"/>
              </w:rPr>
              <w:t>0.12～0.18</w:t>
            </w:r>
          </w:p>
        </w:tc>
        <w:tc>
          <w:tcPr>
            <w:tcW w:w="656" w:type="pct"/>
            <w:tcBorders>
              <w:top w:val="single" w:color="000000" w:sz="8" w:space="0"/>
              <w:left w:val="single" w:color="000000" w:sz="8" w:space="0"/>
              <w:bottom w:val="single" w:color="000000" w:sz="8" w:space="0"/>
              <w:right w:val="single" w:color="000000" w:sz="8" w:space="0"/>
            </w:tcBorders>
            <w:vAlign w:val="center"/>
          </w:tcPr>
          <w:p w14:paraId="26106E3E">
            <w:pPr>
              <w:pStyle w:val="386"/>
              <w:rPr>
                <w:rFonts w:ascii="Times New Roman" w:hAnsi="Times New Roman"/>
                <w:sz w:val="21"/>
                <w:szCs w:val="21"/>
              </w:rPr>
            </w:pPr>
            <w:r>
              <w:rPr>
                <w:rFonts w:ascii="Times New Roman" w:hAnsi="Times New Roman"/>
                <w:sz w:val="21"/>
                <w:szCs w:val="21"/>
              </w:rPr>
              <w:t>Ⅱ</w:t>
            </w:r>
          </w:p>
        </w:tc>
        <w:tc>
          <w:tcPr>
            <w:tcW w:w="656" w:type="pct"/>
            <w:tcBorders>
              <w:top w:val="single" w:color="000000" w:sz="8" w:space="0"/>
              <w:left w:val="single" w:color="000000" w:sz="8" w:space="0"/>
              <w:bottom w:val="single" w:color="000000" w:sz="8" w:space="0"/>
              <w:right w:val="single" w:color="000000" w:sz="8" w:space="0"/>
            </w:tcBorders>
            <w:vAlign w:val="center"/>
          </w:tcPr>
          <w:p w14:paraId="5F61F5A5">
            <w:pPr>
              <w:pStyle w:val="386"/>
              <w:rPr>
                <w:rFonts w:ascii="Times New Roman" w:hAnsi="Times New Roman"/>
                <w:sz w:val="21"/>
                <w:szCs w:val="21"/>
              </w:rPr>
            </w:pPr>
            <w:r>
              <w:rPr>
                <w:rFonts w:ascii="Times New Roman" w:hAnsi="Times New Roman"/>
                <w:sz w:val="21"/>
                <w:szCs w:val="21"/>
              </w:rPr>
              <w:t>好</w:t>
            </w:r>
          </w:p>
        </w:tc>
        <w:tc>
          <w:tcPr>
            <w:tcW w:w="816" w:type="pct"/>
            <w:tcBorders>
              <w:top w:val="single" w:color="000000" w:sz="8" w:space="0"/>
              <w:left w:val="single" w:color="000000" w:sz="8" w:space="0"/>
              <w:bottom w:val="single" w:color="000000" w:sz="8" w:space="0"/>
              <w:right w:val="single" w:color="000000" w:sz="8" w:space="0"/>
            </w:tcBorders>
            <w:vAlign w:val="center"/>
          </w:tcPr>
          <w:p w14:paraId="4C19B2D4">
            <w:pPr>
              <w:pStyle w:val="386"/>
              <w:rPr>
                <w:rFonts w:ascii="Times New Roman" w:hAnsi="Times New Roman"/>
                <w:sz w:val="21"/>
                <w:szCs w:val="21"/>
              </w:rPr>
            </w:pPr>
            <w:r>
              <w:rPr>
                <w:rFonts w:ascii="Times New Roman" w:hAnsi="Times New Roman"/>
                <w:sz w:val="21"/>
                <w:szCs w:val="21"/>
              </w:rPr>
              <w:t>岩体较完整</w:t>
            </w:r>
          </w:p>
        </w:tc>
      </w:tr>
    </w:tbl>
    <w:p w14:paraId="1E45E410">
      <w:pPr>
        <w:autoSpaceDE w:val="0"/>
        <w:autoSpaceDN w:val="0"/>
        <w:adjustRightInd w:val="0"/>
        <w:snapToGrid w:val="0"/>
        <w:spacing w:line="360" w:lineRule="auto"/>
        <w:ind w:firstLine="562"/>
        <w:rPr>
          <w:rFonts w:asciiTheme="minorHAnsi" w:hAnsiTheme="minorHAnsi" w:cstheme="minorHAnsi"/>
          <w:b/>
          <w:bCs/>
          <w:szCs w:val="28"/>
        </w:rPr>
      </w:pPr>
      <w:r>
        <w:rPr>
          <w:rFonts w:hint="eastAsia" w:asciiTheme="minorHAnsi" w:hAnsiTheme="minorHAnsi" w:cstheme="minorHAnsi"/>
          <w:b/>
          <w:bCs/>
          <w:szCs w:val="28"/>
        </w:rPr>
        <w:t>（2）岩石物理力学参数</w:t>
      </w:r>
    </w:p>
    <w:p w14:paraId="7A4B04D0">
      <w:pPr>
        <w:widowControl/>
        <w:adjustRightInd w:val="0"/>
        <w:snapToGrid w:val="0"/>
        <w:spacing w:line="360" w:lineRule="auto"/>
        <w:ind w:firstLine="560"/>
        <w:rPr>
          <w:szCs w:val="28"/>
        </w:rPr>
      </w:pPr>
      <w:r>
        <w:rPr>
          <w:rFonts w:hint="eastAsia"/>
          <w:szCs w:val="28"/>
        </w:rPr>
        <w:t>岩石物理力学参数主要根据《山东省东平县彭集铁矿资源储量核实报告》提供参数进行整理，结果见下表。</w:t>
      </w:r>
    </w:p>
    <w:p w14:paraId="2B0498F3">
      <w:pPr>
        <w:snapToGrid w:val="0"/>
        <w:spacing w:line="360" w:lineRule="auto"/>
        <w:ind w:firstLine="560"/>
        <w:jc w:val="center"/>
        <w:rPr>
          <w:rFonts w:asciiTheme="minorHAnsi" w:hAnsiTheme="minorHAnsi" w:cstheme="minorHAnsi"/>
        </w:rPr>
      </w:pPr>
      <w:r>
        <w:rPr>
          <w:rFonts w:hint="eastAsia" w:asciiTheme="minorHAnsi" w:hAnsiTheme="minorHAnsi" w:cstheme="minorHAnsi"/>
        </w:rPr>
        <w:t>表2</w:t>
      </w:r>
      <w:r>
        <w:rPr>
          <w:rFonts w:asciiTheme="minorHAnsi" w:hAnsiTheme="minorHAnsi" w:cstheme="minorHAnsi"/>
        </w:rPr>
        <w:t xml:space="preserve">.3-5 </w:t>
      </w:r>
      <w:r>
        <w:rPr>
          <w:rFonts w:hint="eastAsia" w:asciiTheme="minorHAnsi" w:hAnsiTheme="minorHAnsi" w:cstheme="minorHAnsi"/>
        </w:rPr>
        <w:t>矿区主要岩石的物理力学参数表</w:t>
      </w:r>
    </w:p>
    <w:tbl>
      <w:tblPr>
        <w:tblStyle w:val="54"/>
        <w:tblW w:w="8847" w:type="dxa"/>
        <w:tblInd w:w="1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43"/>
        <w:gridCol w:w="1514"/>
        <w:gridCol w:w="1125"/>
        <w:gridCol w:w="1216"/>
        <w:gridCol w:w="1137"/>
        <w:gridCol w:w="983"/>
        <w:gridCol w:w="816"/>
        <w:gridCol w:w="1313"/>
      </w:tblGrid>
      <w:tr w14:paraId="38F0D1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trPr>
        <w:tc>
          <w:tcPr>
            <w:tcW w:w="0" w:type="auto"/>
            <w:vMerge w:val="restart"/>
            <w:tcBorders>
              <w:top w:val="single" w:color="auto" w:sz="4" w:space="0"/>
            </w:tcBorders>
            <w:vAlign w:val="center"/>
          </w:tcPr>
          <w:p w14:paraId="6A6C5FA4">
            <w:pPr>
              <w:pStyle w:val="386"/>
              <w:rPr>
                <w:rFonts w:ascii="Times New Roman" w:hAnsi="Times New Roman"/>
                <w:sz w:val="21"/>
                <w:szCs w:val="21"/>
              </w:rPr>
            </w:pPr>
            <w:r>
              <w:rPr>
                <w:rFonts w:ascii="Times New Roman" w:hAnsi="Times New Roman"/>
                <w:sz w:val="21"/>
                <w:szCs w:val="21"/>
              </w:rPr>
              <w:t>位置</w:t>
            </w:r>
          </w:p>
        </w:tc>
        <w:tc>
          <w:tcPr>
            <w:tcW w:w="0" w:type="auto"/>
            <w:vMerge w:val="restart"/>
            <w:tcBorders>
              <w:top w:val="single" w:color="auto" w:sz="4" w:space="0"/>
            </w:tcBorders>
            <w:vAlign w:val="center"/>
          </w:tcPr>
          <w:p w14:paraId="5A9E0DB6">
            <w:pPr>
              <w:pStyle w:val="386"/>
              <w:rPr>
                <w:rFonts w:ascii="Times New Roman" w:hAnsi="Times New Roman"/>
                <w:sz w:val="21"/>
                <w:szCs w:val="21"/>
              </w:rPr>
            </w:pPr>
            <w:r>
              <w:rPr>
                <w:rFonts w:ascii="Times New Roman" w:hAnsi="Times New Roman"/>
                <w:sz w:val="21"/>
                <w:szCs w:val="21"/>
              </w:rPr>
              <w:t>岩性</w:t>
            </w:r>
          </w:p>
        </w:tc>
        <w:tc>
          <w:tcPr>
            <w:tcW w:w="1125" w:type="dxa"/>
            <w:vMerge w:val="restart"/>
            <w:vAlign w:val="center"/>
          </w:tcPr>
          <w:p w14:paraId="7C80F7F9">
            <w:pPr>
              <w:pStyle w:val="386"/>
              <w:rPr>
                <w:rFonts w:ascii="Times New Roman" w:hAnsi="Times New Roman"/>
                <w:sz w:val="21"/>
                <w:szCs w:val="21"/>
              </w:rPr>
            </w:pPr>
            <w:r>
              <w:rPr>
                <w:rFonts w:ascii="Times New Roman" w:hAnsi="Times New Roman"/>
                <w:sz w:val="21"/>
                <w:szCs w:val="21"/>
              </w:rPr>
              <w:t>比重</w:t>
            </w:r>
          </w:p>
          <w:p w14:paraId="7AB60B22">
            <w:pPr>
              <w:pStyle w:val="386"/>
              <w:rPr>
                <w:rFonts w:ascii="Times New Roman" w:hAnsi="Times New Roman"/>
                <w:sz w:val="21"/>
                <w:szCs w:val="21"/>
              </w:rPr>
            </w:pPr>
            <w:r>
              <w:rPr>
                <w:rFonts w:ascii="Times New Roman" w:hAnsi="Times New Roman"/>
                <w:sz w:val="21"/>
                <w:szCs w:val="21"/>
              </w:rPr>
              <w:t>（kN/m</w:t>
            </w:r>
            <w:r>
              <w:rPr>
                <w:rFonts w:ascii="Times New Roman" w:hAnsi="Times New Roman"/>
                <w:sz w:val="21"/>
                <w:szCs w:val="21"/>
                <w:vertAlign w:val="superscript"/>
              </w:rPr>
              <w:t>3</w:t>
            </w:r>
            <w:r>
              <w:rPr>
                <w:rFonts w:ascii="Times New Roman" w:hAnsi="Times New Roman"/>
                <w:sz w:val="21"/>
                <w:szCs w:val="21"/>
              </w:rPr>
              <w:t>）</w:t>
            </w:r>
          </w:p>
        </w:tc>
        <w:tc>
          <w:tcPr>
            <w:tcW w:w="1216" w:type="dxa"/>
            <w:vMerge w:val="restart"/>
            <w:vAlign w:val="center"/>
          </w:tcPr>
          <w:p w14:paraId="34D604F9">
            <w:pPr>
              <w:pStyle w:val="386"/>
              <w:rPr>
                <w:rFonts w:ascii="Times New Roman" w:hAnsi="Times New Roman"/>
                <w:sz w:val="21"/>
                <w:szCs w:val="21"/>
              </w:rPr>
            </w:pPr>
            <w:r>
              <w:rPr>
                <w:rFonts w:ascii="Times New Roman" w:hAnsi="Times New Roman"/>
                <w:sz w:val="21"/>
                <w:szCs w:val="21"/>
              </w:rPr>
              <w:t>单轴抗压强度</w:t>
            </w:r>
          </w:p>
          <w:p w14:paraId="11899469">
            <w:pPr>
              <w:pStyle w:val="386"/>
              <w:rPr>
                <w:rFonts w:ascii="Times New Roman" w:hAnsi="Times New Roman"/>
                <w:sz w:val="21"/>
                <w:szCs w:val="21"/>
              </w:rPr>
            </w:pPr>
            <w:r>
              <w:rPr>
                <w:rFonts w:ascii="Times New Roman" w:hAnsi="Times New Roman"/>
                <w:sz w:val="21"/>
                <w:szCs w:val="21"/>
              </w:rPr>
              <w:t>平均值</w:t>
            </w:r>
          </w:p>
          <w:p w14:paraId="660F2C5A">
            <w:pPr>
              <w:pStyle w:val="386"/>
              <w:rPr>
                <w:rFonts w:ascii="Times New Roman" w:hAnsi="Times New Roman"/>
                <w:sz w:val="21"/>
                <w:szCs w:val="21"/>
              </w:rPr>
            </w:pPr>
            <w:r>
              <w:rPr>
                <w:rFonts w:ascii="Times New Roman" w:hAnsi="Times New Roman"/>
                <w:sz w:val="21"/>
                <w:szCs w:val="21"/>
              </w:rPr>
              <w:t>（MPa）</w:t>
            </w:r>
          </w:p>
        </w:tc>
        <w:tc>
          <w:tcPr>
            <w:tcW w:w="0" w:type="auto"/>
            <w:gridSpan w:val="2"/>
            <w:vAlign w:val="center"/>
          </w:tcPr>
          <w:p w14:paraId="6F2558FA">
            <w:pPr>
              <w:pStyle w:val="386"/>
              <w:rPr>
                <w:rFonts w:ascii="Times New Roman" w:hAnsi="Times New Roman"/>
                <w:sz w:val="21"/>
                <w:szCs w:val="21"/>
              </w:rPr>
            </w:pPr>
            <w:r>
              <w:rPr>
                <w:rFonts w:ascii="Times New Roman" w:hAnsi="Times New Roman"/>
                <w:sz w:val="21"/>
                <w:szCs w:val="21"/>
              </w:rPr>
              <w:t>抗剪强度</w:t>
            </w:r>
          </w:p>
        </w:tc>
        <w:tc>
          <w:tcPr>
            <w:tcW w:w="816" w:type="dxa"/>
            <w:vMerge w:val="restart"/>
            <w:vAlign w:val="center"/>
          </w:tcPr>
          <w:p w14:paraId="06D35853">
            <w:pPr>
              <w:pStyle w:val="386"/>
              <w:rPr>
                <w:rFonts w:ascii="Times New Roman" w:hAnsi="Times New Roman"/>
                <w:sz w:val="21"/>
                <w:szCs w:val="21"/>
              </w:rPr>
            </w:pPr>
            <w:r>
              <w:rPr>
                <w:rFonts w:ascii="Times New Roman" w:hAnsi="Times New Roman"/>
                <w:sz w:val="21"/>
                <w:szCs w:val="21"/>
              </w:rPr>
              <w:t>泊松比*</w:t>
            </w:r>
          </w:p>
        </w:tc>
        <w:tc>
          <w:tcPr>
            <w:tcW w:w="1313" w:type="dxa"/>
            <w:vMerge w:val="restart"/>
            <w:vAlign w:val="center"/>
          </w:tcPr>
          <w:p w14:paraId="74F01209">
            <w:pPr>
              <w:pStyle w:val="386"/>
              <w:rPr>
                <w:rFonts w:ascii="Times New Roman" w:hAnsi="Times New Roman"/>
                <w:sz w:val="21"/>
                <w:szCs w:val="21"/>
              </w:rPr>
            </w:pPr>
            <w:r>
              <w:rPr>
                <w:rFonts w:ascii="Times New Roman" w:hAnsi="Times New Roman"/>
                <w:sz w:val="21"/>
                <w:szCs w:val="21"/>
              </w:rPr>
              <w:t>弹性模量*（GPa）</w:t>
            </w:r>
          </w:p>
        </w:tc>
      </w:tr>
      <w:tr w14:paraId="72065C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6" w:hRule="atLeast"/>
        </w:trPr>
        <w:tc>
          <w:tcPr>
            <w:tcW w:w="0" w:type="auto"/>
            <w:vMerge w:val="continue"/>
            <w:vAlign w:val="center"/>
          </w:tcPr>
          <w:p w14:paraId="09AA296F">
            <w:pPr>
              <w:pStyle w:val="386"/>
              <w:rPr>
                <w:rFonts w:ascii="Times New Roman" w:hAnsi="Times New Roman"/>
                <w:sz w:val="21"/>
                <w:szCs w:val="21"/>
              </w:rPr>
            </w:pPr>
          </w:p>
        </w:tc>
        <w:tc>
          <w:tcPr>
            <w:tcW w:w="0" w:type="auto"/>
            <w:vMerge w:val="continue"/>
            <w:vAlign w:val="center"/>
          </w:tcPr>
          <w:p w14:paraId="60043388">
            <w:pPr>
              <w:pStyle w:val="386"/>
              <w:rPr>
                <w:rFonts w:ascii="Times New Roman" w:hAnsi="Times New Roman"/>
                <w:sz w:val="21"/>
                <w:szCs w:val="21"/>
              </w:rPr>
            </w:pPr>
          </w:p>
        </w:tc>
        <w:tc>
          <w:tcPr>
            <w:tcW w:w="1125" w:type="dxa"/>
            <w:vMerge w:val="continue"/>
            <w:vAlign w:val="center"/>
          </w:tcPr>
          <w:p w14:paraId="1C39C8B1">
            <w:pPr>
              <w:pStyle w:val="386"/>
              <w:rPr>
                <w:rFonts w:ascii="Times New Roman" w:hAnsi="Times New Roman"/>
                <w:sz w:val="21"/>
                <w:szCs w:val="21"/>
              </w:rPr>
            </w:pPr>
          </w:p>
        </w:tc>
        <w:tc>
          <w:tcPr>
            <w:tcW w:w="1216" w:type="dxa"/>
            <w:vMerge w:val="continue"/>
            <w:vAlign w:val="center"/>
          </w:tcPr>
          <w:p w14:paraId="6FD4F16F">
            <w:pPr>
              <w:pStyle w:val="386"/>
              <w:rPr>
                <w:rFonts w:ascii="Times New Roman" w:hAnsi="Times New Roman"/>
                <w:sz w:val="21"/>
                <w:szCs w:val="21"/>
              </w:rPr>
            </w:pPr>
          </w:p>
        </w:tc>
        <w:tc>
          <w:tcPr>
            <w:tcW w:w="1137" w:type="dxa"/>
            <w:vAlign w:val="center"/>
          </w:tcPr>
          <w:p w14:paraId="573F25EF">
            <w:pPr>
              <w:pStyle w:val="386"/>
              <w:rPr>
                <w:rFonts w:ascii="Times New Roman" w:hAnsi="Times New Roman"/>
                <w:sz w:val="21"/>
                <w:szCs w:val="21"/>
              </w:rPr>
            </w:pPr>
            <w:r>
              <w:rPr>
                <w:rFonts w:ascii="Times New Roman" w:hAnsi="Times New Roman"/>
                <w:sz w:val="21"/>
                <w:szCs w:val="21"/>
              </w:rPr>
              <w:t>凝聚力（MPa）</w:t>
            </w:r>
          </w:p>
        </w:tc>
        <w:tc>
          <w:tcPr>
            <w:tcW w:w="983" w:type="dxa"/>
            <w:vAlign w:val="center"/>
          </w:tcPr>
          <w:p w14:paraId="2C9F3058">
            <w:pPr>
              <w:pStyle w:val="386"/>
              <w:rPr>
                <w:rFonts w:ascii="Times New Roman" w:hAnsi="Times New Roman"/>
                <w:sz w:val="21"/>
                <w:szCs w:val="21"/>
              </w:rPr>
            </w:pPr>
            <w:r>
              <w:rPr>
                <w:rFonts w:ascii="Times New Roman" w:hAnsi="Times New Roman"/>
                <w:sz w:val="21"/>
                <w:szCs w:val="21"/>
              </w:rPr>
              <w:t>内摩擦角</w:t>
            </w:r>
          </w:p>
          <w:p w14:paraId="720E76BC">
            <w:pPr>
              <w:pStyle w:val="386"/>
              <w:rPr>
                <w:rFonts w:ascii="Times New Roman" w:hAnsi="Times New Roman"/>
                <w:sz w:val="21"/>
                <w:szCs w:val="21"/>
              </w:rPr>
            </w:pPr>
            <w:r>
              <w:rPr>
                <w:rFonts w:ascii="Times New Roman" w:hAnsi="Times New Roman"/>
                <w:sz w:val="21"/>
                <w:szCs w:val="21"/>
              </w:rPr>
              <w:t>（°）</w:t>
            </w:r>
          </w:p>
        </w:tc>
        <w:tc>
          <w:tcPr>
            <w:tcW w:w="816" w:type="dxa"/>
            <w:vMerge w:val="continue"/>
            <w:vAlign w:val="center"/>
          </w:tcPr>
          <w:p w14:paraId="2FEDF12D">
            <w:pPr>
              <w:pStyle w:val="386"/>
              <w:rPr>
                <w:rFonts w:ascii="Times New Roman" w:hAnsi="Times New Roman"/>
                <w:sz w:val="21"/>
                <w:szCs w:val="21"/>
              </w:rPr>
            </w:pPr>
          </w:p>
        </w:tc>
        <w:tc>
          <w:tcPr>
            <w:tcW w:w="1313" w:type="dxa"/>
            <w:vMerge w:val="continue"/>
            <w:vAlign w:val="center"/>
          </w:tcPr>
          <w:p w14:paraId="564A0DF5">
            <w:pPr>
              <w:pStyle w:val="386"/>
              <w:rPr>
                <w:rFonts w:ascii="Times New Roman" w:hAnsi="Times New Roman"/>
                <w:sz w:val="21"/>
                <w:szCs w:val="21"/>
              </w:rPr>
            </w:pPr>
          </w:p>
        </w:tc>
      </w:tr>
      <w:tr w14:paraId="581C10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6" w:hRule="atLeast"/>
        </w:trPr>
        <w:tc>
          <w:tcPr>
            <w:tcW w:w="0" w:type="auto"/>
            <w:vAlign w:val="center"/>
          </w:tcPr>
          <w:p w14:paraId="790BF574">
            <w:pPr>
              <w:pStyle w:val="386"/>
              <w:rPr>
                <w:rFonts w:ascii="Times New Roman" w:hAnsi="Times New Roman"/>
                <w:sz w:val="21"/>
                <w:szCs w:val="21"/>
              </w:rPr>
            </w:pPr>
            <w:r>
              <w:rPr>
                <w:rFonts w:ascii="Times New Roman" w:hAnsi="Times New Roman"/>
                <w:sz w:val="21"/>
                <w:szCs w:val="21"/>
              </w:rPr>
              <w:t>基岩风化层</w:t>
            </w:r>
          </w:p>
        </w:tc>
        <w:tc>
          <w:tcPr>
            <w:tcW w:w="0" w:type="auto"/>
            <w:vAlign w:val="center"/>
          </w:tcPr>
          <w:p w14:paraId="5AD456C1">
            <w:pPr>
              <w:pStyle w:val="386"/>
              <w:rPr>
                <w:rFonts w:ascii="Times New Roman" w:hAnsi="Times New Roman"/>
                <w:sz w:val="21"/>
                <w:szCs w:val="21"/>
              </w:rPr>
            </w:pPr>
            <w:r>
              <w:rPr>
                <w:rFonts w:ascii="Times New Roman" w:hAnsi="Times New Roman"/>
                <w:sz w:val="21"/>
                <w:szCs w:val="21"/>
              </w:rPr>
              <w:t>黑云变粒岩</w:t>
            </w:r>
          </w:p>
        </w:tc>
        <w:tc>
          <w:tcPr>
            <w:tcW w:w="0" w:type="auto"/>
            <w:vAlign w:val="center"/>
          </w:tcPr>
          <w:p w14:paraId="1F110E72">
            <w:pPr>
              <w:pStyle w:val="386"/>
              <w:rPr>
                <w:rFonts w:ascii="Times New Roman" w:hAnsi="Times New Roman"/>
                <w:sz w:val="21"/>
                <w:szCs w:val="21"/>
              </w:rPr>
            </w:pPr>
            <w:r>
              <w:rPr>
                <w:rFonts w:ascii="Times New Roman" w:hAnsi="Times New Roman"/>
                <w:sz w:val="21"/>
                <w:szCs w:val="21"/>
              </w:rPr>
              <w:t>28.0</w:t>
            </w:r>
          </w:p>
        </w:tc>
        <w:tc>
          <w:tcPr>
            <w:tcW w:w="0" w:type="auto"/>
            <w:vAlign w:val="center"/>
          </w:tcPr>
          <w:p w14:paraId="6C63E734">
            <w:pPr>
              <w:pStyle w:val="386"/>
              <w:rPr>
                <w:rFonts w:ascii="Times New Roman" w:hAnsi="Times New Roman"/>
                <w:sz w:val="21"/>
                <w:szCs w:val="21"/>
              </w:rPr>
            </w:pPr>
            <w:r>
              <w:rPr>
                <w:rFonts w:ascii="Times New Roman" w:hAnsi="Times New Roman"/>
                <w:sz w:val="21"/>
                <w:szCs w:val="21"/>
              </w:rPr>
              <w:t>3.3</w:t>
            </w:r>
          </w:p>
        </w:tc>
        <w:tc>
          <w:tcPr>
            <w:tcW w:w="1137" w:type="dxa"/>
            <w:vAlign w:val="center"/>
          </w:tcPr>
          <w:p w14:paraId="4FA9B425">
            <w:pPr>
              <w:pStyle w:val="386"/>
              <w:rPr>
                <w:rFonts w:ascii="Times New Roman" w:hAnsi="Times New Roman"/>
                <w:sz w:val="21"/>
                <w:szCs w:val="21"/>
              </w:rPr>
            </w:pPr>
            <w:r>
              <w:rPr>
                <w:rFonts w:ascii="Times New Roman" w:hAnsi="Times New Roman"/>
                <w:sz w:val="21"/>
                <w:szCs w:val="21"/>
              </w:rPr>
              <w:t>2.3</w:t>
            </w:r>
          </w:p>
        </w:tc>
        <w:tc>
          <w:tcPr>
            <w:tcW w:w="983" w:type="dxa"/>
            <w:vAlign w:val="center"/>
          </w:tcPr>
          <w:p w14:paraId="3C70CBD4">
            <w:pPr>
              <w:pStyle w:val="386"/>
              <w:rPr>
                <w:rFonts w:ascii="Times New Roman" w:hAnsi="Times New Roman"/>
                <w:sz w:val="21"/>
                <w:szCs w:val="21"/>
              </w:rPr>
            </w:pPr>
            <w:r>
              <w:rPr>
                <w:rFonts w:ascii="Times New Roman" w:hAnsi="Times New Roman"/>
                <w:sz w:val="21"/>
                <w:szCs w:val="21"/>
              </w:rPr>
              <w:t>40.1</w:t>
            </w:r>
          </w:p>
        </w:tc>
        <w:tc>
          <w:tcPr>
            <w:tcW w:w="816" w:type="dxa"/>
            <w:vAlign w:val="center"/>
          </w:tcPr>
          <w:p w14:paraId="4E485C6E">
            <w:pPr>
              <w:pStyle w:val="386"/>
              <w:rPr>
                <w:rFonts w:ascii="Times New Roman" w:hAnsi="Times New Roman"/>
                <w:sz w:val="21"/>
                <w:szCs w:val="21"/>
              </w:rPr>
            </w:pPr>
          </w:p>
        </w:tc>
        <w:tc>
          <w:tcPr>
            <w:tcW w:w="1313" w:type="dxa"/>
            <w:vAlign w:val="center"/>
          </w:tcPr>
          <w:p w14:paraId="490ECEB0">
            <w:pPr>
              <w:pStyle w:val="386"/>
              <w:rPr>
                <w:rFonts w:ascii="Times New Roman" w:hAnsi="Times New Roman"/>
                <w:sz w:val="21"/>
                <w:szCs w:val="21"/>
              </w:rPr>
            </w:pPr>
          </w:p>
        </w:tc>
      </w:tr>
      <w:tr w14:paraId="417A1B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7" w:hRule="atLeast"/>
        </w:trPr>
        <w:tc>
          <w:tcPr>
            <w:tcW w:w="0" w:type="auto"/>
            <w:vAlign w:val="center"/>
          </w:tcPr>
          <w:p w14:paraId="47C13506">
            <w:pPr>
              <w:pStyle w:val="386"/>
              <w:rPr>
                <w:rFonts w:ascii="Times New Roman" w:hAnsi="Times New Roman"/>
                <w:sz w:val="21"/>
                <w:szCs w:val="21"/>
              </w:rPr>
            </w:pPr>
            <w:r>
              <w:rPr>
                <w:rFonts w:ascii="Times New Roman" w:hAnsi="Times New Roman"/>
                <w:sz w:val="21"/>
                <w:szCs w:val="21"/>
              </w:rPr>
              <w:t>顶板</w:t>
            </w:r>
          </w:p>
        </w:tc>
        <w:tc>
          <w:tcPr>
            <w:tcW w:w="0" w:type="auto"/>
            <w:vAlign w:val="center"/>
          </w:tcPr>
          <w:p w14:paraId="5A1C0F7B">
            <w:pPr>
              <w:pStyle w:val="386"/>
              <w:rPr>
                <w:rFonts w:ascii="Times New Roman" w:hAnsi="Times New Roman"/>
                <w:sz w:val="21"/>
                <w:szCs w:val="21"/>
              </w:rPr>
            </w:pPr>
            <w:r>
              <w:rPr>
                <w:rFonts w:ascii="Times New Roman" w:hAnsi="Times New Roman"/>
                <w:sz w:val="21"/>
                <w:szCs w:val="21"/>
              </w:rPr>
              <w:t>黑云变粒岩</w:t>
            </w:r>
          </w:p>
        </w:tc>
        <w:tc>
          <w:tcPr>
            <w:tcW w:w="0" w:type="auto"/>
            <w:vAlign w:val="center"/>
          </w:tcPr>
          <w:p w14:paraId="018AB588">
            <w:pPr>
              <w:pStyle w:val="386"/>
              <w:rPr>
                <w:rFonts w:ascii="Times New Roman" w:hAnsi="Times New Roman"/>
                <w:sz w:val="21"/>
                <w:szCs w:val="21"/>
              </w:rPr>
            </w:pPr>
            <w:r>
              <w:rPr>
                <w:rFonts w:ascii="Times New Roman" w:hAnsi="Times New Roman"/>
                <w:sz w:val="21"/>
                <w:szCs w:val="21"/>
              </w:rPr>
              <w:t>28.0</w:t>
            </w:r>
          </w:p>
        </w:tc>
        <w:tc>
          <w:tcPr>
            <w:tcW w:w="0" w:type="auto"/>
            <w:vAlign w:val="center"/>
          </w:tcPr>
          <w:p w14:paraId="4162DFB3">
            <w:pPr>
              <w:pStyle w:val="386"/>
              <w:rPr>
                <w:rFonts w:ascii="Times New Roman" w:hAnsi="Times New Roman"/>
                <w:sz w:val="21"/>
                <w:szCs w:val="21"/>
              </w:rPr>
            </w:pPr>
            <w:r>
              <w:rPr>
                <w:rFonts w:ascii="Times New Roman" w:hAnsi="Times New Roman"/>
                <w:sz w:val="21"/>
                <w:szCs w:val="21"/>
              </w:rPr>
              <w:t>53.4</w:t>
            </w:r>
          </w:p>
        </w:tc>
        <w:tc>
          <w:tcPr>
            <w:tcW w:w="1137" w:type="dxa"/>
            <w:vAlign w:val="center"/>
          </w:tcPr>
          <w:p w14:paraId="092C9FD6">
            <w:pPr>
              <w:pStyle w:val="386"/>
              <w:rPr>
                <w:rFonts w:ascii="Times New Roman" w:hAnsi="Times New Roman"/>
                <w:sz w:val="21"/>
                <w:szCs w:val="21"/>
              </w:rPr>
            </w:pPr>
            <w:r>
              <w:rPr>
                <w:rFonts w:ascii="Times New Roman" w:hAnsi="Times New Roman"/>
                <w:sz w:val="21"/>
                <w:szCs w:val="21"/>
              </w:rPr>
              <w:t>8.6</w:t>
            </w:r>
          </w:p>
        </w:tc>
        <w:tc>
          <w:tcPr>
            <w:tcW w:w="983" w:type="dxa"/>
            <w:vAlign w:val="center"/>
          </w:tcPr>
          <w:p w14:paraId="0FFC9077">
            <w:pPr>
              <w:pStyle w:val="386"/>
              <w:rPr>
                <w:rFonts w:ascii="Times New Roman" w:hAnsi="Times New Roman"/>
                <w:sz w:val="21"/>
                <w:szCs w:val="21"/>
              </w:rPr>
            </w:pPr>
            <w:r>
              <w:rPr>
                <w:rFonts w:ascii="Times New Roman" w:hAnsi="Times New Roman"/>
                <w:sz w:val="21"/>
                <w:szCs w:val="21"/>
              </w:rPr>
              <w:t>36.6</w:t>
            </w:r>
          </w:p>
        </w:tc>
        <w:tc>
          <w:tcPr>
            <w:tcW w:w="816" w:type="dxa"/>
            <w:vAlign w:val="center"/>
          </w:tcPr>
          <w:p w14:paraId="673ECFCA">
            <w:pPr>
              <w:pStyle w:val="386"/>
              <w:rPr>
                <w:rFonts w:ascii="Times New Roman" w:hAnsi="Times New Roman"/>
                <w:sz w:val="21"/>
                <w:szCs w:val="21"/>
              </w:rPr>
            </w:pPr>
            <w:r>
              <w:rPr>
                <w:rFonts w:ascii="Times New Roman" w:hAnsi="Times New Roman"/>
                <w:sz w:val="21"/>
                <w:szCs w:val="21"/>
              </w:rPr>
              <w:t>0.22</w:t>
            </w:r>
          </w:p>
        </w:tc>
        <w:tc>
          <w:tcPr>
            <w:tcW w:w="1313" w:type="dxa"/>
            <w:vAlign w:val="center"/>
          </w:tcPr>
          <w:p w14:paraId="6FB658D0">
            <w:pPr>
              <w:pStyle w:val="386"/>
              <w:rPr>
                <w:rFonts w:ascii="Times New Roman" w:hAnsi="Times New Roman"/>
                <w:sz w:val="21"/>
                <w:szCs w:val="21"/>
              </w:rPr>
            </w:pPr>
            <w:r>
              <w:rPr>
                <w:rFonts w:ascii="Times New Roman" w:hAnsi="Times New Roman"/>
                <w:sz w:val="21"/>
                <w:szCs w:val="21"/>
              </w:rPr>
              <w:t>23.0</w:t>
            </w:r>
          </w:p>
        </w:tc>
      </w:tr>
      <w:tr w14:paraId="7CFBD38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7" w:hRule="atLeast"/>
        </w:trPr>
        <w:tc>
          <w:tcPr>
            <w:tcW w:w="0" w:type="auto"/>
            <w:vAlign w:val="center"/>
          </w:tcPr>
          <w:p w14:paraId="046A9729">
            <w:pPr>
              <w:pStyle w:val="386"/>
              <w:rPr>
                <w:rFonts w:ascii="Times New Roman" w:hAnsi="Times New Roman"/>
                <w:sz w:val="21"/>
                <w:szCs w:val="21"/>
              </w:rPr>
            </w:pPr>
            <w:r>
              <w:rPr>
                <w:rFonts w:ascii="Times New Roman" w:hAnsi="Times New Roman"/>
                <w:sz w:val="21"/>
                <w:szCs w:val="21"/>
              </w:rPr>
              <w:t>矿体</w:t>
            </w:r>
          </w:p>
        </w:tc>
        <w:tc>
          <w:tcPr>
            <w:tcW w:w="0" w:type="auto"/>
            <w:vAlign w:val="center"/>
          </w:tcPr>
          <w:p w14:paraId="0835B04D">
            <w:pPr>
              <w:pStyle w:val="386"/>
              <w:rPr>
                <w:rFonts w:ascii="Times New Roman" w:hAnsi="Times New Roman"/>
                <w:sz w:val="21"/>
                <w:szCs w:val="21"/>
              </w:rPr>
            </w:pPr>
            <w:r>
              <w:rPr>
                <w:rFonts w:ascii="Times New Roman" w:hAnsi="Times New Roman"/>
                <w:sz w:val="21"/>
                <w:szCs w:val="21"/>
              </w:rPr>
              <w:t>磁铁矿</w:t>
            </w:r>
          </w:p>
        </w:tc>
        <w:tc>
          <w:tcPr>
            <w:tcW w:w="0" w:type="auto"/>
            <w:vAlign w:val="center"/>
          </w:tcPr>
          <w:p w14:paraId="0EB93A7D">
            <w:pPr>
              <w:pStyle w:val="386"/>
              <w:rPr>
                <w:rFonts w:ascii="Times New Roman" w:hAnsi="Times New Roman"/>
                <w:sz w:val="21"/>
                <w:szCs w:val="21"/>
              </w:rPr>
            </w:pPr>
            <w:r>
              <w:rPr>
                <w:rFonts w:ascii="Times New Roman" w:hAnsi="Times New Roman"/>
                <w:sz w:val="21"/>
                <w:szCs w:val="21"/>
              </w:rPr>
              <w:t>34.6</w:t>
            </w:r>
          </w:p>
        </w:tc>
        <w:tc>
          <w:tcPr>
            <w:tcW w:w="0" w:type="auto"/>
            <w:vAlign w:val="center"/>
          </w:tcPr>
          <w:p w14:paraId="73058FF2">
            <w:pPr>
              <w:pStyle w:val="386"/>
              <w:rPr>
                <w:rFonts w:ascii="Times New Roman" w:hAnsi="Times New Roman"/>
                <w:sz w:val="21"/>
                <w:szCs w:val="21"/>
              </w:rPr>
            </w:pPr>
            <w:r>
              <w:rPr>
                <w:rFonts w:ascii="Times New Roman" w:hAnsi="Times New Roman"/>
                <w:sz w:val="21"/>
                <w:szCs w:val="21"/>
              </w:rPr>
              <w:t>134.6</w:t>
            </w:r>
          </w:p>
        </w:tc>
        <w:tc>
          <w:tcPr>
            <w:tcW w:w="1137" w:type="dxa"/>
            <w:vAlign w:val="center"/>
          </w:tcPr>
          <w:p w14:paraId="37701C25">
            <w:pPr>
              <w:pStyle w:val="386"/>
              <w:rPr>
                <w:rFonts w:ascii="Times New Roman" w:hAnsi="Times New Roman"/>
                <w:sz w:val="21"/>
                <w:szCs w:val="21"/>
              </w:rPr>
            </w:pPr>
            <w:r>
              <w:rPr>
                <w:rFonts w:ascii="Times New Roman" w:hAnsi="Times New Roman"/>
                <w:sz w:val="21"/>
                <w:szCs w:val="21"/>
              </w:rPr>
              <w:t>14.9</w:t>
            </w:r>
          </w:p>
        </w:tc>
        <w:tc>
          <w:tcPr>
            <w:tcW w:w="983" w:type="dxa"/>
            <w:vAlign w:val="center"/>
          </w:tcPr>
          <w:p w14:paraId="62F47A33">
            <w:pPr>
              <w:pStyle w:val="386"/>
              <w:rPr>
                <w:rFonts w:ascii="Times New Roman" w:hAnsi="Times New Roman"/>
                <w:sz w:val="21"/>
                <w:szCs w:val="21"/>
              </w:rPr>
            </w:pPr>
            <w:r>
              <w:rPr>
                <w:rFonts w:ascii="Times New Roman" w:hAnsi="Times New Roman"/>
                <w:sz w:val="21"/>
                <w:szCs w:val="21"/>
              </w:rPr>
              <w:t>37.9</w:t>
            </w:r>
          </w:p>
        </w:tc>
        <w:tc>
          <w:tcPr>
            <w:tcW w:w="816" w:type="dxa"/>
            <w:vAlign w:val="center"/>
          </w:tcPr>
          <w:p w14:paraId="5800F0A9">
            <w:pPr>
              <w:pStyle w:val="386"/>
              <w:rPr>
                <w:rFonts w:ascii="Times New Roman" w:hAnsi="Times New Roman"/>
                <w:sz w:val="21"/>
                <w:szCs w:val="21"/>
              </w:rPr>
            </w:pPr>
            <w:r>
              <w:rPr>
                <w:rFonts w:ascii="Times New Roman" w:hAnsi="Times New Roman"/>
                <w:sz w:val="21"/>
                <w:szCs w:val="21"/>
              </w:rPr>
              <w:t>0.18</w:t>
            </w:r>
          </w:p>
        </w:tc>
        <w:tc>
          <w:tcPr>
            <w:tcW w:w="1313" w:type="dxa"/>
            <w:vAlign w:val="center"/>
          </w:tcPr>
          <w:p w14:paraId="371D6015">
            <w:pPr>
              <w:pStyle w:val="386"/>
              <w:rPr>
                <w:rFonts w:ascii="Times New Roman" w:hAnsi="Times New Roman"/>
                <w:sz w:val="21"/>
                <w:szCs w:val="21"/>
              </w:rPr>
            </w:pPr>
            <w:r>
              <w:rPr>
                <w:rFonts w:ascii="Times New Roman" w:hAnsi="Times New Roman"/>
                <w:sz w:val="21"/>
                <w:szCs w:val="21"/>
              </w:rPr>
              <w:t>55.0</w:t>
            </w:r>
          </w:p>
        </w:tc>
      </w:tr>
      <w:tr w14:paraId="1A65505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49" w:hRule="atLeast"/>
        </w:trPr>
        <w:tc>
          <w:tcPr>
            <w:tcW w:w="0" w:type="auto"/>
            <w:vAlign w:val="center"/>
          </w:tcPr>
          <w:p w14:paraId="63EFC4D4">
            <w:pPr>
              <w:pStyle w:val="386"/>
              <w:rPr>
                <w:rFonts w:ascii="Times New Roman" w:hAnsi="Times New Roman"/>
                <w:sz w:val="21"/>
                <w:szCs w:val="21"/>
              </w:rPr>
            </w:pPr>
            <w:r>
              <w:rPr>
                <w:rFonts w:ascii="Times New Roman" w:hAnsi="Times New Roman"/>
                <w:sz w:val="21"/>
                <w:szCs w:val="21"/>
              </w:rPr>
              <w:t>底板</w:t>
            </w:r>
          </w:p>
        </w:tc>
        <w:tc>
          <w:tcPr>
            <w:tcW w:w="0" w:type="auto"/>
            <w:vAlign w:val="center"/>
          </w:tcPr>
          <w:p w14:paraId="005ED58E">
            <w:pPr>
              <w:pStyle w:val="386"/>
              <w:rPr>
                <w:rFonts w:ascii="Times New Roman" w:hAnsi="Times New Roman"/>
                <w:sz w:val="21"/>
                <w:szCs w:val="21"/>
              </w:rPr>
            </w:pPr>
            <w:r>
              <w:rPr>
                <w:rFonts w:ascii="Times New Roman" w:hAnsi="Times New Roman"/>
                <w:sz w:val="21"/>
                <w:szCs w:val="21"/>
              </w:rPr>
              <w:t>黑云变粒岩及角闪石英岩</w:t>
            </w:r>
          </w:p>
        </w:tc>
        <w:tc>
          <w:tcPr>
            <w:tcW w:w="0" w:type="auto"/>
            <w:vAlign w:val="center"/>
          </w:tcPr>
          <w:p w14:paraId="51336893">
            <w:pPr>
              <w:pStyle w:val="386"/>
              <w:rPr>
                <w:rFonts w:ascii="Times New Roman" w:hAnsi="Times New Roman"/>
                <w:sz w:val="21"/>
                <w:szCs w:val="21"/>
              </w:rPr>
            </w:pPr>
            <w:r>
              <w:rPr>
                <w:rFonts w:ascii="Times New Roman" w:hAnsi="Times New Roman"/>
                <w:sz w:val="21"/>
                <w:szCs w:val="21"/>
              </w:rPr>
              <w:t>28.0</w:t>
            </w:r>
          </w:p>
        </w:tc>
        <w:tc>
          <w:tcPr>
            <w:tcW w:w="0" w:type="auto"/>
            <w:vAlign w:val="center"/>
          </w:tcPr>
          <w:p w14:paraId="3C3FADE4">
            <w:pPr>
              <w:pStyle w:val="386"/>
              <w:rPr>
                <w:rFonts w:ascii="Times New Roman" w:hAnsi="Times New Roman"/>
                <w:sz w:val="21"/>
                <w:szCs w:val="21"/>
              </w:rPr>
            </w:pPr>
            <w:r>
              <w:rPr>
                <w:rFonts w:ascii="Times New Roman" w:hAnsi="Times New Roman"/>
                <w:sz w:val="21"/>
                <w:szCs w:val="21"/>
              </w:rPr>
              <w:t>51.7</w:t>
            </w:r>
          </w:p>
        </w:tc>
        <w:tc>
          <w:tcPr>
            <w:tcW w:w="1137" w:type="dxa"/>
            <w:vAlign w:val="center"/>
          </w:tcPr>
          <w:p w14:paraId="71FEC790">
            <w:pPr>
              <w:pStyle w:val="386"/>
              <w:rPr>
                <w:rFonts w:ascii="Times New Roman" w:hAnsi="Times New Roman"/>
                <w:sz w:val="21"/>
                <w:szCs w:val="21"/>
              </w:rPr>
            </w:pPr>
            <w:r>
              <w:rPr>
                <w:rFonts w:ascii="Times New Roman" w:hAnsi="Times New Roman"/>
                <w:sz w:val="21"/>
                <w:szCs w:val="21"/>
              </w:rPr>
              <w:t>6.6</w:t>
            </w:r>
          </w:p>
        </w:tc>
        <w:tc>
          <w:tcPr>
            <w:tcW w:w="983" w:type="dxa"/>
            <w:vAlign w:val="center"/>
          </w:tcPr>
          <w:p w14:paraId="563AC0F1">
            <w:pPr>
              <w:pStyle w:val="386"/>
              <w:rPr>
                <w:rFonts w:ascii="Times New Roman" w:hAnsi="Times New Roman"/>
                <w:sz w:val="21"/>
                <w:szCs w:val="21"/>
              </w:rPr>
            </w:pPr>
            <w:r>
              <w:rPr>
                <w:rFonts w:ascii="Times New Roman" w:hAnsi="Times New Roman"/>
                <w:sz w:val="21"/>
                <w:szCs w:val="21"/>
              </w:rPr>
              <w:t>40.5</w:t>
            </w:r>
          </w:p>
        </w:tc>
        <w:tc>
          <w:tcPr>
            <w:tcW w:w="816" w:type="dxa"/>
            <w:vAlign w:val="center"/>
          </w:tcPr>
          <w:p w14:paraId="2708D177">
            <w:pPr>
              <w:pStyle w:val="386"/>
              <w:rPr>
                <w:rFonts w:ascii="Times New Roman" w:hAnsi="Times New Roman"/>
                <w:sz w:val="21"/>
                <w:szCs w:val="21"/>
              </w:rPr>
            </w:pPr>
            <w:r>
              <w:rPr>
                <w:rFonts w:ascii="Times New Roman" w:hAnsi="Times New Roman"/>
                <w:sz w:val="21"/>
                <w:szCs w:val="21"/>
              </w:rPr>
              <w:t>0.16</w:t>
            </w:r>
          </w:p>
        </w:tc>
        <w:tc>
          <w:tcPr>
            <w:tcW w:w="1313" w:type="dxa"/>
            <w:vAlign w:val="center"/>
          </w:tcPr>
          <w:p w14:paraId="18589BFF">
            <w:pPr>
              <w:pStyle w:val="386"/>
              <w:rPr>
                <w:rFonts w:ascii="Times New Roman" w:hAnsi="Times New Roman"/>
                <w:sz w:val="21"/>
                <w:szCs w:val="21"/>
              </w:rPr>
            </w:pPr>
            <w:r>
              <w:rPr>
                <w:rFonts w:ascii="Times New Roman" w:hAnsi="Times New Roman"/>
                <w:sz w:val="21"/>
                <w:szCs w:val="21"/>
              </w:rPr>
              <w:t>26.0</w:t>
            </w:r>
          </w:p>
        </w:tc>
      </w:tr>
    </w:tbl>
    <w:p w14:paraId="3BC7F71E">
      <w:pPr>
        <w:pStyle w:val="15"/>
        <w:ind w:firstLine="529"/>
        <w:jc w:val="left"/>
        <w:rPr>
          <w:w w:val="95"/>
        </w:rPr>
      </w:pPr>
      <w:r>
        <w:rPr>
          <w:rFonts w:hint="eastAsia"/>
          <w:w w:val="95"/>
        </w:rPr>
        <w:t>*为参考类似矿山值。</w:t>
      </w:r>
    </w:p>
    <w:p w14:paraId="016007C1">
      <w:pPr>
        <w:autoSpaceDE w:val="0"/>
        <w:autoSpaceDN w:val="0"/>
        <w:adjustRightInd w:val="0"/>
        <w:snapToGrid w:val="0"/>
        <w:spacing w:line="360" w:lineRule="auto"/>
        <w:ind w:firstLine="562"/>
        <w:rPr>
          <w:rFonts w:asciiTheme="minorHAnsi" w:hAnsiTheme="minorHAnsi" w:cstheme="minorHAnsi"/>
          <w:b/>
          <w:bCs/>
          <w:szCs w:val="28"/>
        </w:rPr>
      </w:pPr>
      <w:r>
        <w:rPr>
          <w:rFonts w:hint="eastAsia" w:asciiTheme="minorHAnsi" w:hAnsiTheme="minorHAnsi" w:cstheme="minorHAnsi"/>
          <w:b/>
          <w:bCs/>
          <w:szCs w:val="28"/>
        </w:rPr>
        <w:t>（3）工程地质条件</w:t>
      </w:r>
    </w:p>
    <w:p w14:paraId="5C162006">
      <w:pPr>
        <w:widowControl/>
        <w:snapToGrid w:val="0"/>
        <w:spacing w:line="360" w:lineRule="auto"/>
        <w:ind w:firstLine="560"/>
        <w:rPr>
          <w:szCs w:val="28"/>
        </w:rPr>
      </w:pPr>
      <w:r>
        <w:rPr>
          <w:rFonts w:hint="eastAsia"/>
          <w:szCs w:val="28"/>
        </w:rPr>
        <w:t>矿体及顶底板稳定性较好，从岩石质量来看，风化层岩石质量极劣，岩石破碎，岩石质量差，矿体及顶底板岩石质量好，岩体较完整，岩体质量中等；岩石完整性及岩体质量指标变化范围较小；矿区内地形地貌条件简单，地层岩性单一，地质构造较简单，岩溶不发育，岩体结构以块状和厚层状为主，不易发生矿山工程地质问题，工程地质条件为中等型。</w:t>
      </w:r>
    </w:p>
    <w:p w14:paraId="32C8CBDD">
      <w:pPr>
        <w:pStyle w:val="5"/>
        <w:spacing w:after="190" w:line="360" w:lineRule="auto"/>
        <w:rPr>
          <w:rFonts w:asciiTheme="minorHAnsi" w:hAnsiTheme="minorHAnsi" w:cstheme="minorHAnsi"/>
        </w:rPr>
      </w:pPr>
      <w:r>
        <w:rPr>
          <w:rFonts w:asciiTheme="minorHAnsi" w:hAnsiTheme="minorHAnsi" w:cstheme="minorHAnsi"/>
        </w:rPr>
        <w:t>2.3.4矿床地质概况</w:t>
      </w:r>
    </w:p>
    <w:p w14:paraId="5C4199E7">
      <w:pPr>
        <w:snapToGrid w:val="0"/>
        <w:spacing w:line="360" w:lineRule="auto"/>
        <w:ind w:firstLine="562"/>
        <w:rPr>
          <w:rFonts w:asciiTheme="minorHAnsi" w:hAnsiTheme="minorHAnsi" w:cstheme="minorHAnsi"/>
          <w:b/>
          <w:bCs/>
        </w:rPr>
      </w:pPr>
      <w:r>
        <w:rPr>
          <w:rFonts w:asciiTheme="minorHAnsi" w:hAnsiTheme="minorHAnsi" w:cstheme="minorHAnsi"/>
          <w:b/>
          <w:bCs/>
        </w:rPr>
        <w:t>（1）矿床类型</w:t>
      </w:r>
    </w:p>
    <w:p w14:paraId="1A0B3E59">
      <w:pPr>
        <w:pStyle w:val="128"/>
        <w:adjustRightInd w:val="0"/>
        <w:snapToGrid w:val="0"/>
        <w:spacing w:line="360" w:lineRule="auto"/>
        <w:jc w:val="both"/>
        <w:rPr>
          <w:rFonts w:asciiTheme="minorHAnsi" w:hAnsiTheme="minorHAnsi" w:eastAsiaTheme="minorEastAsia" w:cstheme="minorHAnsi"/>
        </w:rPr>
      </w:pPr>
      <w:r>
        <w:rPr>
          <w:rFonts w:hint="eastAsia" w:asciiTheme="minorHAnsi" w:hAnsiTheme="minorHAnsi" w:eastAsiaTheme="minorEastAsia" w:cstheme="minorHAnsi"/>
        </w:rPr>
        <w:t>彭集铁矿床赋存于新太古代泰山岩群山草峪组之中，属于大型“鞍山式”沉积变质贫磁铁矿床。</w:t>
      </w:r>
    </w:p>
    <w:p w14:paraId="0B3AA3A5">
      <w:pPr>
        <w:pStyle w:val="128"/>
        <w:adjustRightInd w:val="0"/>
        <w:snapToGrid w:val="0"/>
        <w:spacing w:line="360" w:lineRule="auto"/>
        <w:ind w:firstLine="562"/>
        <w:jc w:val="both"/>
        <w:rPr>
          <w:rFonts w:asciiTheme="minorHAnsi" w:hAnsiTheme="minorHAnsi" w:cstheme="minorHAnsi"/>
          <w:b/>
          <w:bCs/>
        </w:rPr>
      </w:pPr>
      <w:r>
        <w:rPr>
          <w:rFonts w:eastAsia="宋体" w:asciiTheme="minorHAnsi" w:hAnsiTheme="minorHAnsi" w:cstheme="minorHAnsi"/>
          <w:b/>
          <w:bCs/>
          <w:kern w:val="2"/>
          <w:szCs w:val="22"/>
        </w:rPr>
        <w:t>（2）矿体特征</w:t>
      </w:r>
    </w:p>
    <w:p w14:paraId="34F341A1">
      <w:pPr>
        <w:widowControl/>
        <w:adjustRightInd w:val="0"/>
        <w:snapToGrid w:val="0"/>
        <w:spacing w:line="360" w:lineRule="auto"/>
        <w:ind w:firstLine="560"/>
        <w:rPr>
          <w:rFonts w:cs="Times New Roman"/>
          <w:szCs w:val="28"/>
        </w:rPr>
      </w:pPr>
      <w:r>
        <w:rPr>
          <w:rFonts w:cs="Times New Roman"/>
          <w:szCs w:val="28"/>
        </w:rPr>
        <w:t>彭集矿床位于汶上-东平成矿带北部，其范围北起栾庙，南至李官集，西到大孟村、张庄，东到吕家楼，分布在5～31线之间，控制长度5000余米。</w:t>
      </w:r>
    </w:p>
    <w:p w14:paraId="73298F3B">
      <w:pPr>
        <w:widowControl/>
        <w:adjustRightInd w:val="0"/>
        <w:snapToGrid w:val="0"/>
        <w:spacing w:line="360" w:lineRule="auto"/>
        <w:ind w:firstLine="560"/>
        <w:rPr>
          <w:rFonts w:cs="Times New Roman"/>
          <w:szCs w:val="28"/>
        </w:rPr>
      </w:pPr>
      <w:r>
        <w:rPr>
          <w:rFonts w:cs="Times New Roman"/>
          <w:szCs w:val="28"/>
        </w:rPr>
        <w:t>矿区范围内包含彭集矿段和冯家庄矿段，共圈定27个矿体，彭集矿段包含01，1-1、1-2，2，3-2，3-3，3-4，4-1，4-2，4-3，5-2，5-3，6-2，6-3，7-2，7-3，8-1，8-2，8-3，14-1，14-2，14-3矿体，冯家庄矿段包含15，16，17，18矿体。彭集矿段走向长度大于2000m的有4个矿体（1-2，2，5-3，6-2），倾斜延深均在600m以上。矿体平均真厚度大于8.50m的有6个矿体（1-2、2、5-3、6-2、14-2、16），最厚达16.49m（8-3矿体），其它矿体厚度一般在2.05～8.02m之间。</w:t>
      </w:r>
    </w:p>
    <w:p w14:paraId="1C68D128">
      <w:pPr>
        <w:widowControl/>
        <w:adjustRightInd w:val="0"/>
        <w:snapToGrid w:val="0"/>
        <w:spacing w:line="360" w:lineRule="auto"/>
        <w:ind w:firstLine="560"/>
        <w:rPr>
          <w:rFonts w:cs="Times New Roman"/>
          <w:szCs w:val="28"/>
        </w:rPr>
      </w:pPr>
      <w:r>
        <w:rPr>
          <w:rFonts w:cs="Times New Roman"/>
          <w:szCs w:val="28"/>
        </w:rPr>
        <w:t>整体而言，矿体产状走向大致为340°，倾向SW，倾角55～85°，TFe品位变化系数在0.68%～11.62%之间，平均品位变化系数6.31%，mFe品位变化系数在3.89%～35.56%之间，平均品位变化系数11.72%，属有用组分分布均匀型矿体。矿权内主矿体（1-2、2，5-3、6-2矿体）地质特征分述如下：</w:t>
      </w:r>
    </w:p>
    <w:p w14:paraId="7C2CB5C8">
      <w:pPr>
        <w:widowControl/>
        <w:adjustRightInd w:val="0"/>
        <w:snapToGrid w:val="0"/>
        <w:spacing w:line="360" w:lineRule="auto"/>
        <w:ind w:firstLine="560"/>
        <w:rPr>
          <w:rFonts w:cs="Times New Roman"/>
          <w:szCs w:val="28"/>
        </w:rPr>
      </w:pPr>
      <w:r>
        <w:rPr>
          <w:rFonts w:cs="Times New Roman"/>
          <w:szCs w:val="28"/>
        </w:rPr>
        <w:t>1）1-2矿体</w:t>
      </w:r>
    </w:p>
    <w:p w14:paraId="5A46BA15">
      <w:pPr>
        <w:widowControl/>
        <w:adjustRightInd w:val="0"/>
        <w:snapToGrid w:val="0"/>
        <w:spacing w:line="360" w:lineRule="auto"/>
        <w:ind w:firstLine="560"/>
        <w:rPr>
          <w:rFonts w:cs="Times New Roman"/>
          <w:szCs w:val="28"/>
        </w:rPr>
      </w:pPr>
      <w:r>
        <w:rPr>
          <w:rFonts w:cs="Times New Roman"/>
          <w:szCs w:val="28"/>
        </w:rPr>
        <w:t>该矿体呈层状、似层状分布于5～19线之间，</w:t>
      </w:r>
      <w:r>
        <w:rPr>
          <w:rFonts w:hint="eastAsia" w:cs="Times New Roman"/>
          <w:szCs w:val="28"/>
        </w:rPr>
        <w:t>赋存</w:t>
      </w:r>
      <w:r>
        <w:rPr>
          <w:rFonts w:cs="Times New Roman"/>
          <w:szCs w:val="28"/>
        </w:rPr>
        <w:t>标高-15～-900m。矿体走向长约2860m，沿倾向延深1067m。走向340°，倾向SW，倾角56～82°。由浅到深倾角变陡，局部沿走向、倾向呈现分支复合现象，有向下延深趋势。</w:t>
      </w:r>
    </w:p>
    <w:p w14:paraId="665D9E5B">
      <w:pPr>
        <w:widowControl/>
        <w:adjustRightInd w:val="0"/>
        <w:snapToGrid w:val="0"/>
        <w:spacing w:line="360" w:lineRule="auto"/>
        <w:ind w:firstLine="560"/>
        <w:rPr>
          <w:rFonts w:cs="Times New Roman"/>
          <w:szCs w:val="28"/>
        </w:rPr>
      </w:pPr>
      <w:r>
        <w:rPr>
          <w:rFonts w:cs="Times New Roman"/>
          <w:szCs w:val="28"/>
        </w:rPr>
        <w:t>矿体TFe品位在22.58%～38.90%之间，平均品位31.18%，品位变化系数9.80%；mFe</w:t>
      </w:r>
      <w:r>
        <w:rPr>
          <w:rFonts w:hint="eastAsia" w:cs="Times New Roman"/>
          <w:szCs w:val="28"/>
        </w:rPr>
        <w:t>品位</w:t>
      </w:r>
      <w:r>
        <w:rPr>
          <w:rFonts w:cs="Times New Roman"/>
          <w:szCs w:val="28"/>
        </w:rPr>
        <w:t>14.99%～26.54%之间，平均品位21.06%，品位变化系数11.60%。矿体厚度在2.87～30.00m之间，平均厚度13.68m，厚度变化系数55.27%。属于有用组分分布均匀和形态复杂程度简单-中等，厚度较稳定的矿体。</w:t>
      </w:r>
    </w:p>
    <w:p w14:paraId="3090E406">
      <w:pPr>
        <w:widowControl/>
        <w:adjustRightInd w:val="0"/>
        <w:snapToGrid w:val="0"/>
        <w:spacing w:line="360" w:lineRule="auto"/>
        <w:ind w:firstLine="560"/>
        <w:rPr>
          <w:rFonts w:cs="Times New Roman"/>
          <w:szCs w:val="28"/>
        </w:rPr>
      </w:pPr>
      <w:r>
        <w:rPr>
          <w:rFonts w:cs="Times New Roman"/>
          <w:szCs w:val="28"/>
        </w:rPr>
        <w:t>2）2矿体</w:t>
      </w:r>
    </w:p>
    <w:p w14:paraId="41888149">
      <w:pPr>
        <w:widowControl/>
        <w:adjustRightInd w:val="0"/>
        <w:snapToGrid w:val="0"/>
        <w:spacing w:line="360" w:lineRule="auto"/>
        <w:ind w:firstLine="560"/>
        <w:rPr>
          <w:rFonts w:cs="Times New Roman"/>
          <w:szCs w:val="28"/>
        </w:rPr>
      </w:pPr>
      <w:r>
        <w:rPr>
          <w:rFonts w:cs="Times New Roman"/>
          <w:szCs w:val="28"/>
        </w:rPr>
        <w:t>该矿体呈层状、似层状分布于9～19之间，</w:t>
      </w:r>
      <w:r>
        <w:rPr>
          <w:rFonts w:hint="eastAsia" w:cs="Times New Roman"/>
          <w:szCs w:val="28"/>
        </w:rPr>
        <w:t>赋存</w:t>
      </w:r>
      <w:r>
        <w:rPr>
          <w:rFonts w:cs="Times New Roman"/>
          <w:szCs w:val="28"/>
        </w:rPr>
        <w:t>标高-20～-930m，由24个工程控制。矿体长度约2150m，沿倾向延深1100m。产状为走向340°，倾向SW，倾角57°～82°。矿体由浅到深倾角由缓变陡，局部沿走向、倾向发育分支复合现象，有向下延深趋势。</w:t>
      </w:r>
    </w:p>
    <w:p w14:paraId="2CD4B5D2">
      <w:pPr>
        <w:widowControl/>
        <w:adjustRightInd w:val="0"/>
        <w:snapToGrid w:val="0"/>
        <w:spacing w:line="360" w:lineRule="auto"/>
        <w:ind w:firstLine="560"/>
        <w:rPr>
          <w:rFonts w:cs="Times New Roman"/>
          <w:szCs w:val="28"/>
        </w:rPr>
      </w:pPr>
      <w:r>
        <w:rPr>
          <w:rFonts w:cs="Times New Roman"/>
          <w:szCs w:val="28"/>
        </w:rPr>
        <w:t>矿体TFe品位在25.42%～33.92%，平均品位29.66%，品位变化系数7.66%；mFe品位在17.39%～27.01%之间，平均品位20.94%，品位变化系数13.25%。矿体厚度在2.01～17.25m之间，平均厚度9.23m，厚度变化系数46.89%。属于有用组分分布均匀和形态复杂程度简单-中等，厚度稳定的矿体。</w:t>
      </w:r>
    </w:p>
    <w:p w14:paraId="77500D21">
      <w:pPr>
        <w:widowControl/>
        <w:adjustRightInd w:val="0"/>
        <w:snapToGrid w:val="0"/>
        <w:spacing w:line="360" w:lineRule="auto"/>
        <w:ind w:firstLine="560"/>
        <w:rPr>
          <w:rFonts w:cs="Times New Roman"/>
          <w:szCs w:val="28"/>
        </w:rPr>
      </w:pPr>
      <w:r>
        <w:rPr>
          <w:rFonts w:cs="Times New Roman"/>
          <w:szCs w:val="28"/>
        </w:rPr>
        <w:t>3）5-3矿体</w:t>
      </w:r>
    </w:p>
    <w:p w14:paraId="5514B501">
      <w:pPr>
        <w:widowControl/>
        <w:adjustRightInd w:val="0"/>
        <w:snapToGrid w:val="0"/>
        <w:spacing w:line="360" w:lineRule="auto"/>
        <w:ind w:firstLine="560"/>
        <w:rPr>
          <w:rFonts w:cs="Times New Roman"/>
          <w:szCs w:val="28"/>
        </w:rPr>
      </w:pPr>
      <w:r>
        <w:rPr>
          <w:rFonts w:cs="Times New Roman"/>
          <w:szCs w:val="28"/>
        </w:rPr>
        <w:t>矿体呈层状分布于5～15线之间，</w:t>
      </w:r>
      <w:r>
        <w:rPr>
          <w:rFonts w:hint="eastAsia" w:cs="Times New Roman"/>
          <w:szCs w:val="28"/>
        </w:rPr>
        <w:t>赋存</w:t>
      </w:r>
      <w:r>
        <w:rPr>
          <w:rFonts w:cs="Times New Roman"/>
          <w:szCs w:val="28"/>
        </w:rPr>
        <w:t>标高-8m～-640m，由18个工程控制。矿体长度约2000m，沿倾向延深683m。矿体走向340°，倾向SW，倾角62～85°。</w:t>
      </w:r>
    </w:p>
    <w:p w14:paraId="1670D7AF">
      <w:pPr>
        <w:widowControl/>
        <w:adjustRightInd w:val="0"/>
        <w:snapToGrid w:val="0"/>
        <w:spacing w:line="360" w:lineRule="auto"/>
        <w:ind w:firstLine="560"/>
        <w:rPr>
          <w:rFonts w:cs="Times New Roman"/>
          <w:szCs w:val="28"/>
        </w:rPr>
      </w:pPr>
      <w:r>
        <w:rPr>
          <w:rFonts w:cs="Times New Roman"/>
          <w:szCs w:val="28"/>
        </w:rPr>
        <w:t>矿体TFe品位在28.91%～32.95%之间，平均品位30.73%，品位变化系数4.32%；mFe品位在17.04%～23.28%之间，平均品位20.23%，品位变化系数10.28%。矿体厚度在4.44～18.65m之间，平均厚度8.02m，厚度变化系数55.43%。属于有用组分分布均匀和形态复杂程度中等的矿体。</w:t>
      </w:r>
    </w:p>
    <w:p w14:paraId="020F12C5">
      <w:pPr>
        <w:widowControl/>
        <w:adjustRightInd w:val="0"/>
        <w:snapToGrid w:val="0"/>
        <w:spacing w:line="360" w:lineRule="auto"/>
        <w:ind w:firstLine="560"/>
        <w:rPr>
          <w:rFonts w:cs="Times New Roman"/>
          <w:szCs w:val="28"/>
        </w:rPr>
      </w:pPr>
      <w:r>
        <w:rPr>
          <w:rFonts w:cs="Times New Roman"/>
          <w:szCs w:val="28"/>
        </w:rPr>
        <w:t>4）6-2矿体</w:t>
      </w:r>
    </w:p>
    <w:p w14:paraId="174FB9E7">
      <w:pPr>
        <w:widowControl/>
        <w:adjustRightInd w:val="0"/>
        <w:snapToGrid w:val="0"/>
        <w:spacing w:line="360" w:lineRule="auto"/>
        <w:ind w:firstLine="560"/>
        <w:rPr>
          <w:rFonts w:cs="Times New Roman"/>
          <w:szCs w:val="28"/>
        </w:rPr>
      </w:pPr>
      <w:r>
        <w:rPr>
          <w:rFonts w:cs="Times New Roman"/>
          <w:szCs w:val="28"/>
        </w:rPr>
        <w:t>矿体呈层状、似层状，分布于5～19线之间，赋存标高-10～-1000m，由24个见矿工程控制。矿体走向长约2850m，沿倾向延深约1033m。矿体产状走向340°，倾向SW，倾角53～85°。局部矿体沿走向、倾向呈现分支复合现象，有向下延深趋势。</w:t>
      </w:r>
    </w:p>
    <w:p w14:paraId="689B9E72">
      <w:pPr>
        <w:widowControl/>
        <w:adjustRightInd w:val="0"/>
        <w:snapToGrid w:val="0"/>
        <w:spacing w:line="360" w:lineRule="auto"/>
        <w:ind w:firstLine="560"/>
        <w:rPr>
          <w:rFonts w:cs="Times New Roman"/>
          <w:szCs w:val="28"/>
        </w:rPr>
      </w:pPr>
      <w:r>
        <w:rPr>
          <w:rFonts w:cs="Times New Roman"/>
          <w:szCs w:val="28"/>
        </w:rPr>
        <w:t>矿体TFe品位在23.37%～33.45%之间，平均品位28.33%，品位变化系数10.38%；mFe品位在14.75%～23.70%之间，平均品位18.87%，品位变化系数13.64%。矿体厚度在2.07～22.89m之间，平均厚度9.09m，厚度变化系数67.66%。属于有用组分分布均匀和形态复杂程度中等，厚度较稳定的矿体。</w:t>
      </w:r>
    </w:p>
    <w:p w14:paraId="7071C25F">
      <w:pPr>
        <w:adjustRightInd w:val="0"/>
        <w:snapToGrid w:val="0"/>
        <w:spacing w:line="360" w:lineRule="auto"/>
        <w:ind w:firstLine="562"/>
        <w:rPr>
          <w:rFonts w:asciiTheme="minorHAnsi" w:hAnsiTheme="minorHAnsi" w:cstheme="minorHAnsi"/>
          <w:b/>
          <w:bCs/>
          <w:szCs w:val="28"/>
        </w:rPr>
      </w:pPr>
      <w:r>
        <w:rPr>
          <w:rFonts w:hint="eastAsia" w:asciiTheme="minorHAnsi" w:hAnsiTheme="minorHAnsi" w:cstheme="minorHAnsi"/>
          <w:b/>
          <w:bCs/>
          <w:szCs w:val="28"/>
        </w:rPr>
        <w:t>（3）矿体围岩和夹石</w:t>
      </w:r>
    </w:p>
    <w:p w14:paraId="573AB391">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矿体围岩主要为条带状含榴石磁铁角闪石英岩、条带状含磁铁角闪石英岩、条带状磁铁角闪石英岩及黑云变粒岩、各种片岩等。</w:t>
      </w:r>
    </w:p>
    <w:p w14:paraId="0207A1A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矿体内夹石主要为条带状含榴石磁铁角闪石英岩、条带状含磁铁角闪石英岩、条带状磁铁角闪石英岩、磁铁石英角闪岩夹少量黑云变粒岩、黑云斜长片麻岩、黑云绿泥片岩。</w:t>
      </w:r>
    </w:p>
    <w:p w14:paraId="79D19E04">
      <w:pPr>
        <w:adjustRightInd w:val="0"/>
        <w:snapToGrid w:val="0"/>
        <w:spacing w:line="360" w:lineRule="auto"/>
        <w:ind w:firstLine="562"/>
        <w:rPr>
          <w:rFonts w:asciiTheme="minorHAnsi" w:hAnsiTheme="minorHAnsi" w:cstheme="minorHAnsi"/>
          <w:b/>
          <w:bCs/>
          <w:szCs w:val="28"/>
        </w:rPr>
      </w:pPr>
      <w:r>
        <w:rPr>
          <w:rFonts w:hint="eastAsia" w:asciiTheme="minorHAnsi" w:hAnsiTheme="minorHAnsi" w:cstheme="minorHAnsi"/>
          <w:b/>
          <w:bCs/>
          <w:szCs w:val="28"/>
        </w:rPr>
        <w:t>（4） 矿床成因</w:t>
      </w:r>
    </w:p>
    <w:p w14:paraId="0A17502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矿区含矿岩系为中酸性火山碎屑岩～中基性火山岩建造，属于低级铁铝榴石角闪岩相。其铁矿体是由海底基性火山喷发、沉积，区域变质使铁质富集而成。矿床属于大型的沉积变质型（鞍山式）贫矿。</w:t>
      </w:r>
    </w:p>
    <w:p w14:paraId="7E186C9A">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（5）矿石特征</w:t>
      </w:r>
    </w:p>
    <w:p w14:paraId="01D57B1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彭集铁矿床主要矿石为磁铁矿，矿石物质组成较简单，未见其它可以综合利用的伴生有益组分。矿石属于高硅、低硫、磷、需选贫磁铁矿石。</w:t>
      </w:r>
    </w:p>
    <w:p w14:paraId="75DF45B7">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1</w:t>
      </w:r>
      <w:r>
        <w:rPr>
          <w:rFonts w:hint="eastAsia" w:asciiTheme="minorHAnsi" w:hAnsiTheme="minorHAnsi" w:cstheme="minorHAnsi"/>
          <w:szCs w:val="28"/>
        </w:rPr>
        <w:t>）矿石矿物组成</w:t>
      </w:r>
    </w:p>
    <w:p w14:paraId="1182781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金属矿物主要为磁铁矿，呈他形粒状，粒径0.35mm以下，主要分布于角闪石集合体中，晶粒间接接触较紧密，长轴同条带，分布不均匀，集合体呈条纹-条带状。次为赤铁矿、黄铁矿、褐铁矿、磁黄铁矿、白铁矿、黄铜矿以及微量钛铁矿等。</w:t>
      </w:r>
    </w:p>
    <w:p w14:paraId="5544F50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脉石矿物主要为石英，普通角闪石、铁闪石等，次为透闪石～阳起石、黑云母、石榴子石、透辉石、斜长石、绿泥石、绿帘石以及电气石、磷灰石、金红石、褐帘石、硝石、方解石等。</w:t>
      </w:r>
    </w:p>
    <w:p w14:paraId="5178C0A5">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2</w:t>
      </w:r>
      <w:r>
        <w:rPr>
          <w:rFonts w:hint="eastAsia" w:asciiTheme="minorHAnsi" w:hAnsiTheme="minorHAnsi" w:cstheme="minorHAnsi"/>
          <w:szCs w:val="28"/>
        </w:rPr>
        <w:t>）矿石的结构构造</w:t>
      </w:r>
    </w:p>
    <w:p w14:paraId="20834F2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矿石常具纤状粒状变晶结构和粒状变晶结构；磁铁矿矿石主要由磁铁矿、石英、普通角闪石及铁闪石组成，彼此间互相排列，形成明显的条纹、条带状构造。</w:t>
      </w:r>
    </w:p>
    <w:p w14:paraId="687FB958">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3</w:t>
      </w:r>
      <w:r>
        <w:rPr>
          <w:rFonts w:hint="eastAsia" w:asciiTheme="minorHAnsi" w:hAnsiTheme="minorHAnsi" w:cstheme="minorHAnsi"/>
          <w:szCs w:val="28"/>
        </w:rPr>
        <w:t>）矿石的化学成分</w:t>
      </w:r>
    </w:p>
    <w:p w14:paraId="06F657B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全区铁矿石TFe平均品位在21.69%～38.90%之间，平均品位29.85%，mFe平均品位20.56%。从品位变化规律看，自下而上随矿体规模增大局部铁矿石品位有逐渐增高之趋势，而沿走向其品位变化不明显，总体矿化较均匀，mFe、SFe、TFe呈正相关关系。</w:t>
      </w:r>
    </w:p>
    <w:p w14:paraId="338EB1F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二氧化硅（SiO</w:t>
      </w:r>
      <w:r>
        <w:rPr>
          <w:rFonts w:hint="eastAsia" w:asciiTheme="minorHAnsi" w:hAnsiTheme="minorHAnsi" w:cstheme="minorHAnsi"/>
          <w:szCs w:val="28"/>
          <w:vertAlign w:val="subscript"/>
        </w:rPr>
        <w:t>2</w:t>
      </w:r>
      <w:r>
        <w:rPr>
          <w:rFonts w:hint="eastAsia" w:asciiTheme="minorHAnsi" w:hAnsiTheme="minorHAnsi" w:cstheme="minorHAnsi"/>
          <w:szCs w:val="28"/>
        </w:rPr>
        <w:t>）含量在43.08%～45.84%之间，最高达61.52%，平均48.96%，属富硅矿石。依据物相分析，主要有害物质中，硅酸铁含量较高，在4.20%～5.85%之间，最高达6.03%，平均5.28%，与角闪石类矿物含量密切相关。而有害元素硫（S）、磷（P）含量一般较低。硫（S）在0.08%～0.29%之间，平均0.17%；磷（P）在0.04%～0.15%之间，平均0.096%。</w:t>
      </w:r>
    </w:p>
    <w:p w14:paraId="044D041B">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4</w:t>
      </w:r>
      <w:r>
        <w:rPr>
          <w:rFonts w:hint="eastAsia" w:asciiTheme="minorHAnsi" w:hAnsiTheme="minorHAnsi" w:cstheme="minorHAnsi"/>
          <w:szCs w:val="28"/>
        </w:rPr>
        <w:t>）矿石类型</w:t>
      </w:r>
    </w:p>
    <w:p w14:paraId="19A330F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自然类型：</w:t>
      </w:r>
    </w:p>
    <w:p w14:paraId="249A2D3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矿石中氧化铁平均含量为8.56%，且矿体及围岩裂隙不发育，矿体埋深较大，氧化程度低，氧化矿主要集中在矿体与第四系接触带附近，矿石的自然类型为原生矿石；</w:t>
      </w:r>
    </w:p>
    <w:p w14:paraId="49C4E39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组成矿石的主要铁矿物为磁铁矿，矿石自然类型为磁铁矿石。</w:t>
      </w:r>
    </w:p>
    <w:p w14:paraId="215B8DB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根据矿石的结构构造，矿石自然类型为条纹～条带状磁铁角闪石英岩、磁铁石英角闪岩。</w:t>
      </w:r>
    </w:p>
    <w:p w14:paraId="505977D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工业类型：</w:t>
      </w:r>
    </w:p>
    <w:p w14:paraId="09344F5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矿石TFe平均品位为29.85%，工业类型为需选铁矿石。铁矿石TFe平均品位为30.01%，cFe平均品位0.93%、siFe 5.28%、sfFe 0.78%、oFe 2.57%、mFe 20.45%，mFe（mFe/TFe）占有率68.14%，矿石工业类型属于需选铁矿石中的弱磁性铁矿石。</w:t>
      </w:r>
    </w:p>
    <w:p w14:paraId="50110BFA">
      <w:pPr>
        <w:pStyle w:val="5"/>
        <w:spacing w:after="190" w:line="360" w:lineRule="auto"/>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.3.5</w:t>
      </w:r>
      <w:r>
        <w:rPr>
          <w:rFonts w:hint="eastAsia" w:asciiTheme="minorHAnsi" w:hAnsiTheme="minorHAnsi" w:cstheme="minorHAnsi"/>
        </w:rPr>
        <w:t xml:space="preserve">  环境地质条件</w:t>
      </w:r>
    </w:p>
    <w:p w14:paraId="1E0CD85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矿区位于区域性汶泗断裂北约3km，区内新构造活动不强烈，抗震设防烈度为6°，地震高峰值加速度值为0.05g。根据历史资料记载，矿区及其附近地区震级一般在2.2～3.5，地壳稳定性较好。</w:t>
      </w:r>
    </w:p>
    <w:p w14:paraId="6DD395E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依据勘探报告中对地温与放射性研究，矿区地温梯度为1.58℃/100m，预测矿床最低开采深度-1000m的地温为31.2℃，放射性强度范围一般为14～20γ，平均值为15γ，均处于正常范围。</w:t>
      </w:r>
    </w:p>
    <w:p w14:paraId="426423B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采矿活动可产生局部地表变形，但对地质环境破坏不大；矿区内无重大的污染源，地表水、地下水水质较好，矿石和废石化学成分基本稳定，无其他环境地质隐患，矿区地质环境质量为良好型。</w:t>
      </w:r>
    </w:p>
    <w:p w14:paraId="7D056A83">
      <w:pPr>
        <w:pStyle w:val="4"/>
        <w:spacing w:before="190" w:after="190" w:line="360" w:lineRule="exact"/>
        <w:rPr>
          <w:rFonts w:asciiTheme="minorHAnsi" w:hAnsiTheme="minorHAnsi" w:cstheme="minorHAnsi"/>
        </w:rPr>
      </w:pPr>
      <w:bookmarkStart w:id="75" w:name="_Toc199426935"/>
      <w:r>
        <w:rPr>
          <w:rFonts w:asciiTheme="minorHAnsi" w:hAnsiTheme="minorHAnsi" w:cstheme="minorHAnsi"/>
        </w:rPr>
        <w:t>2.4工程建设方案概况</w:t>
      </w:r>
      <w:bookmarkEnd w:id="75"/>
    </w:p>
    <w:p w14:paraId="47892C1F">
      <w:pPr>
        <w:pStyle w:val="5"/>
        <w:spacing w:after="190"/>
        <w:rPr>
          <w:rFonts w:asciiTheme="minorHAnsi" w:hAnsiTheme="minorHAnsi" w:cstheme="minorHAnsi"/>
        </w:rPr>
      </w:pPr>
      <w:r>
        <w:rPr>
          <w:rFonts w:asciiTheme="minorHAnsi" w:hAnsiTheme="minorHAnsi" w:cstheme="minorHAnsi"/>
        </w:rPr>
        <w:t>2.4.1建设规模及工作制度</w:t>
      </w:r>
    </w:p>
    <w:p w14:paraId="746E83CA">
      <w:pPr>
        <w:pStyle w:val="128"/>
        <w:adjustRightInd w:val="0"/>
        <w:snapToGrid w:val="0"/>
        <w:spacing w:line="360" w:lineRule="auto"/>
        <w:ind w:firstLine="562"/>
        <w:jc w:val="both"/>
        <w:rPr>
          <w:rFonts w:asciiTheme="minorHAnsi" w:hAnsiTheme="minorHAnsi" w:eastAsiaTheme="minorEastAsia" w:cstheme="minorHAnsi"/>
        </w:rPr>
      </w:pPr>
      <w:r>
        <w:rPr>
          <w:rFonts w:asciiTheme="minorHAnsi" w:hAnsiTheme="minorHAnsi" w:eastAsiaTheme="minorEastAsia" w:cstheme="minorHAnsi"/>
          <w:b/>
          <w:bCs/>
        </w:rPr>
        <w:t>（1）地质储量</w:t>
      </w:r>
    </w:p>
    <w:p w14:paraId="1866928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截至2023年8月31日，矿区范围内累计查明探明+控制+推断铁矿石资源量23990.7×10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t，TFe平均品位29.85 %，mFe平均品位20.56%。其中，探明资源量3008.7×10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t，TFe平均品位31.62%,mFe平均品位21.83%，占比12.54%；控制资源量9217.4×10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t，TFe平均品位30.60%，mFe平均品位21.07%，占比38.42%。另有低品位铁矿石资源量470.8×10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t，TFe平均品位24.12%，mFe平均品位17.16%。</w:t>
      </w:r>
    </w:p>
    <w:p w14:paraId="03046A9F">
      <w:pPr>
        <w:pStyle w:val="19"/>
        <w:ind w:firstLine="560"/>
        <w:rPr>
          <w:rFonts w:asciiTheme="minorHAnsi" w:hAnsiTheme="minorHAnsi" w:cstheme="minorHAnsi"/>
          <w:szCs w:val="28"/>
        </w:rPr>
      </w:pPr>
      <w:r>
        <w:rPr>
          <w:rFonts w:hint="eastAsia"/>
          <w:szCs w:val="28"/>
        </w:rPr>
        <w:t>通过动态椭球体</w:t>
      </w:r>
      <w:r>
        <w:rPr>
          <w:szCs w:val="28"/>
        </w:rPr>
        <w:t>普通克里格法估算</w:t>
      </w:r>
      <w:r>
        <w:rPr>
          <w:rFonts w:hint="eastAsia"/>
          <w:szCs w:val="28"/>
        </w:rPr>
        <w:t>，</w:t>
      </w:r>
      <w:r>
        <w:rPr>
          <w:rFonts w:hint="eastAsia" w:asciiTheme="minorHAnsi" w:hAnsiTheme="minorHAnsi" w:cstheme="minorHAnsi"/>
          <w:szCs w:val="28"/>
        </w:rPr>
        <w:t>截至2023年8月31日，设计估算矿区范围内累计查明探明+控制+推断铁矿石资源量24262.42×10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t，TFe平均品位29.72%，mFe平均品位20.42%。其中，探明资源量3184.45×10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t，TFe平均品位31.47%，mFe平均品位22.04%，占比13.12%；控制资源量9260.76×10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t，TFe平均品位30.39%，mFe平均品位20.73%，占比38.17%。估算低品位铁矿石资源量488.62×10</w:t>
      </w:r>
      <w:r>
        <w:rPr>
          <w:rFonts w:hint="eastAsia" w:asciiTheme="minorHAnsi" w:hAnsiTheme="minorHAnsi" w:cstheme="minorHAnsi"/>
          <w:szCs w:val="28"/>
          <w:vertAlign w:val="superscript"/>
        </w:rPr>
        <w:t>4</w:t>
      </w:r>
      <w:r>
        <w:rPr>
          <w:rFonts w:hint="eastAsia" w:asciiTheme="minorHAnsi" w:hAnsiTheme="minorHAnsi" w:cstheme="minorHAnsi"/>
          <w:szCs w:val="28"/>
        </w:rPr>
        <w:t>t，TFe平均品位24.06%，mFe平均品位17.21%。</w:t>
      </w:r>
    </w:p>
    <w:p w14:paraId="384104F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彭集铁矿为大型铁矿床，由彭集、冯家庄两个矿段组成，设计拟对二者统一规划、分期开采。</w:t>
      </w:r>
    </w:p>
    <w:p w14:paraId="3167765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一期开采彭集矿段-100m~-475m标高之间的矿体，二期开采彭集矿段-475m~-805m标高之间矿体及冯家庄矿段-100m~-475m标高之间矿体。</w:t>
      </w:r>
    </w:p>
    <w:p w14:paraId="2887B41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一期开采范围探明+控制+推断铁矿石资源量13493.52×10</w:t>
      </w:r>
      <w:r>
        <w:rPr>
          <w:rFonts w:hint="eastAsia" w:asciiTheme="minorHAnsi" w:hAnsiTheme="minorHAnsi" w:cstheme="minorHAnsi"/>
          <w:szCs w:val="28"/>
          <w:vertAlign w:val="superscript"/>
        </w:rPr>
        <w:t>4</w:t>
      </w:r>
      <w:r>
        <w:rPr>
          <w:rFonts w:hint="eastAsia" w:asciiTheme="minorHAnsi" w:hAnsiTheme="minorHAnsi" w:cstheme="minorHAnsi"/>
          <w:szCs w:val="28"/>
        </w:rPr>
        <w:t>t，其中探明资源量2682.47×10</w:t>
      </w:r>
      <w:r>
        <w:rPr>
          <w:rFonts w:hint="eastAsia" w:asciiTheme="minorHAnsi" w:hAnsiTheme="minorHAnsi" w:cstheme="minorHAnsi"/>
          <w:szCs w:val="28"/>
          <w:vertAlign w:val="superscript"/>
        </w:rPr>
        <w:t>4</w:t>
      </w:r>
      <w:r>
        <w:rPr>
          <w:rFonts w:hint="eastAsia" w:asciiTheme="minorHAnsi" w:hAnsiTheme="minorHAnsi" w:cstheme="minorHAnsi"/>
          <w:szCs w:val="28"/>
        </w:rPr>
        <w:t>t，控制资源量5565.13×10</w:t>
      </w:r>
      <w:r>
        <w:rPr>
          <w:rFonts w:hint="eastAsia" w:asciiTheme="minorHAnsi" w:hAnsiTheme="minorHAnsi" w:cstheme="minorHAnsi"/>
          <w:szCs w:val="28"/>
          <w:vertAlign w:val="superscript"/>
        </w:rPr>
        <w:t>4</w:t>
      </w:r>
      <w:r>
        <w:rPr>
          <w:rFonts w:hint="eastAsia" w:asciiTheme="minorHAnsi" w:hAnsiTheme="minorHAnsi" w:cstheme="minorHAnsi"/>
          <w:szCs w:val="28"/>
        </w:rPr>
        <w:t>t。</w:t>
      </w:r>
    </w:p>
    <w:p w14:paraId="17F4CC6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二期开采范围内探明+控制+推断铁矿石资源量8191.41×10</w:t>
      </w:r>
      <w:r>
        <w:rPr>
          <w:rFonts w:hint="eastAsia" w:asciiTheme="minorHAnsi" w:hAnsiTheme="minorHAnsi" w:cstheme="minorHAnsi"/>
          <w:szCs w:val="28"/>
          <w:vertAlign w:val="superscript"/>
        </w:rPr>
        <w:t>4</w:t>
      </w:r>
      <w:r>
        <w:rPr>
          <w:rFonts w:hint="eastAsia" w:asciiTheme="minorHAnsi" w:hAnsiTheme="minorHAnsi" w:cstheme="minorHAnsi"/>
          <w:szCs w:val="28"/>
        </w:rPr>
        <w:t>t，其中探明资源量397.90×10</w:t>
      </w:r>
      <w:r>
        <w:rPr>
          <w:rFonts w:hint="eastAsia" w:asciiTheme="minorHAnsi" w:hAnsiTheme="minorHAnsi" w:cstheme="minorHAnsi"/>
          <w:szCs w:val="28"/>
          <w:vertAlign w:val="superscript"/>
        </w:rPr>
        <w:t>4</w:t>
      </w:r>
      <w:r>
        <w:rPr>
          <w:rFonts w:hint="eastAsia" w:asciiTheme="minorHAnsi" w:hAnsiTheme="minorHAnsi" w:cstheme="minorHAnsi"/>
          <w:szCs w:val="28"/>
        </w:rPr>
        <w:t>t，控制铁矿石资源量3462.08×10</w:t>
      </w:r>
      <w:r>
        <w:rPr>
          <w:rFonts w:hint="eastAsia" w:asciiTheme="minorHAnsi" w:hAnsiTheme="minorHAnsi" w:cstheme="minorHAnsi"/>
          <w:szCs w:val="28"/>
          <w:vertAlign w:val="superscript"/>
        </w:rPr>
        <w:t>4</w:t>
      </w:r>
      <w:r>
        <w:rPr>
          <w:rFonts w:hint="eastAsia" w:asciiTheme="minorHAnsi" w:hAnsiTheme="minorHAnsi" w:cstheme="minorHAnsi"/>
          <w:szCs w:val="28"/>
        </w:rPr>
        <w:t>t。</w:t>
      </w:r>
    </w:p>
    <w:p w14:paraId="49E42D6E">
      <w:pPr>
        <w:adjustRightInd w:val="0"/>
        <w:snapToGrid w:val="0"/>
        <w:spacing w:line="360" w:lineRule="auto"/>
        <w:ind w:firstLine="562"/>
        <w:rPr>
          <w:rFonts w:asciiTheme="minorHAnsi" w:hAnsiTheme="minorHAnsi" w:cstheme="minorHAnsi"/>
          <w:b/>
          <w:bCs/>
        </w:rPr>
      </w:pPr>
      <w:r>
        <w:rPr>
          <w:rFonts w:asciiTheme="minorHAnsi" w:hAnsiTheme="minorHAnsi" w:cstheme="minorHAnsi"/>
          <w:b/>
          <w:bCs/>
        </w:rPr>
        <w:t>（2）建设规模</w:t>
      </w:r>
    </w:p>
    <w:p w14:paraId="08AB3389">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设计一期按800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t/a规模建设，投产规模为300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t/a~500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t/a，投产第4年达产800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t/a规模。</w:t>
      </w:r>
    </w:p>
    <w:p w14:paraId="51369F6D">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矿山二期生产规模为450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w:t>
      </w:r>
    </w:p>
    <w:p w14:paraId="5E7DE15D">
      <w:pPr>
        <w:adjustRightInd w:val="0"/>
        <w:snapToGrid w:val="0"/>
        <w:spacing w:line="360" w:lineRule="auto"/>
        <w:ind w:firstLine="562"/>
        <w:rPr>
          <w:rFonts w:asciiTheme="minorHAnsi" w:hAnsiTheme="minorHAnsi" w:cstheme="minorHAnsi"/>
          <w:b/>
          <w:bCs/>
        </w:rPr>
      </w:pPr>
      <w:r>
        <w:rPr>
          <w:rFonts w:asciiTheme="minorHAnsi" w:hAnsiTheme="minorHAnsi" w:cstheme="minorHAnsi"/>
          <w:b/>
          <w:bCs/>
        </w:rPr>
        <w:t>（3）服务年限</w:t>
      </w:r>
    </w:p>
    <w:p w14:paraId="57B983FA">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矿山从基建至一期开采结束，共服务26年，二期总体共服务18年（不含基建期），稳产9年。</w:t>
      </w:r>
    </w:p>
    <w:p w14:paraId="1751132A">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第1~4年，矿山一期基建。</w:t>
      </w:r>
    </w:p>
    <w:p w14:paraId="1C58EE34">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第5年，一期投产，投产产量300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t/a，第6年产量500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t/a，第7年产量500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w:t>
      </w:r>
    </w:p>
    <w:p w14:paraId="1AB7005C">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第5~7年，在矿山生产的同时，开始进行由投产向达产的过渡期的采准工程施工，过渡期3年。</w:t>
      </w:r>
    </w:p>
    <w:p w14:paraId="79957720">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第8~18年，过渡期结束，矿山一期达产，达产规模800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t/a，维持11年。</w:t>
      </w:r>
    </w:p>
    <w:p w14:paraId="7607FF2F">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第16~18年，矿山二期基建。</w:t>
      </w:r>
    </w:p>
    <w:p w14:paraId="2BD591F5">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第19年，二期投产，规模200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t/a，第19~25年，一期逐步降产，二期逐步增产，一期与二期同时生产，继续维持矿山800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t/a规模，继续稳产7年。</w:t>
      </w:r>
    </w:p>
    <w:p w14:paraId="3B4D1C6D">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第26年，一期开采结束。</w:t>
      </w:r>
    </w:p>
    <w:p w14:paraId="184852D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第27~35年，二期达产单独生产，规模450</w:t>
      </w:r>
      <w:r>
        <w:rPr>
          <w:rFonts w:asciiTheme="minorHAnsi" w:hAnsiTheme="minorHAnsi" w:cstheme="minorHAnsi"/>
        </w:rPr>
        <w:t>×10</w:t>
      </w:r>
      <w:r>
        <w:rPr>
          <w:rFonts w:asciiTheme="minorHAnsi" w:hAnsiTheme="minorHAnsi" w:cstheme="minorHAnsi"/>
          <w:vertAlign w:val="superscript"/>
        </w:rPr>
        <w:t>4</w:t>
      </w:r>
      <w:r>
        <w:rPr>
          <w:rFonts w:hint="eastAsia" w:asciiTheme="minorHAnsi" w:hAnsiTheme="minorHAnsi" w:cstheme="minorHAnsi"/>
        </w:rPr>
        <w:t>t/a，稳产9年。</w:t>
      </w:r>
    </w:p>
    <w:p w14:paraId="1EB7A4B4">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第36年，矿山二期开采结束。</w:t>
      </w:r>
    </w:p>
    <w:p w14:paraId="6F155DDC">
      <w:pPr>
        <w:adjustRightInd w:val="0"/>
        <w:snapToGrid w:val="0"/>
        <w:spacing w:line="360" w:lineRule="auto"/>
        <w:ind w:firstLine="562"/>
        <w:rPr>
          <w:rFonts w:asciiTheme="minorHAnsi" w:hAnsiTheme="minorHAnsi" w:cstheme="minorHAnsi"/>
          <w:b/>
          <w:bCs/>
        </w:rPr>
      </w:pPr>
      <w:r>
        <w:rPr>
          <w:rFonts w:asciiTheme="minorHAnsi" w:hAnsiTheme="minorHAnsi" w:cstheme="minorHAnsi"/>
          <w:b/>
          <w:bCs/>
        </w:rPr>
        <w:t>（4）工作制度</w:t>
      </w:r>
    </w:p>
    <w:p w14:paraId="21BEB8E2">
      <w:pPr>
        <w:adjustRightInd w:val="0"/>
        <w:snapToGrid w:val="0"/>
        <w:spacing w:line="360" w:lineRule="auto"/>
        <w:ind w:firstLine="560"/>
        <w:rPr>
          <w:rFonts w:asciiTheme="minorHAnsi" w:hAnsiTheme="minorHAnsi" w:cstheme="minorHAnsi"/>
        </w:rPr>
      </w:pPr>
      <w:r>
        <w:rPr>
          <w:rFonts w:asciiTheme="minorHAnsi" w:hAnsiTheme="minorHAnsi" w:cstheme="minorHAnsi"/>
        </w:rPr>
        <w:t>矿山采用连续工作制，年工作330d，每天3班，每班8h。</w:t>
      </w:r>
    </w:p>
    <w:p w14:paraId="2CC78899">
      <w:pPr>
        <w:pStyle w:val="5"/>
        <w:spacing w:after="190" w:line="360" w:lineRule="auto"/>
        <w:rPr>
          <w:rFonts w:asciiTheme="minorHAnsi" w:hAnsiTheme="minorHAnsi" w:cstheme="minorHAnsi"/>
        </w:rPr>
      </w:pPr>
      <w:r>
        <w:rPr>
          <w:rFonts w:asciiTheme="minorHAnsi" w:hAnsiTheme="minorHAnsi" w:cstheme="minorHAnsi"/>
        </w:rPr>
        <w:t>2.4.2</w:t>
      </w:r>
      <w:r>
        <w:rPr>
          <w:rFonts w:hint="eastAsia" w:asciiTheme="minorHAnsi" w:hAnsiTheme="minorHAnsi" w:cstheme="minorHAnsi"/>
        </w:rPr>
        <w:t>总图运输</w:t>
      </w:r>
    </w:p>
    <w:p w14:paraId="7DD02EE5">
      <w:pPr>
        <w:adjustRightInd w:val="0"/>
        <w:snapToGrid w:val="0"/>
        <w:spacing w:line="360" w:lineRule="auto"/>
        <w:ind w:firstLine="562"/>
        <w:rPr>
          <w:rFonts w:asciiTheme="minorHAnsi" w:hAnsiTheme="minorHAnsi" w:cstheme="minorHAnsi"/>
          <w:b/>
          <w:snapToGrid w:val="0"/>
          <w:szCs w:val="28"/>
        </w:rPr>
      </w:pPr>
      <w:r>
        <w:rPr>
          <w:rFonts w:hint="eastAsia" w:asciiTheme="minorHAnsi" w:hAnsiTheme="minorHAnsi" w:cstheme="minorHAnsi"/>
          <w:b/>
          <w:snapToGrid w:val="0"/>
          <w:szCs w:val="28"/>
        </w:rPr>
        <w:t>（1）一期总平面布置</w:t>
      </w:r>
    </w:p>
    <w:p w14:paraId="7599DE8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设计（一期）地表工业场地主要包括：采选工业场地及风井工业场地。</w:t>
      </w:r>
    </w:p>
    <w:p w14:paraId="6400FA8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采选工业场地布置在采矿场（彭集矿段）东北侧，北邻董梁高速，东临105国道；1号回风井、进风井、2号回风井工业场地由北向南依次布置在采矿场（彭集矿段）东侧、采选工业场地的南侧。</w:t>
      </w:r>
    </w:p>
    <w:p w14:paraId="2DBBD365">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1</w:t>
      </w:r>
      <w:r>
        <w:rPr>
          <w:rFonts w:hint="eastAsia" w:asciiTheme="minorHAnsi" w:hAnsiTheme="minorHAnsi" w:cstheme="minorHAnsi"/>
          <w:snapToGrid w:val="0"/>
          <w:szCs w:val="28"/>
        </w:rPr>
        <w:t>）采选工业场地</w:t>
      </w:r>
    </w:p>
    <w:p w14:paraId="19A988B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采选工业场地布置在采矿场东北侧，北邻董梁高速，东临105国道；场地东西长约680.0m，南北宽约510m，占地面积约33.2万㎡。采选工业场地主要包括采矿区、选矿区、办公生活区。</w:t>
      </w:r>
    </w:p>
    <w:p w14:paraId="17EE586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厂区设置1处物流出入口，2处人流出入口；物流出入口位于厂区东北侧，主要负责精矿、尾砂等物料的运输。人流出入口主要位于厂区东南侧及北侧，主要负责人员、材料、备品备件的运输。</w:t>
      </w:r>
    </w:p>
    <w:p w14:paraId="2DC145C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①采矿区</w:t>
      </w:r>
    </w:p>
    <w:p w14:paraId="6A9F84A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车间组成：</w:t>
      </w:r>
    </w:p>
    <w:p w14:paraId="04B15AA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主要生产设施：主井井塔楼、副井井塔楼、充填站。</w:t>
      </w:r>
    </w:p>
    <w:p w14:paraId="22EEA96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办公生活设施：井口浴室、采矿服务楼。</w:t>
      </w:r>
    </w:p>
    <w:p w14:paraId="38E5C93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总平面布置：</w:t>
      </w:r>
    </w:p>
    <w:p w14:paraId="6265BD1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根据地下采矿系统布置，采矿区布置在采选工业场地西南侧；设计主井为箕斗井，布置在厂区西南侧，井口标高47.0m，主要负责800×1</w:t>
      </w:r>
      <w:r>
        <w:rPr>
          <w:rFonts w:asciiTheme="minorHAnsi" w:hAnsiTheme="minorHAnsi" w:cstheme="minorHAnsi"/>
          <w:snapToGrid w:val="0"/>
          <w:szCs w:val="28"/>
        </w:rPr>
        <w:t>0</w:t>
      </w:r>
      <w:r>
        <w:rPr>
          <w:rFonts w:asciiTheme="minorHAnsi" w:hAnsiTheme="minorHAnsi" w:cstheme="minorHAnsi"/>
          <w:snapToGrid w:val="0"/>
          <w:szCs w:val="28"/>
          <w:vertAlign w:val="superscript"/>
        </w:rPr>
        <w:t>4</w:t>
      </w:r>
      <w:r>
        <w:rPr>
          <w:rFonts w:hint="eastAsia" w:asciiTheme="minorHAnsi" w:hAnsiTheme="minorHAnsi" w:cstheme="minorHAnsi"/>
          <w:snapToGrid w:val="0"/>
          <w:szCs w:val="28"/>
        </w:rPr>
        <w:t>t/a矿石及40×1</w:t>
      </w:r>
      <w:r>
        <w:rPr>
          <w:rFonts w:asciiTheme="minorHAnsi" w:hAnsiTheme="minorHAnsi" w:cstheme="minorHAnsi"/>
          <w:snapToGrid w:val="0"/>
          <w:szCs w:val="28"/>
        </w:rPr>
        <w:t>0</w:t>
      </w:r>
      <w:r>
        <w:rPr>
          <w:rFonts w:asciiTheme="minorHAnsi" w:hAnsiTheme="minorHAnsi" w:cstheme="minorHAnsi"/>
          <w:snapToGrid w:val="0"/>
          <w:szCs w:val="28"/>
          <w:vertAlign w:val="superscript"/>
        </w:rPr>
        <w:t>4</w:t>
      </w:r>
      <w:r>
        <w:rPr>
          <w:rFonts w:hint="eastAsia" w:asciiTheme="minorHAnsi" w:hAnsiTheme="minorHAnsi" w:cstheme="minorHAnsi"/>
          <w:snapToGrid w:val="0"/>
          <w:szCs w:val="28"/>
        </w:rPr>
        <w:t>t/a岩石的提升任务。</w:t>
      </w:r>
    </w:p>
    <w:p w14:paraId="7414015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副井为罐笼井，布置在主井东南侧，井口标高47.0m，主要负责井下人员、材料、设备的下井等任务；副井井口东侧单侧设置窄轨铁路，窄轨铁路南侧为材料堆场；井口浴室布置在副井北侧；采矿服务楼布置在井口浴室的东侧；充填站布置在采矿服务楼的东侧。</w:t>
      </w:r>
    </w:p>
    <w:p w14:paraId="64B1F46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②办公生活区</w:t>
      </w:r>
    </w:p>
    <w:p w14:paraId="19F9BC4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车间组成：</w:t>
      </w:r>
    </w:p>
    <w:p w14:paraId="1CB7E33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办公生活设施：行政办公楼、食堂、地表浴室、选矿服务楼、中心实验室、职工宿舍及停车场。</w:t>
      </w:r>
    </w:p>
    <w:p w14:paraId="55950B3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总平面布置：</w:t>
      </w:r>
    </w:p>
    <w:p w14:paraId="51DB894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 xml:space="preserve">将办公生活区域布置在采选工业场地的东南侧，位于当地主导风向-东南风的上风向；东邻105国道，交通便利。 </w:t>
      </w:r>
    </w:p>
    <w:p w14:paraId="6E2E5C4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行政办公楼、食堂布置在厂区的东南侧，靠近厂区主要人流出入口；在行政办公楼东南侧设置停车场及太阳能车棚。中心实验室、选矿服务楼、地表浴室布置在食堂的西侧；职工宿舍布置在行政办公楼的北侧。</w:t>
      </w:r>
    </w:p>
    <w:p w14:paraId="0396264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③风井工业场地</w:t>
      </w:r>
    </w:p>
    <w:p w14:paraId="3247EEA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风井工业场地主要包括：1号回风井、进风井、2号回风井工业场地，由北向南依次布置在采矿场东侧、采选工业场地的南侧。</w:t>
      </w:r>
    </w:p>
    <w:p w14:paraId="0C9C3E1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1号回风井工业场地：</w:t>
      </w:r>
    </w:p>
    <w:p w14:paraId="61079B2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1号回风井井口标高47.0m，占地面积约1000m</w:t>
      </w:r>
      <w:r>
        <w:rPr>
          <w:rFonts w:hint="eastAsia" w:asciiTheme="minorHAnsi" w:hAnsiTheme="minorHAnsi" w:cstheme="minorHAnsi"/>
          <w:snapToGrid w:val="0"/>
          <w:szCs w:val="28"/>
          <w:vertAlign w:val="superscript"/>
        </w:rPr>
        <w:t>2</w:t>
      </w:r>
      <w:r>
        <w:rPr>
          <w:rFonts w:hint="eastAsia" w:asciiTheme="minorHAnsi" w:hAnsiTheme="minorHAnsi" w:cstheme="minorHAnsi"/>
          <w:snapToGrid w:val="0"/>
          <w:szCs w:val="28"/>
        </w:rPr>
        <w:t>，主要承担井下采场回风任务。</w:t>
      </w:r>
    </w:p>
    <w:p w14:paraId="7BD7FEF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进风井工业场地：</w:t>
      </w:r>
    </w:p>
    <w:p w14:paraId="285DDEE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进风井工业场地布置在1号回风井工业场地的西南侧，井口标高47.0m，在井口设置预热设施，占地面积约5000m</w:t>
      </w:r>
      <w:r>
        <w:rPr>
          <w:rFonts w:hint="eastAsia" w:asciiTheme="minorHAnsi" w:hAnsiTheme="minorHAnsi" w:cstheme="minorHAnsi"/>
          <w:snapToGrid w:val="0"/>
          <w:szCs w:val="28"/>
          <w:vertAlign w:val="superscript"/>
        </w:rPr>
        <w:t>2</w:t>
      </w:r>
      <w:r>
        <w:rPr>
          <w:rFonts w:hint="eastAsia" w:asciiTheme="minorHAnsi" w:hAnsiTheme="minorHAnsi" w:cstheme="minorHAnsi"/>
          <w:snapToGrid w:val="0"/>
          <w:szCs w:val="28"/>
        </w:rPr>
        <w:t>，主要承担地下采场、运输水平的进风任务。</w:t>
      </w:r>
    </w:p>
    <w:p w14:paraId="343CA67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2号回风井工业场地：</w:t>
      </w:r>
    </w:p>
    <w:p w14:paraId="1D99164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2号回风井工业场地布置在进风井工业场地东南侧，井口标高48.0m，占地面积约1000m</w:t>
      </w:r>
      <w:r>
        <w:rPr>
          <w:rFonts w:hint="eastAsia" w:asciiTheme="minorHAnsi" w:hAnsiTheme="minorHAnsi" w:cstheme="minorHAnsi"/>
          <w:snapToGrid w:val="0"/>
          <w:szCs w:val="28"/>
          <w:vertAlign w:val="superscript"/>
        </w:rPr>
        <w:t>2</w:t>
      </w:r>
      <w:r>
        <w:rPr>
          <w:rFonts w:hint="eastAsia" w:asciiTheme="minorHAnsi" w:hAnsiTheme="minorHAnsi" w:cstheme="minorHAnsi"/>
          <w:snapToGrid w:val="0"/>
          <w:szCs w:val="28"/>
        </w:rPr>
        <w:t>，主要承担井下采场回风任务。</w:t>
      </w:r>
    </w:p>
    <w:p w14:paraId="7D470017">
      <w:pPr>
        <w:adjustRightInd w:val="0"/>
        <w:snapToGrid w:val="0"/>
        <w:spacing w:line="360" w:lineRule="auto"/>
        <w:ind w:firstLine="562"/>
        <w:rPr>
          <w:rFonts w:asciiTheme="minorHAnsi" w:hAnsiTheme="minorHAnsi" w:cstheme="minorHAnsi"/>
          <w:b/>
          <w:snapToGrid w:val="0"/>
          <w:szCs w:val="28"/>
        </w:rPr>
      </w:pPr>
      <w:r>
        <w:rPr>
          <w:rFonts w:hint="eastAsia" w:asciiTheme="minorHAnsi" w:hAnsiTheme="minorHAnsi" w:cstheme="minorHAnsi"/>
          <w:b/>
          <w:snapToGrid w:val="0"/>
          <w:szCs w:val="28"/>
        </w:rPr>
        <w:t>（2）一期生产运输及道路、铁路设计</w:t>
      </w:r>
    </w:p>
    <w:p w14:paraId="27DB5ACF">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1</w:t>
      </w:r>
      <w:r>
        <w:rPr>
          <w:rFonts w:hint="eastAsia" w:asciiTheme="minorHAnsi" w:hAnsiTheme="minorHAnsi" w:cstheme="minorHAnsi"/>
          <w:snapToGrid w:val="0"/>
          <w:szCs w:val="28"/>
        </w:rPr>
        <w:t>） 生产运输</w:t>
      </w:r>
    </w:p>
    <w:p w14:paraId="253772C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生产运输主要包括矿岩、精矿、废石、尾砂、尾矿及各能源介质的运输，人员、材料和设备的运输。运输方式主要包括胶带机、汽车、窄轨（900mm）铁路运输及管道输送等运输方式。</w:t>
      </w:r>
    </w:p>
    <w:p w14:paraId="5B3AB28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矿岩运输：</w:t>
      </w:r>
    </w:p>
    <w:p w14:paraId="75E0B3E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采矿场地下矿岩经主井提升至地表后通过胶带机运送至北侧选矿厂。</w:t>
      </w:r>
    </w:p>
    <w:p w14:paraId="48624EE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精矿、废石、尾砂运输：</w:t>
      </w:r>
    </w:p>
    <w:p w14:paraId="7E78DCC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精矿通过汽车运输至厂外；干选后的废石通过汽车运输至厂外；尾矿全部给入尾矿充填系统，当总尾矿量大于充填需求量或充填系统故障时，多余的尾矿进入捞砂及尾矿干排车间生产尾砂及建筑中砂，通过汽车运输至厂外；精矿、废石、尾砂运输出入口位于厂区的东北侧。</w:t>
      </w:r>
    </w:p>
    <w:p w14:paraId="7DBAFD0F">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人员、材料和设备运输：</w:t>
      </w:r>
    </w:p>
    <w:p w14:paraId="098B13F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采场人员、材料与备品备件由副井罐笼井提升，通过窄轨（900mm）铁路运输至地表。厂区内部分材料及人员的运输、生产所需的备品备件、生产生活物资的运输、设备检修通过汽车运输；厂区主要人流、材料和设备出入口位于厂区东南侧。</w:t>
      </w:r>
    </w:p>
    <w:p w14:paraId="378A041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尾矿及能源介质的运输：</w:t>
      </w:r>
    </w:p>
    <w:p w14:paraId="44CC790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尾矿及各能源介质通过管道输送。</w:t>
      </w:r>
    </w:p>
    <w:p w14:paraId="734C70C9">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2</w:t>
      </w:r>
      <w:r>
        <w:rPr>
          <w:rFonts w:hint="eastAsia" w:asciiTheme="minorHAnsi" w:hAnsiTheme="minorHAnsi" w:cstheme="minorHAnsi"/>
          <w:snapToGrid w:val="0"/>
          <w:szCs w:val="28"/>
        </w:rPr>
        <w:t>）道路设计</w:t>
      </w:r>
    </w:p>
    <w:p w14:paraId="568FCE6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设计分为厂内道路及厂外道路。厂内道路为采选工业场地内部道路，厂外道路为各风井工业场地的的联络道路。</w:t>
      </w:r>
    </w:p>
    <w:p w14:paraId="65EDF0C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厂内道路：</w:t>
      </w:r>
    </w:p>
    <w:p w14:paraId="743BC8D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道路采用环形及尽头式两种布置方式，各主要车间及检修作业场地均有道路接入，主要回车及检修作业场地设置场地铺砌。</w:t>
      </w:r>
    </w:p>
    <w:p w14:paraId="34945D7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道路设计技术标准：</w:t>
      </w:r>
    </w:p>
    <w:p w14:paraId="3AD32A4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①道路宽度</w:t>
      </w:r>
    </w:p>
    <w:p w14:paraId="5208A8A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主干道：12.0、9.0m、7.0m；</w:t>
      </w:r>
    </w:p>
    <w:p w14:paraId="313BBD0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次干道：4.5m；</w:t>
      </w:r>
    </w:p>
    <w:p w14:paraId="5BCEA62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车间引道：宽度与车间大门同宽。</w:t>
      </w:r>
    </w:p>
    <w:p w14:paraId="21C826D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②道路内缘转弯半径</w:t>
      </w:r>
    </w:p>
    <w:p w14:paraId="1687D53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 xml:space="preserve">主干道：Rmin-9.0m；次干道：Rmin-6.0m。 </w:t>
      </w:r>
    </w:p>
    <w:p w14:paraId="740A514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③道路横坡：2.0%；</w:t>
      </w:r>
    </w:p>
    <w:p w14:paraId="4ADDE00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④道路净空：≥5.0m。</w:t>
      </w:r>
    </w:p>
    <w:p w14:paraId="3CE8132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道路型式和路面结构形式：</w:t>
      </w:r>
    </w:p>
    <w:p w14:paraId="2E32C7B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①道路型式为城市型。</w:t>
      </w:r>
    </w:p>
    <w:p w14:paraId="6D253C9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②路面结构形式为水泥混凝土路面（路宽12.0m、9.0m），路面结构由上至下依次为：</w:t>
      </w:r>
    </w:p>
    <w:p w14:paraId="4892E0D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28cm厚C30水泥混凝土面层；</w:t>
      </w:r>
    </w:p>
    <w:p w14:paraId="45C7C25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30cm厚干压块石基层；</w:t>
      </w:r>
    </w:p>
    <w:p w14:paraId="1B7651B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底层素土压实；</w:t>
      </w:r>
    </w:p>
    <w:p w14:paraId="252A1E2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压实度0.96。</w:t>
      </w:r>
    </w:p>
    <w:p w14:paraId="5BD42A0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③路面结构形式为水泥混凝土路面（路宽7.0m、4.5m），路面结构由上至下依次为：</w:t>
      </w:r>
    </w:p>
    <w:p w14:paraId="755DBA5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20cm厚C30水泥混凝土面层；</w:t>
      </w:r>
    </w:p>
    <w:p w14:paraId="27C28D5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26cm厚干压块石基层；</w:t>
      </w:r>
    </w:p>
    <w:p w14:paraId="6DB55EF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底层素土压实；</w:t>
      </w:r>
    </w:p>
    <w:p w14:paraId="6209A03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压实度0.96。</w:t>
      </w:r>
    </w:p>
    <w:p w14:paraId="26555B7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要求压实路基土基回弹模量不小于30MPa，如有软基需处理至土基回弹模量不小于25MPa（本次设计不含软基处理）。</w:t>
      </w:r>
    </w:p>
    <w:p w14:paraId="33A1CDA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④场地铺砌结构形式同道路。</w:t>
      </w:r>
    </w:p>
    <w:p w14:paraId="615A493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⑤路缘石为仿花岗岩路缘石，立路缘石直线段尺寸1000×150×350mm，平路缘石直线段尺寸1000×150×250mm，弯道处配置部分小尺寸路缘石便于安装使用。</w:t>
      </w:r>
    </w:p>
    <w:p w14:paraId="5FB7B7D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⑥车间防火疏散小门等处与道路的连接设置人行道，人行道宽度为1.5m，结构形式由上至下依次为：</w:t>
      </w:r>
    </w:p>
    <w:p w14:paraId="2615A74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混凝土路面砖25×25×5.0cm；</w:t>
      </w:r>
    </w:p>
    <w:p w14:paraId="27BF0A4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3cm厚 M10水泥砂浆（砂垫层）；</w:t>
      </w:r>
    </w:p>
    <w:p w14:paraId="66FA74E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15cm 厚5.5%水泥稳定碎石；</w:t>
      </w:r>
    </w:p>
    <w:p w14:paraId="3163885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压实路基（土基回弹模量不小于30MPa）。</w:t>
      </w:r>
    </w:p>
    <w:p w14:paraId="5272B4A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⑦除尘器本体下地坪结构形式由上至下依次为：</w:t>
      </w:r>
    </w:p>
    <w:p w14:paraId="1588F08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4cm厚C25细石混凝土，表面撒1:1水泥砂子随打随抹光，表面涂密封固化剂；水泥砂浆一道（内掺建筑胶）；8cm厚C15混凝土垫层；夯实土。</w:t>
      </w:r>
    </w:p>
    <w:p w14:paraId="417FB1DF">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⑧当路基顶面回弹模量不能满足要求时，应采取改变填料、设置粒料类或无机结合类路基改善层，或采用石灰或水泥处理等措施提高路基顶面回弹模量。</w:t>
      </w:r>
    </w:p>
    <w:p w14:paraId="5AD7A18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厂外道路：</w:t>
      </w:r>
    </w:p>
    <w:p w14:paraId="1D5BEED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道路设计技术标准如下：</w:t>
      </w:r>
    </w:p>
    <w:p w14:paraId="6AE6762F">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①道路等级：四级厂外道路；</w:t>
      </w:r>
    </w:p>
    <w:p w14:paraId="2650DF3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②设计行车速度：40km/h；</w:t>
      </w:r>
    </w:p>
    <w:p w14:paraId="0790EBE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③路面宽度：4.5m；</w:t>
      </w:r>
    </w:p>
    <w:p w14:paraId="5DB5932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④路肩宽度：0.75m；</w:t>
      </w:r>
    </w:p>
    <w:p w14:paraId="19DAB0B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⑤道路纵坡：≯8.0 %；</w:t>
      </w:r>
    </w:p>
    <w:p w14:paraId="75B9E76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⑥道路结构形式为泥结碎石路面，由上至下依次为：</w:t>
      </w:r>
    </w:p>
    <w:p w14:paraId="77EFE1A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泥结碎石面层厚15cm；</w:t>
      </w:r>
    </w:p>
    <w:p w14:paraId="48B02E7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碎石基层厚25cm；</w:t>
      </w:r>
    </w:p>
    <w:p w14:paraId="29F355A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原土夯实。</w:t>
      </w:r>
    </w:p>
    <w:p w14:paraId="77290FD9">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3</w:t>
      </w:r>
      <w:r>
        <w:rPr>
          <w:rFonts w:hint="eastAsia" w:asciiTheme="minorHAnsi" w:hAnsiTheme="minorHAnsi" w:cstheme="minorHAnsi"/>
          <w:snapToGrid w:val="0"/>
          <w:szCs w:val="28"/>
        </w:rPr>
        <w:t>） 地表窄轨铁路设计</w:t>
      </w:r>
    </w:p>
    <w:p w14:paraId="7D51FC8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w:t>
      </w:r>
    </w:p>
    <w:p w14:paraId="4D51BB4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地表窄轨铁路布置在副井区域，部分材料及设备从材料堆场装车，经窄轨铁路由副井运至井下。</w:t>
      </w:r>
    </w:p>
    <w:p w14:paraId="5389A25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地表窄轨铁路技术标准：</w:t>
      </w:r>
    </w:p>
    <w:p w14:paraId="622531B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地表窄轨铁路与地下窄轨铁路设计技术标准一致，技术标准如下：</w:t>
      </w:r>
    </w:p>
    <w:p w14:paraId="47F0A14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轨型：43kg/m；</w:t>
      </w:r>
    </w:p>
    <w:p w14:paraId="7568074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轨距：900mm；</w:t>
      </w:r>
    </w:p>
    <w:p w14:paraId="2C86656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轨枕：钢筋混凝土轨枕1680根/km。</w:t>
      </w:r>
    </w:p>
    <w:p w14:paraId="57C20AA6">
      <w:pPr>
        <w:adjustRightInd w:val="0"/>
        <w:snapToGrid w:val="0"/>
        <w:spacing w:line="360" w:lineRule="auto"/>
        <w:ind w:firstLine="562"/>
        <w:rPr>
          <w:rFonts w:asciiTheme="minorHAnsi" w:hAnsiTheme="minorHAnsi" w:cstheme="minorHAnsi"/>
          <w:b/>
          <w:snapToGrid w:val="0"/>
          <w:szCs w:val="28"/>
        </w:rPr>
      </w:pPr>
      <w:r>
        <w:rPr>
          <w:rFonts w:hint="eastAsia" w:asciiTheme="minorHAnsi" w:hAnsiTheme="minorHAnsi" w:cstheme="minorHAnsi"/>
          <w:b/>
          <w:snapToGrid w:val="0"/>
          <w:szCs w:val="28"/>
        </w:rPr>
        <w:t>（3）二期总平面布置</w:t>
      </w:r>
    </w:p>
    <w:p w14:paraId="30F37F8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设计（二期）地表工业场地主要包括：冯家庄副井工业场地及冯家庄回风井工业场地。</w:t>
      </w:r>
    </w:p>
    <w:p w14:paraId="6B551F5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二期新增地表工业场地包括冯家庄副井工业场地、冯家庄回风井工业场地。</w:t>
      </w:r>
    </w:p>
    <w:p w14:paraId="322E0DFD">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1</w:t>
      </w:r>
      <w:r>
        <w:rPr>
          <w:rFonts w:hint="eastAsia" w:asciiTheme="minorHAnsi" w:hAnsiTheme="minorHAnsi" w:cstheme="minorHAnsi"/>
          <w:snapToGrid w:val="0"/>
          <w:szCs w:val="28"/>
        </w:rPr>
        <w:t>）冯家庄副井工业场地</w:t>
      </w:r>
    </w:p>
    <w:p w14:paraId="2BDB6F7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车间组成：</w:t>
      </w:r>
    </w:p>
    <w:p w14:paraId="1C50DA5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主要生产设施：冯家庄副井井塔楼。</w:t>
      </w:r>
    </w:p>
    <w:p w14:paraId="64D408F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办公生活设施：井口预热变电所、材料堆场等。</w:t>
      </w:r>
    </w:p>
    <w:p w14:paraId="3569377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总平面布置：</w:t>
      </w:r>
    </w:p>
    <w:p w14:paraId="20817F2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冯家庄矿段位于彭集矿段东侧约2km处，根据地下采矿系统布置，冯家庄副井布置在冯家庄矿段位东北侧，井口标高48.50m，主要负责冯家庄矿段井下人员、材料、设备的下井任务。副井井口东侧单侧设置窄轨铁路，窄轨铁路北侧为材料堆场；冯家庄副井工业场地东西长约110m，南北宽约50m，占地面积约5610㎡。</w:t>
      </w:r>
    </w:p>
    <w:p w14:paraId="22F73051">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2</w:t>
      </w:r>
      <w:r>
        <w:rPr>
          <w:rFonts w:hint="eastAsia" w:asciiTheme="minorHAnsi" w:hAnsiTheme="minorHAnsi" w:cstheme="minorHAnsi"/>
          <w:snapToGrid w:val="0"/>
          <w:szCs w:val="28"/>
        </w:rPr>
        <w:t>）冯家庄回风井工业场地</w:t>
      </w:r>
    </w:p>
    <w:p w14:paraId="77C4C66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冯家庄回风井布置在冯家庄副井的东南侧，井口标高48.5m，主要负责冯家庄矿段回风任务，占地面积约2200m</w:t>
      </w:r>
      <w:r>
        <w:rPr>
          <w:rFonts w:hint="eastAsia" w:asciiTheme="minorHAnsi" w:hAnsiTheme="minorHAnsi" w:cstheme="minorHAnsi"/>
          <w:snapToGrid w:val="0"/>
          <w:szCs w:val="28"/>
          <w:vertAlign w:val="superscript"/>
        </w:rPr>
        <w:t>2</w:t>
      </w:r>
      <w:r>
        <w:rPr>
          <w:rFonts w:hint="eastAsia" w:asciiTheme="minorHAnsi" w:hAnsiTheme="minorHAnsi" w:cstheme="minorHAnsi"/>
          <w:snapToGrid w:val="0"/>
          <w:szCs w:val="28"/>
        </w:rPr>
        <w:t>。</w:t>
      </w:r>
    </w:p>
    <w:p w14:paraId="3160D846">
      <w:pPr>
        <w:adjustRightInd w:val="0"/>
        <w:snapToGrid w:val="0"/>
        <w:spacing w:line="360" w:lineRule="auto"/>
        <w:ind w:firstLine="562"/>
        <w:rPr>
          <w:rFonts w:asciiTheme="minorHAnsi" w:hAnsiTheme="minorHAnsi" w:cstheme="minorHAnsi"/>
          <w:b/>
          <w:snapToGrid w:val="0"/>
          <w:szCs w:val="28"/>
        </w:rPr>
      </w:pPr>
      <w:r>
        <w:rPr>
          <w:rFonts w:hint="eastAsia" w:asciiTheme="minorHAnsi" w:hAnsiTheme="minorHAnsi" w:cstheme="minorHAnsi"/>
          <w:b/>
          <w:snapToGrid w:val="0"/>
          <w:szCs w:val="28"/>
        </w:rPr>
        <w:t>（4） 二期生产运输及道路、铁路设计</w:t>
      </w:r>
    </w:p>
    <w:p w14:paraId="6B55B138">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1</w:t>
      </w:r>
      <w:r>
        <w:rPr>
          <w:rFonts w:hint="eastAsia" w:asciiTheme="minorHAnsi" w:hAnsiTheme="minorHAnsi" w:cstheme="minorHAnsi"/>
          <w:snapToGrid w:val="0"/>
          <w:szCs w:val="28"/>
        </w:rPr>
        <w:t>）生产运输</w:t>
      </w:r>
    </w:p>
    <w:p w14:paraId="517CAF9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生产运输主要包括人员、材料和设备及各能源介质的运输。运输方式主要包括汽车、窄轨（900mm）铁路运输及管道输送等运输方式。</w:t>
      </w:r>
    </w:p>
    <w:p w14:paraId="37695CF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采场人员、材料与备品备件由副井罐笼井提升，通过窄轨（900mm）铁路运输至地表。厂区内部分材料及人员的运输、生产所需的备品备件、生产生活物资的运输、设备检修通过汽车运输；各能源介质通过管道输送。</w:t>
      </w:r>
    </w:p>
    <w:p w14:paraId="60206E82">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2</w:t>
      </w:r>
      <w:r>
        <w:rPr>
          <w:rFonts w:hint="eastAsia" w:asciiTheme="minorHAnsi" w:hAnsiTheme="minorHAnsi" w:cstheme="minorHAnsi"/>
          <w:snapToGrid w:val="0"/>
          <w:szCs w:val="28"/>
        </w:rPr>
        <w:t>）道路设计</w:t>
      </w:r>
    </w:p>
    <w:p w14:paraId="573C57F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路设计分为厂内道路及厂外道路。厂内道路为冯家庄副井工业场地内部道路，厂外道路为冯家庄回风井工业场地的的联络道路。</w:t>
      </w:r>
    </w:p>
    <w:p w14:paraId="4107069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厂内道路：</w:t>
      </w:r>
    </w:p>
    <w:p w14:paraId="45952F6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道路采用环形及尽头式两种布置方式，各主要车间及检修作业场地均有道路接入，主要回车及检修作业场地设置场地铺砌。</w:t>
      </w:r>
    </w:p>
    <w:p w14:paraId="0748DDD0">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道路设计技术标准：</w:t>
      </w:r>
    </w:p>
    <w:p w14:paraId="1172220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①道路宽度</w:t>
      </w:r>
    </w:p>
    <w:p w14:paraId="6290E3A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主干道7.0m，次干道：4.5m；</w:t>
      </w:r>
    </w:p>
    <w:p w14:paraId="6B7A477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车间引道：宽度与车间大门同宽。</w:t>
      </w:r>
    </w:p>
    <w:p w14:paraId="4D14C39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 xml:space="preserve">②道路内缘转弯半径：Rmin-6.0m。 </w:t>
      </w:r>
    </w:p>
    <w:p w14:paraId="309FB758">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③道路横坡：2.0%；</w:t>
      </w:r>
    </w:p>
    <w:p w14:paraId="7A4975B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④道路净空：≥5.0m。</w:t>
      </w:r>
    </w:p>
    <w:p w14:paraId="6F3704D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道路型式和路面结构形式：</w:t>
      </w:r>
    </w:p>
    <w:p w14:paraId="2CC2827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①道路型式为城市型。</w:t>
      </w:r>
    </w:p>
    <w:p w14:paraId="3D1372D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②路面结构形式为水泥混凝土路面，路面结构由上至下依次为：</w:t>
      </w:r>
    </w:p>
    <w:p w14:paraId="2E29354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20cm厚C30水泥混凝土面层；</w:t>
      </w:r>
    </w:p>
    <w:p w14:paraId="7DEE1E8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26cm厚干压块石基层；</w:t>
      </w:r>
    </w:p>
    <w:p w14:paraId="331678F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底层素土压实；</w:t>
      </w:r>
    </w:p>
    <w:p w14:paraId="002C484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压实度0.96。</w:t>
      </w:r>
    </w:p>
    <w:p w14:paraId="3DDD480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要求压实路基土基回弹模量不小于30MPa，如有软基需处理至土基回弹模量不小于25MPa（本次设计不含软基处理）。</w:t>
      </w:r>
    </w:p>
    <w:p w14:paraId="6D21CB0D">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③场地铺砌结构形式同道路。</w:t>
      </w:r>
    </w:p>
    <w:p w14:paraId="4477A00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④路缘石为仿花岗岩路缘石，立路缘石直线段尺寸1000×150×350mm，平路缘石直线段尺寸1000×150×250mm，弯道处配置部分小尺寸路缘石便于安装使用。</w:t>
      </w:r>
    </w:p>
    <w:p w14:paraId="3C42A1A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⑤车间防火疏散小门等处与道路的连接设置人行道，人行道宽度为1.5m，结构形式由上至下依次为：</w:t>
      </w:r>
    </w:p>
    <w:p w14:paraId="63415D1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混凝土路面砖25×25×5.0cm；</w:t>
      </w:r>
    </w:p>
    <w:p w14:paraId="5D9CFCC4">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3cm厚 M10水泥砂浆（砂垫层）；</w:t>
      </w:r>
    </w:p>
    <w:p w14:paraId="6A99DAF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15cm 厚5.5%水泥稳定碎石；</w:t>
      </w:r>
    </w:p>
    <w:p w14:paraId="2B7342C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压实路基（土基回弹模量不小于30MPa）。</w:t>
      </w:r>
    </w:p>
    <w:p w14:paraId="7FD5937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⑥当路基顶面回弹模量不能满足要求时，应采取改变填料、设置粒料类或无机结合类路基改善层，或采用石灰或水泥处理等措施提高路基顶面回弹模量。</w:t>
      </w:r>
    </w:p>
    <w:p w14:paraId="3F87783A">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厂外道路：</w:t>
      </w:r>
    </w:p>
    <w:p w14:paraId="4B1C18D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道路设计技术标准如下：</w:t>
      </w:r>
    </w:p>
    <w:p w14:paraId="0FF2E7A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①道路等级：四级厂外道路；</w:t>
      </w:r>
    </w:p>
    <w:p w14:paraId="74AD8D77">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②设计行车速度：40km/h；</w:t>
      </w:r>
    </w:p>
    <w:p w14:paraId="4118F6F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③路面宽度：4.5m；</w:t>
      </w:r>
    </w:p>
    <w:p w14:paraId="75C7D29F">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④路肩宽度：0.75m；</w:t>
      </w:r>
    </w:p>
    <w:p w14:paraId="0DE81CFE">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⑤道路纵坡：≯8.0 %；</w:t>
      </w:r>
    </w:p>
    <w:p w14:paraId="1CAD003C">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⑥道路结构形式为泥结碎石路面，由上至下依次为：</w:t>
      </w:r>
    </w:p>
    <w:p w14:paraId="33EECDF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泥结碎石面层厚15cm；</w:t>
      </w:r>
    </w:p>
    <w:p w14:paraId="6B608A91">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碎石基层厚25cm；</w:t>
      </w:r>
    </w:p>
    <w:p w14:paraId="71B0D6F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原土夯实。</w:t>
      </w:r>
    </w:p>
    <w:p w14:paraId="28335FA1">
      <w:pPr>
        <w:adjustRightInd w:val="0"/>
        <w:snapToGrid w:val="0"/>
        <w:spacing w:line="360" w:lineRule="auto"/>
        <w:ind w:firstLine="560"/>
        <w:rPr>
          <w:rFonts w:asciiTheme="minorHAnsi" w:hAnsiTheme="minorHAnsi" w:cstheme="minorHAnsi"/>
          <w:snapToGrid w:val="0"/>
          <w:szCs w:val="28"/>
        </w:rPr>
      </w:pPr>
      <w:r>
        <w:rPr>
          <w:rFonts w:asciiTheme="minorHAnsi" w:hAnsiTheme="minorHAnsi" w:cstheme="minorHAnsi"/>
          <w:snapToGrid w:val="0"/>
          <w:szCs w:val="28"/>
        </w:rPr>
        <w:t>3</w:t>
      </w:r>
      <w:r>
        <w:rPr>
          <w:rFonts w:hint="eastAsia" w:asciiTheme="minorHAnsi" w:hAnsiTheme="minorHAnsi" w:cstheme="minorHAnsi"/>
          <w:snapToGrid w:val="0"/>
          <w:szCs w:val="28"/>
        </w:rPr>
        <w:t>）地表窄轨铁路设计</w:t>
      </w:r>
    </w:p>
    <w:p w14:paraId="55E8693F">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w:t>
      </w:r>
    </w:p>
    <w:p w14:paraId="501A73D9">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地表窄轨铁路布置在副井区域，部分材料及设备从材料堆场装车，经窄轨铁路由副井运至井下。</w:t>
      </w:r>
    </w:p>
    <w:p w14:paraId="21DB1D22">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地表窄轨铁路技术标准：</w:t>
      </w:r>
    </w:p>
    <w:p w14:paraId="6DF957E6">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地表窄轨铁路与地下窄轨铁路设计技术标准一致，技术标准如下：</w:t>
      </w:r>
    </w:p>
    <w:p w14:paraId="11ADF563">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轨型：43kg/m；</w:t>
      </w:r>
    </w:p>
    <w:p w14:paraId="59ABA0EB">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轨距：900mm；</w:t>
      </w:r>
    </w:p>
    <w:p w14:paraId="7ADB56F5">
      <w:pPr>
        <w:adjustRightInd w:val="0"/>
        <w:snapToGrid w:val="0"/>
        <w:spacing w:line="360" w:lineRule="auto"/>
        <w:ind w:firstLine="560"/>
        <w:rPr>
          <w:rFonts w:asciiTheme="minorHAnsi" w:hAnsiTheme="minorHAnsi" w:cstheme="minorHAnsi"/>
          <w:snapToGrid w:val="0"/>
          <w:szCs w:val="28"/>
        </w:rPr>
      </w:pPr>
      <w:r>
        <w:rPr>
          <w:rFonts w:hint="eastAsia" w:asciiTheme="minorHAnsi" w:hAnsiTheme="minorHAnsi" w:cstheme="minorHAnsi"/>
          <w:snapToGrid w:val="0"/>
          <w:szCs w:val="28"/>
        </w:rPr>
        <w:t>轨枕：钢筋混凝土轨枕1680根/km。</w:t>
      </w:r>
    </w:p>
    <w:p w14:paraId="745CABFF">
      <w:pPr>
        <w:pStyle w:val="5"/>
        <w:spacing w:after="190"/>
        <w:rPr>
          <w:rFonts w:asciiTheme="minorHAnsi" w:hAnsiTheme="minorHAnsi" w:cstheme="minorHAnsi"/>
        </w:rPr>
      </w:pPr>
      <w:r>
        <w:rPr>
          <w:rFonts w:asciiTheme="minorHAnsi" w:hAnsiTheme="minorHAnsi" w:cstheme="minorHAnsi"/>
        </w:rPr>
        <w:t>2.4.3开采范围</w:t>
      </w:r>
    </w:p>
    <w:p w14:paraId="07C0904E">
      <w:pPr>
        <w:adjustRightInd w:val="0"/>
        <w:snapToGrid w:val="0"/>
        <w:spacing w:line="360" w:lineRule="auto"/>
        <w:ind w:firstLine="562"/>
        <w:rPr>
          <w:rFonts w:asciiTheme="minorHAnsi" w:hAnsiTheme="minorHAnsi" w:cstheme="minorHAnsi"/>
          <w:b/>
        </w:rPr>
      </w:pPr>
      <w:r>
        <w:rPr>
          <w:rFonts w:hint="eastAsia" w:asciiTheme="minorHAnsi" w:hAnsiTheme="minorHAnsi" w:cstheme="minorHAnsi"/>
          <w:b/>
        </w:rPr>
        <w:t>（1）开采对象</w:t>
      </w:r>
    </w:p>
    <w:p w14:paraId="450F63A5">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彭集矿床包括彭集矿段和冯家庄矿段，设计一期开采对象为彭集矿段-475m以上矿体，二期开采对象为彭集矿段-475m以下矿体及冯家庄矿段矿体。</w:t>
      </w:r>
    </w:p>
    <w:p w14:paraId="7D563D38">
      <w:pPr>
        <w:adjustRightInd w:val="0"/>
        <w:snapToGrid w:val="0"/>
        <w:spacing w:line="360" w:lineRule="auto"/>
        <w:ind w:firstLine="562"/>
        <w:rPr>
          <w:rFonts w:asciiTheme="minorHAnsi" w:hAnsiTheme="minorHAnsi" w:cstheme="minorHAnsi"/>
          <w:b/>
        </w:rPr>
      </w:pPr>
      <w:r>
        <w:rPr>
          <w:rFonts w:hint="eastAsia" w:asciiTheme="minorHAnsi" w:hAnsiTheme="minorHAnsi" w:cstheme="minorHAnsi"/>
          <w:b/>
        </w:rPr>
        <w:t>（2）开采范围</w:t>
      </w:r>
    </w:p>
    <w:p w14:paraId="0AA2B8F7">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彭集矿段-100m以上资源量1820.65×1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t，占彭集矿段资源量的7.9%。其中探明+控制211.47×1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t，推断级别为1609.18×1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推断级别资源量占比88.4%。由于资源控制级别较低，且作为护顶矿柱，因此暂不考虑回采，这部分资源量待矿山生产中后期，在综合研究矿山地压显现规律的基础上，对护顶矿柱的开采方案再进行专门论证，届时如条件许可，可采用上向水平分层充填法或上向进路充填法对护顶矿柱再进行开采回收。</w:t>
      </w:r>
    </w:p>
    <w:p w14:paraId="1F9E9102">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彭集铁矿一期工程开采矿区范围内彭集矿段-100m~-475m标高之间的矿体，二期工程开采矿区范围内彭集矿段-475m标高以下的矿体及冯家庄矿段矿体。矿山分期开采示意见图</w:t>
      </w:r>
      <w:r>
        <w:rPr>
          <w:rFonts w:asciiTheme="minorHAnsi" w:hAnsiTheme="minorHAnsi" w:cstheme="minorHAnsi"/>
        </w:rPr>
        <w:t>2.4-1</w:t>
      </w:r>
      <w:r>
        <w:rPr>
          <w:rFonts w:hint="eastAsia" w:asciiTheme="minorHAnsi" w:hAnsiTheme="minorHAnsi" w:cstheme="minorHAnsi"/>
        </w:rPr>
        <w:t>。</w:t>
      </w:r>
    </w:p>
    <w:p w14:paraId="212DB2D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为保证董梁高速与G105国道安全运营，需留设保安矿柱。设计依据《公路安全保护条例》（2011年3月7日，国务院令第593号），确定董梁高速与G105国道保安矿柱范围及压覆资源量。</w:t>
      </w:r>
    </w:p>
    <w:p w14:paraId="71320BDC">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在董梁高速用地边界外缘向外推30m作为地表围护带，沿围护带边缘在第四系及风化层按45°，基岩段按70°向下作为高速保护范围，该范围内矿石不予开采，作为董梁高速保安矿柱永久损失。保安矿柱总资源量为61.80万t，一期开采范围内，即-100m~-475m之间，资源量为44.50×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t，其中探明、控制资源量17.17×1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t，推断级别资源量27.33×1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w:t>
      </w:r>
    </w:p>
    <w:p w14:paraId="27FDF481">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在G105国道外缘向两侧外推20m作为地表围护带，沿围护带外缘第四系及风化层按45°向下，基岩段按70°向下作为道路保护范围，该范围内矿石不予开采，作为G105国道保安矿柱永久损失。保安矿柱总资源量为32.59×1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t，一期开采范围内，即-100m~-475m之间，资源量为29.13×1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t，全部为推断资源量。</w:t>
      </w:r>
    </w:p>
    <w:p w14:paraId="5499BCD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一期开采范围内-100m～-475m标高之间总资源量为13567.14×1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t，其中探明资源量2692.23×1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t，控制资源量5572.54×1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t，推断级别资源量5302.38×1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t。扣除保安矿柱压矿量73.63×1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t，设计利用资源量为13493.52×1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t，其中探明资源量2682.47×1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t，控制资源量5565.13×1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t，推断资源量5245.91×1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w:t>
      </w:r>
    </w:p>
    <w:p w14:paraId="19278D8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彭集矿段-475m以下资源量为7768.67×1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t，冯家庄矿段资源量1594.58×1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t，作为二期进行开采。</w:t>
      </w:r>
    </w:p>
    <w:p w14:paraId="447B05DA">
      <w:pPr>
        <w:adjustRightInd w:val="0"/>
        <w:snapToGrid w:val="0"/>
        <w:spacing w:line="360" w:lineRule="auto"/>
        <w:ind w:firstLine="0" w:firstLineChars="0"/>
        <w:rPr>
          <w:rFonts w:asciiTheme="minorHAnsi" w:hAnsiTheme="minorHAnsi" w:cstheme="minorHAnsi"/>
        </w:rPr>
      </w:pPr>
      <w:r>
        <w:rPr>
          <w:rFonts w:hint="eastAsia"/>
        </w:rPr>
        <w:drawing>
          <wp:inline distT="0" distB="0" distL="0" distR="0">
            <wp:extent cx="5904230" cy="2182495"/>
            <wp:effectExtent l="0" t="0" r="1270" b="8255"/>
            <wp:docPr id="3" name="图片 3" descr="20250308彭集铁矿初步设计方案汇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50308彭集铁矿初步设计方案汇报_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904230" cy="2182581"/>
                    </a:xfrm>
                    <a:prstGeom prst="rect">
                      <a:avLst/>
                    </a:prstGeom>
                    <a:noFill/>
                    <a:ln>
                      <a:noFill/>
                    </a:ln>
                  </pic:spPr>
                </pic:pic>
              </a:graphicData>
            </a:graphic>
          </wp:inline>
        </w:drawing>
      </w:r>
    </w:p>
    <w:p w14:paraId="0D167A88">
      <w:pPr>
        <w:adjustRightInd w:val="0"/>
        <w:snapToGrid w:val="0"/>
        <w:spacing w:line="360" w:lineRule="auto"/>
        <w:ind w:firstLine="560"/>
        <w:jc w:val="center"/>
        <w:rPr>
          <w:rFonts w:asciiTheme="minorHAnsi" w:hAnsiTheme="minorHAnsi" w:cstheme="minorHAnsi"/>
        </w:rPr>
      </w:pPr>
      <w:r>
        <w:rPr>
          <w:rFonts w:hint="eastAsia" w:asciiTheme="minorHAnsi" w:hAnsiTheme="minorHAnsi" w:cstheme="minorHAnsi"/>
        </w:rPr>
        <w:t>图</w:t>
      </w:r>
      <w:r>
        <w:rPr>
          <w:rFonts w:asciiTheme="minorHAnsi" w:hAnsiTheme="minorHAnsi" w:cstheme="minorHAnsi"/>
        </w:rPr>
        <w:t>2.4</w:t>
      </w:r>
      <w:r>
        <w:rPr>
          <w:rFonts w:hint="eastAsia" w:asciiTheme="minorHAnsi" w:hAnsiTheme="minorHAnsi" w:cstheme="minorHAnsi"/>
        </w:rPr>
        <w:t>-1 矿山分期开采示意图</w:t>
      </w:r>
    </w:p>
    <w:p w14:paraId="12E3BC8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1）一期开采范围</w:t>
      </w:r>
    </w:p>
    <w:p w14:paraId="45C3A782">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设计考虑将彭集矿段-475m以上矿体作为矿山一期开采对象，-475m水平以上总资源量为15387.80×1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w:t>
      </w:r>
    </w:p>
    <w:p w14:paraId="7DFE0FB9">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-100m以上作为护顶矿柱暂不开采，护顶矿柱资源量1820.65×1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t。因此，一期设计开采范围为彭集矿段-100m~-475m之间矿体，开采范围内总资源量为13567.14×1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t，其中探明资源量2692.23×1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t，控制资源量5572.54×1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t，推断级别资源量5302.38×1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t。扣除董梁高速及G105国道保安矿柱压矿量73.63×1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t，设计利用资源量为13493.52×1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t，其中探明资源量2682.47×1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t，控制资源量5565.13×1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t，推断资源量5245.91×1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w:t>
      </w:r>
    </w:p>
    <w:p w14:paraId="16AE22D2">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2）二期开采范围</w:t>
      </w:r>
    </w:p>
    <w:p w14:paraId="317A9A72">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设计考虑将彭集矿段-475m以下矿体及冯家庄矿段矿体作为矿山二期开采对象，-475m水平以下总资源量为7768.67×1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t，冯家庄矿段总资源量为1594.58×1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w:t>
      </w:r>
    </w:p>
    <w:p w14:paraId="4783DE2E">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彭集矿段为保证二期开采的回采安全，在-475m~-505m之间矿体留设30m厚的水平隔离矿柱暂不开采，保安矿柱资源量为1022.36×1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t。-805m以下保有资源量692.07×1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t，其中推断资源量499.14×1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t，占比72.1%。由于矿体勘探程度较低，分层资源量较少，可达生产能力小，设计考虑暂不开采。二期彭集矿段开采范围为-505m~-805m之间矿体。</w:t>
      </w:r>
    </w:p>
    <w:p w14:paraId="77DA6379">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冯家庄矿段-100m以上作为护顶矿柱暂不开采，护顶矿柱资源量168.02×1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t，全部为推断资源量。-475m以下保有资源量290.99×1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t，全部为推断资源量，由于矿体勘探程度较低，分层资源量较少，可达生产能力小，设计考虑暂不开采。二期冯家庄矿段开采范围为-100m~-475m之间矿体。</w:t>
      </w:r>
    </w:p>
    <w:p w14:paraId="79A289EC">
      <w:pPr>
        <w:adjustRightInd w:val="0"/>
        <w:snapToGrid w:val="0"/>
        <w:spacing w:line="360" w:lineRule="auto"/>
        <w:ind w:firstLine="562"/>
        <w:rPr>
          <w:rFonts w:asciiTheme="minorHAnsi" w:hAnsiTheme="minorHAnsi" w:cstheme="minorHAnsi"/>
          <w:b/>
          <w:bCs/>
        </w:rPr>
      </w:pPr>
      <w:r>
        <w:rPr>
          <w:rFonts w:asciiTheme="minorHAnsi" w:hAnsiTheme="minorHAnsi" w:cstheme="minorHAnsi"/>
          <w:b/>
          <w:bCs/>
        </w:rPr>
        <w:t>（3）开采顺序</w:t>
      </w:r>
    </w:p>
    <w:p w14:paraId="773C4FE5">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首先开采9线以北矿体，统筹考虑9线以南矿体的开采。</w:t>
      </w:r>
    </w:p>
    <w:p w14:paraId="5FD1FA34">
      <w:pPr>
        <w:adjustRightInd w:val="0"/>
        <w:snapToGrid w:val="0"/>
        <w:spacing w:line="360" w:lineRule="auto"/>
        <w:ind w:firstLine="560"/>
        <w:rPr>
          <w:rFonts w:asciiTheme="minorHAnsi" w:hAnsiTheme="minorHAnsi" w:cstheme="minorHAnsi"/>
        </w:rPr>
      </w:pPr>
      <w:r>
        <w:rPr>
          <w:rFonts w:asciiTheme="minorHAnsi" w:hAnsiTheme="minorHAnsi" w:cstheme="minorHAnsi"/>
        </w:rPr>
        <w:t>1</w:t>
      </w:r>
      <w:r>
        <w:rPr>
          <w:rFonts w:hint="eastAsia" w:asciiTheme="minorHAnsi" w:hAnsiTheme="minorHAnsi" w:cstheme="minorHAnsi"/>
        </w:rPr>
        <w:t>） 阶段间开采顺序</w:t>
      </w:r>
    </w:p>
    <w:p w14:paraId="15787A08">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阶段间采用上向式开采顺序，由下向上逐阶段开采。</w:t>
      </w:r>
    </w:p>
    <w:p w14:paraId="49EE2FEA">
      <w:pPr>
        <w:adjustRightInd w:val="0"/>
        <w:snapToGrid w:val="0"/>
        <w:spacing w:line="360" w:lineRule="auto"/>
        <w:ind w:firstLine="560"/>
        <w:rPr>
          <w:rFonts w:asciiTheme="minorHAnsi" w:hAnsiTheme="minorHAnsi" w:cstheme="minorHAnsi"/>
        </w:rPr>
      </w:pPr>
      <w:r>
        <w:rPr>
          <w:rFonts w:asciiTheme="minorHAnsi" w:hAnsiTheme="minorHAnsi" w:cstheme="minorHAnsi"/>
        </w:rPr>
        <w:t>2</w:t>
      </w:r>
      <w:r>
        <w:rPr>
          <w:rFonts w:hint="eastAsia" w:asciiTheme="minorHAnsi" w:hAnsiTheme="minorHAnsi" w:cstheme="minorHAnsi"/>
        </w:rPr>
        <w:t>） 阶段内开采顺序</w:t>
      </w:r>
    </w:p>
    <w:p w14:paraId="51B107E3">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阶段内的主要矿体垂直走向方向基本分为上下盘两个条带，条带间夹石较厚，主要为上盘的1-2、2号矿体条带和下盘的5-3、6-2号矿体条带。</w:t>
      </w:r>
    </w:p>
    <w:p w14:paraId="10494E77">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-2、2号矿体，5-3、6-2号矿体平行分布，且距离较近，设计采用分采。设计考虑先开采位于下盘的2号和6-2号矿体，上盘的1-2号和5-3号矿体开采需滞后上盘矿体一个盘区。而3号、4号、7号、8号等零星矿体，由于矿体规模小，可达生产能力低，设计考虑暂不开采，待主要矿体开采结束后再择机回收。</w:t>
      </w:r>
    </w:p>
    <w:p w14:paraId="68BE3B0C">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二期开采顺序同为自下而上逐阶段开采，首采阶段虽然能力为235×1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t/a，但可配合一期最上部阶段同时生产，总规模维持800×1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t/a规模，二期单独生产时，阶段能力即可达到400×1</w:t>
      </w:r>
      <w:r>
        <w:rPr>
          <w:rFonts w:asciiTheme="minorHAnsi" w:hAnsiTheme="minorHAnsi" w:cstheme="minorHAnsi"/>
        </w:rPr>
        <w:t>0</w:t>
      </w:r>
      <w:r>
        <w:rPr>
          <w:rFonts w:asciiTheme="minorHAnsi" w:hAnsiTheme="minorHAnsi" w:cstheme="minorHAnsi"/>
          <w:vertAlign w:val="superscript"/>
        </w:rPr>
        <w:t>4</w:t>
      </w:r>
      <w:r>
        <w:rPr>
          <w:rFonts w:hint="eastAsia" w:asciiTheme="minorHAnsi" w:hAnsiTheme="minorHAnsi" w:cstheme="minorHAnsi"/>
        </w:rPr>
        <w:t>t/a。</w:t>
      </w:r>
    </w:p>
    <w:p w14:paraId="6041E3B5">
      <w:pPr>
        <w:pStyle w:val="5"/>
        <w:spacing w:after="190"/>
        <w:rPr>
          <w:rFonts w:asciiTheme="minorHAnsi" w:hAnsiTheme="minorHAnsi" w:cstheme="minorHAnsi"/>
          <w:bCs w:val="0"/>
        </w:rPr>
      </w:pPr>
      <w:r>
        <w:rPr>
          <w:rFonts w:asciiTheme="minorHAnsi" w:hAnsiTheme="minorHAnsi" w:cstheme="minorHAnsi"/>
        </w:rPr>
        <w:t>2.4.4开拓运输</w:t>
      </w:r>
    </w:p>
    <w:p w14:paraId="4A593CC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根据矿体形态和围岩性质等推荐的错动角度如下：</w:t>
      </w:r>
    </w:p>
    <w:p w14:paraId="5C7DB8B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基岩：上、下盘及端部为70°；</w:t>
      </w:r>
    </w:p>
    <w:p w14:paraId="5E24528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矿区第四系及风化岩地层：45°。</w:t>
      </w:r>
    </w:p>
    <w:p w14:paraId="0AC4C363">
      <w:pPr>
        <w:adjustRightInd w:val="0"/>
        <w:snapToGrid w:val="0"/>
        <w:spacing w:line="360" w:lineRule="auto"/>
        <w:ind w:firstLine="0" w:firstLineChars="0"/>
        <w:jc w:val="left"/>
        <w:rPr>
          <w:rFonts w:asciiTheme="minorHAnsi" w:hAnsiTheme="minorHAnsi" w:eastAsiaTheme="minorEastAsia" w:cstheme="minorHAnsi"/>
          <w:b/>
          <w:szCs w:val="28"/>
        </w:rPr>
      </w:pPr>
      <w:r>
        <w:rPr>
          <w:rFonts w:hint="eastAsia" w:asciiTheme="minorHAnsi" w:hAnsiTheme="minorHAnsi" w:eastAsiaTheme="minorEastAsia" w:cstheme="minorHAnsi"/>
          <w:b/>
          <w:szCs w:val="28"/>
        </w:rPr>
        <w:t>2</w:t>
      </w:r>
      <w:r>
        <w:rPr>
          <w:rFonts w:asciiTheme="minorHAnsi" w:hAnsiTheme="minorHAnsi" w:eastAsiaTheme="minorEastAsia" w:cstheme="minorHAnsi"/>
          <w:b/>
          <w:szCs w:val="28"/>
        </w:rPr>
        <w:t>.4.4.1</w:t>
      </w:r>
      <w:r>
        <w:rPr>
          <w:rFonts w:hint="eastAsia" w:asciiTheme="minorHAnsi" w:hAnsiTheme="minorHAnsi" w:eastAsiaTheme="minorEastAsia" w:cstheme="minorHAnsi"/>
          <w:b/>
          <w:szCs w:val="28"/>
        </w:rPr>
        <w:t>一期开拓系统</w:t>
      </w:r>
    </w:p>
    <w:p w14:paraId="27951AC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矿山一期采用竖井开拓系统。</w:t>
      </w:r>
    </w:p>
    <w:p w14:paraId="670FA9CD">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（1）开拓系统</w:t>
      </w:r>
    </w:p>
    <w:p w14:paraId="2A634EF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开拓系统共设有1条主井、1条副井、1条进风井、2条回风井和2条采区斜坡道。各井筒分别叙述如下：</w:t>
      </w:r>
    </w:p>
    <w:p w14:paraId="3ED91E2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1）主井及破碎系统</w:t>
      </w:r>
    </w:p>
    <w:p w14:paraId="2A661EB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主井位于矿体下盘15~17勘探线之间，地表工业场地的西南角，井口标高+47m，井底标高-685m，井筒净直径6.5m。井颈部分采用C40钢筋混凝土支护，支护厚度900mm，冻结法施工井颈深度为100m。井筒采用C30混凝土支护，支护厚度450mm。主要负责矿山800×1</w:t>
      </w:r>
      <w:r>
        <w:rPr>
          <w:rFonts w:asciiTheme="minorHAnsi" w:hAnsiTheme="minorHAnsi" w:eastAsiaTheme="minorEastAsia" w:cstheme="minorHAnsi"/>
          <w:szCs w:val="28"/>
        </w:rPr>
        <w:t>0</w:t>
      </w:r>
      <w:r>
        <w:rPr>
          <w:rFonts w:asciiTheme="minorHAnsi" w:hAnsiTheme="minorHAnsi" w:eastAsiaTheme="minorEastAsia" w:cstheme="minorHAnsi"/>
          <w:szCs w:val="28"/>
          <w:vertAlign w:val="superscript"/>
        </w:rPr>
        <w:t>4</w:t>
      </w:r>
      <w:r>
        <w:rPr>
          <w:rFonts w:hint="eastAsia" w:asciiTheme="minorHAnsi" w:hAnsiTheme="minorHAnsi" w:eastAsiaTheme="minorEastAsia" w:cstheme="minorHAnsi"/>
          <w:szCs w:val="28"/>
        </w:rPr>
        <w:t>t/a矿石及40×1</w:t>
      </w:r>
      <w:r>
        <w:rPr>
          <w:rFonts w:asciiTheme="minorHAnsi" w:hAnsiTheme="minorHAnsi" w:eastAsiaTheme="minorEastAsia" w:cstheme="minorHAnsi"/>
          <w:szCs w:val="28"/>
        </w:rPr>
        <w:t>0</w:t>
      </w:r>
      <w:r>
        <w:rPr>
          <w:rFonts w:asciiTheme="minorHAnsi" w:hAnsiTheme="minorHAnsi" w:eastAsiaTheme="minorEastAsia" w:cstheme="minorHAnsi"/>
          <w:szCs w:val="28"/>
          <w:vertAlign w:val="superscript"/>
        </w:rPr>
        <w:t>4</w:t>
      </w:r>
      <w:r>
        <w:rPr>
          <w:rFonts w:hint="eastAsia" w:asciiTheme="minorHAnsi" w:hAnsiTheme="minorHAnsi" w:eastAsiaTheme="minorEastAsia" w:cstheme="minorHAnsi"/>
          <w:szCs w:val="28"/>
        </w:rPr>
        <w:t>t/a岩石的提升任务。</w:t>
      </w:r>
    </w:p>
    <w:p w14:paraId="2AB487C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主井采用双箕斗提升方式，选用32.5m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的底卸式箕斗，自重（含首尾绳悬挂装置）69t，有效载重60t。</w:t>
      </w:r>
    </w:p>
    <w:p w14:paraId="6AC9B37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选用</w:t>
      </w:r>
      <w:r>
        <w:rPr>
          <w:rFonts w:cs="Times New Roman"/>
        </w:rPr>
        <w:t>JKM5.5×6P Ⅳ型</w:t>
      </w:r>
      <w:r>
        <w:t>多绳</w:t>
      </w:r>
      <w:r>
        <w:rPr>
          <w:rFonts w:hint="eastAsia"/>
        </w:rPr>
        <w:t>摩擦式</w:t>
      </w:r>
      <w:r>
        <w:t>提升机，配用</w:t>
      </w:r>
      <w:r>
        <w:rPr>
          <w:szCs w:val="28"/>
        </w:rPr>
        <w:t>TDBS型交流</w:t>
      </w:r>
      <w:r>
        <w:t>同步电动机</w:t>
      </w:r>
      <w:r>
        <w:rPr>
          <w:rFonts w:hint="eastAsia" w:asciiTheme="minorHAnsi" w:hAnsiTheme="minorHAnsi" w:eastAsiaTheme="minorEastAsia" w:cstheme="minorHAnsi"/>
          <w:szCs w:val="28"/>
        </w:rPr>
        <w:t>，双电机驱动，电机功率2×5200kW，电压3150V，转速47r/min，采用交-直-交变频调速，PLC控制。</w:t>
      </w:r>
      <w:r>
        <w:rPr>
          <w:rFonts w:hint="eastAsia"/>
          <w:bCs/>
          <w:szCs w:val="28"/>
        </w:rPr>
        <w:t>提升首绳选用6根6×K36WS-FC-Ф52-1770型镀锌压实股钢丝绳，平衡尾绳选用4根6×36WS-FC-Ф66-1570型镀锌圆股钢丝绳。</w:t>
      </w:r>
    </w:p>
    <w:p w14:paraId="56F68B5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在-565m水平主井附近设一座破碎硐室，硐室内部安装2台C160颚式破碎机。由2条主溜井下放的矿石和废石分别经给料机给入各自对应的破碎机。</w:t>
      </w:r>
    </w:p>
    <w:p w14:paraId="4B4D2C00">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破碎后的矿石经破碎下部矿仓下放至-625m水平皮带道及计量硐室进行箕斗装载。</w:t>
      </w:r>
    </w:p>
    <w:p w14:paraId="2AAD6741">
      <w:pPr>
        <w:adjustRightInd w:val="0"/>
        <w:snapToGrid w:val="0"/>
        <w:spacing w:line="360" w:lineRule="auto"/>
        <w:ind w:firstLine="560"/>
        <w:rPr>
          <w:rFonts w:asciiTheme="minorHAnsi" w:hAnsiTheme="minorHAnsi" w:eastAsiaTheme="minorEastAsia" w:cstheme="minorHAnsi"/>
          <w:szCs w:val="28"/>
        </w:rPr>
      </w:pPr>
      <w:r>
        <w:rPr>
          <w:szCs w:val="28"/>
        </w:rPr>
        <w:t>在-</w:t>
      </w:r>
      <w:r>
        <w:rPr>
          <w:rFonts w:hint="eastAsia"/>
          <w:szCs w:val="28"/>
        </w:rPr>
        <w:t>685</w:t>
      </w:r>
      <w:r>
        <w:rPr>
          <w:szCs w:val="28"/>
        </w:rPr>
        <w:t>m水平设粉矿清理硐室。粉矿回收系统采用2m</w:t>
      </w:r>
      <w:r>
        <w:rPr>
          <w:szCs w:val="28"/>
          <w:vertAlign w:val="superscript"/>
        </w:rPr>
        <w:t>3</w:t>
      </w:r>
      <w:r>
        <w:rPr>
          <w:szCs w:val="28"/>
        </w:rPr>
        <w:t>柴油</w:t>
      </w:r>
      <w:r>
        <w:rPr>
          <w:rFonts w:hint="eastAsia"/>
          <w:szCs w:val="28"/>
        </w:rPr>
        <w:t>铲运机</w:t>
      </w:r>
      <w:r>
        <w:rPr>
          <w:szCs w:val="28"/>
        </w:rPr>
        <w:t>直接将撒矿翻卸至</w:t>
      </w:r>
      <w:r>
        <w:rPr>
          <w:rFonts w:hint="eastAsia"/>
          <w:szCs w:val="28"/>
        </w:rPr>
        <w:t>10</w:t>
      </w:r>
      <w:r>
        <w:rPr>
          <w:szCs w:val="28"/>
        </w:rPr>
        <w:t>t井下卡车，由</w:t>
      </w:r>
      <w:r>
        <w:rPr>
          <w:rFonts w:hint="eastAsia"/>
          <w:szCs w:val="28"/>
        </w:rPr>
        <w:t>溜破系统斜坡道</w:t>
      </w:r>
      <w:r>
        <w:rPr>
          <w:szCs w:val="28"/>
        </w:rPr>
        <w:t>运输至-</w:t>
      </w:r>
      <w:r>
        <w:rPr>
          <w:rFonts w:hint="eastAsia"/>
          <w:szCs w:val="28"/>
        </w:rPr>
        <w:t>565</w:t>
      </w:r>
      <w:r>
        <w:rPr>
          <w:szCs w:val="28"/>
        </w:rPr>
        <w:t>m破碎水平，翻卸至下部矿仓。</w:t>
      </w:r>
    </w:p>
    <w:p w14:paraId="466EB04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溜破系统人员、材料与备品备件经由副井下井，副井内设两套提升系统，作为溜破系统主要安全出口。</w:t>
      </w:r>
    </w:p>
    <w:p w14:paraId="1F6CF94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2）副井</w:t>
      </w:r>
    </w:p>
    <w:p w14:paraId="32A39A5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副井位于下盘15~17勘探线之间，地表工业场地的西南角，与主井集中布置，位于主井东南约130m，井口标高+47m，井底标高-600m，</w:t>
      </w:r>
      <w:r>
        <w:rPr>
          <w:rFonts w:hint="eastAsia" w:cs="Times New Roman"/>
          <w:szCs w:val="28"/>
        </w:rPr>
        <w:t>最低服务水平为-565m破碎水平</w:t>
      </w:r>
      <w:r>
        <w:rPr>
          <w:rFonts w:hint="eastAsia" w:asciiTheme="minorHAnsi" w:hAnsiTheme="minorHAnsi" w:eastAsiaTheme="minorEastAsia" w:cstheme="minorHAnsi"/>
          <w:szCs w:val="28"/>
        </w:rPr>
        <w:t>。井筒净直径8.0m。</w:t>
      </w:r>
      <w:r>
        <w:rPr>
          <w:rFonts w:hint="eastAsia"/>
          <w:bCs/>
          <w:szCs w:val="28"/>
        </w:rPr>
        <w:t>井颈部分采用C40钢筋混凝土支护，支护厚度1100mm，冻结法施工井颈深度为100m。井筒采用C35混凝土支护，支护厚度500mm。</w:t>
      </w:r>
      <w:r>
        <w:rPr>
          <w:rFonts w:hint="eastAsia" w:asciiTheme="minorHAnsi" w:hAnsiTheme="minorHAnsi" w:eastAsiaTheme="minorEastAsia" w:cstheme="minorHAnsi"/>
          <w:szCs w:val="28"/>
        </w:rPr>
        <w:t>主要负责矿山人员、支护材料、爆破器材、设备、大件的下井任务，设压气、供水、排水管道及电缆，作为矿山主要安全出口。同时承担190m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/s进风任务。分别在-100m、-175m、-250m、-325m、-400m、-475m、-565m水平设单侧马头门，在-505m水平设双侧马头门。</w:t>
      </w:r>
      <w:r>
        <w:rPr>
          <w:rFonts w:hint="eastAsia"/>
          <w:bCs/>
          <w:szCs w:val="28"/>
        </w:rPr>
        <w:t>马头门均采用C35混凝土支护。</w:t>
      </w:r>
      <w:r>
        <w:rPr>
          <w:rFonts w:hint="eastAsia" w:asciiTheme="minorHAnsi" w:hAnsiTheme="minorHAnsi" w:eastAsiaTheme="minorEastAsia" w:cstheme="minorHAnsi"/>
          <w:szCs w:val="28"/>
        </w:rPr>
        <w:t>设井口预热。</w:t>
      </w:r>
    </w:p>
    <w:p w14:paraId="4965DAD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副井井筒内布置两套相互独立的罐笼配平衡锤提升系统。</w:t>
      </w:r>
    </w:p>
    <w:p w14:paraId="638A64D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大罐笼为双层六绳罐笼，底板面积（长×宽）：6300mm×3000mm，</w:t>
      </w:r>
      <w:r>
        <w:rPr>
          <w:rFonts w:cs="Times New Roman"/>
          <w:szCs w:val="28"/>
        </w:rPr>
        <w:t>提升机选用JKM3.5×6P Ⅲ型多绳摩擦式提升机，配用TDBS型交流同步电动机</w:t>
      </w:r>
      <w:r>
        <w:rPr>
          <w:rFonts w:hint="eastAsia" w:asciiTheme="minorHAnsi" w:hAnsiTheme="minorHAnsi" w:eastAsiaTheme="minorEastAsia" w:cstheme="minorHAnsi"/>
          <w:szCs w:val="28"/>
        </w:rPr>
        <w:t>，功率N=1900kW。</w:t>
      </w:r>
    </w:p>
    <w:p w14:paraId="4F4C79E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小罐笼为单层四绳罐笼，底板面积（长×宽）：1600mm×1180mm，提升机选用</w:t>
      </w:r>
      <w:r>
        <w:rPr>
          <w:rFonts w:hint="eastAsia"/>
          <w:szCs w:val="28"/>
        </w:rPr>
        <w:t>J</w:t>
      </w:r>
      <w:r>
        <w:rPr>
          <w:rFonts w:cs="Times New Roman"/>
          <w:szCs w:val="28"/>
        </w:rPr>
        <w:t>KM1.3×4P Ⅰ</w:t>
      </w:r>
      <w:r>
        <w:rPr>
          <w:rFonts w:hint="eastAsia"/>
          <w:szCs w:val="28"/>
        </w:rPr>
        <w:t>型</w:t>
      </w:r>
      <w:r>
        <w:rPr>
          <w:rFonts w:hint="eastAsia" w:asciiTheme="minorHAnsi" w:hAnsiTheme="minorHAnsi" w:eastAsiaTheme="minorEastAsia" w:cstheme="minorHAnsi"/>
          <w:szCs w:val="28"/>
        </w:rPr>
        <w:t>塔式多绳摩擦式提升机，配用YSBP型交流变频电动机，功率75kW。</w:t>
      </w:r>
    </w:p>
    <w:p w14:paraId="43ED8A4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3）进风井</w:t>
      </w:r>
    </w:p>
    <w:p w14:paraId="0ADEAD3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进风井位于下盘11勘探线附近，井口标高+47m，井底标高-505m，井筒净直径7.0m。</w:t>
      </w:r>
      <w:r>
        <w:rPr>
          <w:rFonts w:hint="eastAsia"/>
          <w:bCs/>
          <w:szCs w:val="28"/>
        </w:rPr>
        <w:t>井颈部分采用C40钢筋混凝土支护，支护厚度950mm，冻结法施工井颈深度为100m。井筒采用C30混凝土支护，支护厚度450mm。</w:t>
      </w:r>
      <w:r>
        <w:rPr>
          <w:rFonts w:hint="eastAsia" w:asciiTheme="minorHAnsi" w:hAnsiTheme="minorHAnsi" w:eastAsiaTheme="minorEastAsia" w:cstheme="minorHAnsi"/>
          <w:szCs w:val="28"/>
        </w:rPr>
        <w:t>承担矿山进风任务，进风风量为480m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/s。分别在-400m、-505m水平设单侧马头门，在-475m水平设双侧马头门。</w:t>
      </w:r>
      <w:r>
        <w:rPr>
          <w:rFonts w:hint="eastAsia"/>
          <w:bCs/>
          <w:szCs w:val="28"/>
        </w:rPr>
        <w:t>马头门均采用C30混凝土支护。</w:t>
      </w:r>
      <w:r>
        <w:rPr>
          <w:rFonts w:hint="eastAsia" w:asciiTheme="minorHAnsi" w:hAnsiTheme="minorHAnsi" w:eastAsiaTheme="minorEastAsia" w:cstheme="minorHAnsi"/>
          <w:szCs w:val="28"/>
        </w:rPr>
        <w:t>设井口预热。</w:t>
      </w:r>
    </w:p>
    <w:p w14:paraId="1BA7241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4）1号回风井</w:t>
      </w:r>
    </w:p>
    <w:p w14:paraId="76215B4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1号回风井位于下盘13线附近，井口标高+47m，井底标高-505m，井筒净直径6.5m。</w:t>
      </w:r>
      <w:r>
        <w:rPr>
          <w:rFonts w:hint="eastAsia"/>
          <w:bCs/>
          <w:szCs w:val="28"/>
        </w:rPr>
        <w:t>井颈部分采用C40钢筋混凝土支护，支护厚度950mm，冻结法施工井颈深度为120m。井筒采用C30混凝土支护，支护厚度450mm。</w:t>
      </w:r>
      <w:r>
        <w:rPr>
          <w:rFonts w:hint="eastAsia" w:asciiTheme="minorHAnsi" w:hAnsiTheme="minorHAnsi" w:eastAsiaTheme="minorEastAsia" w:cstheme="minorHAnsi"/>
          <w:szCs w:val="28"/>
        </w:rPr>
        <w:t>承担矿山回风任务，回风风量360m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/s。分别在-100m、-250m水平设双侧马头门，在-400m、-475m、-505m水平开单侧马头门，</w:t>
      </w:r>
      <w:r>
        <w:rPr>
          <w:rFonts w:hint="eastAsia"/>
          <w:bCs/>
          <w:szCs w:val="28"/>
        </w:rPr>
        <w:t>马头门采用C30混凝土支护。</w:t>
      </w:r>
    </w:p>
    <w:p w14:paraId="78B79E76">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5）2号回风井</w:t>
      </w:r>
    </w:p>
    <w:p w14:paraId="374715D2">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2号回风井位于下盘5线与7线之间，井口标高+48m，井底标高-505m，井筒净直径6.5m。</w:t>
      </w:r>
      <w:r>
        <w:rPr>
          <w:rFonts w:hint="eastAsia"/>
          <w:bCs/>
          <w:szCs w:val="28"/>
        </w:rPr>
        <w:t>井颈部分采用C40钢筋混凝土支护，支护厚度950mm，冻结法施工井颈深度为100m。井筒采用C30混凝土支护，支护厚度450mm。</w:t>
      </w:r>
      <w:r>
        <w:rPr>
          <w:rFonts w:hint="eastAsia" w:asciiTheme="minorHAnsi" w:hAnsiTheme="minorHAnsi" w:eastAsiaTheme="minorEastAsia" w:cstheme="minorHAnsi"/>
          <w:szCs w:val="28"/>
        </w:rPr>
        <w:t>负责矿山回风任务，回风风量310m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/s。分别在-100m、-250m水平设双侧马头门，在-400m、-475m、-505m水平开设单侧马头门。</w:t>
      </w:r>
      <w:r>
        <w:rPr>
          <w:rFonts w:hint="eastAsia"/>
          <w:bCs/>
          <w:szCs w:val="28"/>
        </w:rPr>
        <w:t>马头门采用C30混凝土支护。</w:t>
      </w:r>
      <w:r>
        <w:rPr>
          <w:rFonts w:hint="eastAsia" w:asciiTheme="minorHAnsi" w:hAnsiTheme="minorHAnsi" w:eastAsiaTheme="minorEastAsia" w:cstheme="minorHAnsi"/>
          <w:szCs w:val="28"/>
        </w:rPr>
        <w:t>设梯子间，作为矿山应急安全出口。</w:t>
      </w:r>
    </w:p>
    <w:p w14:paraId="3D1CE3F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6）1号采区斜坡道</w:t>
      </w:r>
    </w:p>
    <w:p w14:paraId="186364C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上口标高-400m，下口标高-475m，负责井下人员、设备、材料在各分段间通行任务。直线段坡度为15%，在各分段联络巷处设缓坡段，缓坡段坡度3%，缓坡段间距不大于400m。</w:t>
      </w:r>
    </w:p>
    <w:p w14:paraId="381E40DF">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7）2号采区斜坡道</w:t>
      </w:r>
    </w:p>
    <w:p w14:paraId="19A5235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上口标高-400m，下口标高-475m，负责井下人员、设备材料在各分段间通行任务。直线段坡度为15%，在各分段联络巷处设缓坡段，缓坡段坡度3%，缓坡段间距不大于400m。</w:t>
      </w:r>
    </w:p>
    <w:p w14:paraId="58EA2F7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主要开拓工程特征见表</w:t>
      </w:r>
      <w:r>
        <w:rPr>
          <w:rFonts w:asciiTheme="minorHAnsi" w:hAnsiTheme="minorHAnsi" w:eastAsiaTheme="minorEastAsia" w:cstheme="minorHAnsi"/>
          <w:szCs w:val="28"/>
        </w:rPr>
        <w:t>2.4-1</w:t>
      </w:r>
      <w:r>
        <w:rPr>
          <w:rFonts w:hint="eastAsia" w:asciiTheme="minorHAnsi" w:hAnsiTheme="minorHAnsi" w:eastAsiaTheme="minorEastAsia" w:cstheme="minorHAnsi"/>
          <w:szCs w:val="28"/>
        </w:rPr>
        <w:t>，开拓系统立体图见图</w:t>
      </w:r>
      <w:r>
        <w:rPr>
          <w:rFonts w:asciiTheme="minorHAnsi" w:hAnsiTheme="minorHAnsi" w:eastAsiaTheme="minorEastAsia" w:cstheme="minorHAnsi"/>
          <w:szCs w:val="28"/>
        </w:rPr>
        <w:t>2.4-2</w:t>
      </w:r>
      <w:r>
        <w:rPr>
          <w:rFonts w:hint="eastAsia" w:asciiTheme="minorHAnsi" w:hAnsiTheme="minorHAnsi" w:eastAsiaTheme="minorEastAsia" w:cstheme="minorHAnsi"/>
          <w:szCs w:val="28"/>
        </w:rPr>
        <w:t>。</w:t>
      </w:r>
    </w:p>
    <w:p w14:paraId="5F0DB900">
      <w:pPr>
        <w:widowControl/>
        <w:spacing w:line="240" w:lineRule="auto"/>
        <w:ind w:firstLine="0" w:firstLineChars="0"/>
        <w:jc w:val="left"/>
        <w:rPr>
          <w:rFonts w:asciiTheme="minorHAnsi" w:hAnsiTheme="minorHAnsi" w:eastAsiaTheme="minorEastAsia" w:cstheme="minorHAnsi"/>
          <w:szCs w:val="28"/>
        </w:rPr>
      </w:pPr>
      <w:r>
        <w:rPr>
          <w:rFonts w:asciiTheme="minorHAnsi" w:hAnsiTheme="minorHAnsi" w:eastAsiaTheme="minorEastAsia" w:cstheme="minorHAnsi"/>
          <w:szCs w:val="28"/>
        </w:rPr>
        <w:br w:type="page"/>
      </w:r>
    </w:p>
    <w:p w14:paraId="55850D06">
      <w:pPr>
        <w:adjustRightInd w:val="0"/>
        <w:snapToGrid w:val="0"/>
        <w:spacing w:line="360" w:lineRule="auto"/>
        <w:ind w:firstLine="560"/>
        <w:jc w:val="center"/>
        <w:rPr>
          <w:rFonts w:asciiTheme="minorHAnsi" w:hAnsiTheme="minorHAnsi" w:eastAsiaTheme="minorEastAsia" w:cstheme="minorHAnsi"/>
          <w:szCs w:val="28"/>
        </w:rPr>
      </w:pPr>
      <w:r>
        <w:rPr>
          <w:rFonts w:hint="eastAsia" w:asciiTheme="minorHAnsi" w:hAnsiTheme="minorHAnsi" w:eastAsiaTheme="minorEastAsia" w:cstheme="minorHAnsi"/>
          <w:szCs w:val="28"/>
        </w:rPr>
        <w:t>表2</w:t>
      </w:r>
      <w:r>
        <w:rPr>
          <w:rFonts w:asciiTheme="minorHAnsi" w:hAnsiTheme="minorHAnsi" w:eastAsiaTheme="minorEastAsia" w:cstheme="minorHAnsi"/>
          <w:szCs w:val="28"/>
        </w:rPr>
        <w:t>.4-1  主要开拓工程特征表</w:t>
      </w:r>
    </w:p>
    <w:tbl>
      <w:tblPr>
        <w:tblStyle w:val="5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1010"/>
        <w:gridCol w:w="1077"/>
        <w:gridCol w:w="896"/>
        <w:gridCol w:w="2732"/>
        <w:gridCol w:w="2559"/>
      </w:tblGrid>
      <w:tr w14:paraId="10CE0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648" w:type="pct"/>
            <w:tcBorders>
              <w:top w:val="single" w:color="auto" w:sz="4" w:space="0"/>
              <w:left w:val="single" w:color="auto" w:sz="4" w:space="0"/>
              <w:bottom w:val="single" w:color="auto" w:sz="4" w:space="0"/>
              <w:right w:val="single" w:color="auto" w:sz="4" w:space="0"/>
            </w:tcBorders>
            <w:vAlign w:val="center"/>
          </w:tcPr>
          <w:p w14:paraId="6C517F16">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名称</w:t>
            </w:r>
          </w:p>
        </w:tc>
        <w:tc>
          <w:tcPr>
            <w:tcW w:w="531" w:type="pct"/>
            <w:tcBorders>
              <w:top w:val="single" w:color="auto" w:sz="4" w:space="0"/>
              <w:left w:val="single" w:color="auto" w:sz="4" w:space="0"/>
              <w:bottom w:val="single" w:color="auto" w:sz="4" w:space="0"/>
              <w:right w:val="single" w:color="auto" w:sz="4" w:space="0"/>
            </w:tcBorders>
            <w:vAlign w:val="center"/>
          </w:tcPr>
          <w:p w14:paraId="0D855C04">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井口标高</w:t>
            </w:r>
          </w:p>
          <w:p w14:paraId="5027C405">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（m）</w:t>
            </w:r>
          </w:p>
        </w:tc>
        <w:tc>
          <w:tcPr>
            <w:tcW w:w="566" w:type="pct"/>
            <w:tcBorders>
              <w:top w:val="single" w:color="auto" w:sz="4" w:space="0"/>
              <w:left w:val="single" w:color="auto" w:sz="4" w:space="0"/>
              <w:bottom w:val="single" w:color="auto" w:sz="4" w:space="0"/>
              <w:right w:val="single" w:color="auto" w:sz="4" w:space="0"/>
            </w:tcBorders>
            <w:vAlign w:val="center"/>
          </w:tcPr>
          <w:p w14:paraId="2097C0FF">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井底标高</w:t>
            </w:r>
          </w:p>
          <w:p w14:paraId="78D3AD8E">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（m）</w:t>
            </w:r>
          </w:p>
        </w:tc>
        <w:tc>
          <w:tcPr>
            <w:tcW w:w="471" w:type="pct"/>
            <w:tcBorders>
              <w:top w:val="single" w:color="auto" w:sz="4" w:space="0"/>
              <w:left w:val="single" w:color="auto" w:sz="4" w:space="0"/>
              <w:bottom w:val="single" w:color="auto" w:sz="4" w:space="0"/>
              <w:right w:val="single" w:color="auto" w:sz="4" w:space="0"/>
            </w:tcBorders>
            <w:vAlign w:val="center"/>
          </w:tcPr>
          <w:p w14:paraId="6BB62641">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井筒</w:t>
            </w:r>
          </w:p>
          <w:p w14:paraId="45E68D9D">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净直径</w:t>
            </w:r>
          </w:p>
          <w:p w14:paraId="38D39F92">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（m）</w:t>
            </w:r>
          </w:p>
        </w:tc>
        <w:tc>
          <w:tcPr>
            <w:tcW w:w="1436" w:type="pct"/>
            <w:tcBorders>
              <w:top w:val="single" w:color="auto" w:sz="4" w:space="0"/>
              <w:left w:val="single" w:color="auto" w:sz="4" w:space="0"/>
              <w:bottom w:val="single" w:color="auto" w:sz="4" w:space="0"/>
              <w:right w:val="single" w:color="auto" w:sz="4" w:space="0"/>
            </w:tcBorders>
            <w:vAlign w:val="center"/>
          </w:tcPr>
          <w:p w14:paraId="299D6E38">
            <w:pPr>
              <w:adjustRightInd w:val="0"/>
              <w:snapToGrid w:val="0"/>
              <w:spacing w:line="240" w:lineRule="auto"/>
              <w:ind w:firstLine="0" w:firstLineChars="0"/>
              <w:jc w:val="center"/>
              <w:rPr>
                <w:rFonts w:cs="Times New Roman"/>
                <w:w w:val="90"/>
                <w:sz w:val="21"/>
                <w:szCs w:val="21"/>
              </w:rPr>
            </w:pPr>
            <w:r>
              <w:rPr>
                <w:rFonts w:cs="Times New Roman"/>
                <w:w w:val="90"/>
                <w:sz w:val="21"/>
                <w:szCs w:val="21"/>
              </w:rPr>
              <w:t>装备</w:t>
            </w:r>
          </w:p>
        </w:tc>
        <w:tc>
          <w:tcPr>
            <w:tcW w:w="1345" w:type="pct"/>
            <w:tcBorders>
              <w:top w:val="single" w:color="auto" w:sz="4" w:space="0"/>
              <w:left w:val="single" w:color="auto" w:sz="4" w:space="0"/>
              <w:bottom w:val="single" w:color="auto" w:sz="4" w:space="0"/>
              <w:right w:val="single" w:color="auto" w:sz="4" w:space="0"/>
            </w:tcBorders>
            <w:vAlign w:val="center"/>
          </w:tcPr>
          <w:p w14:paraId="179A2D71">
            <w:pPr>
              <w:adjustRightInd w:val="0"/>
              <w:snapToGrid w:val="0"/>
              <w:spacing w:line="240" w:lineRule="auto"/>
              <w:ind w:firstLine="0" w:firstLineChars="0"/>
              <w:jc w:val="center"/>
              <w:rPr>
                <w:rFonts w:cs="Times New Roman"/>
                <w:w w:val="90"/>
                <w:sz w:val="21"/>
                <w:szCs w:val="21"/>
              </w:rPr>
            </w:pPr>
            <w:r>
              <w:rPr>
                <w:rFonts w:cs="Times New Roman"/>
                <w:w w:val="90"/>
                <w:sz w:val="21"/>
                <w:szCs w:val="21"/>
              </w:rPr>
              <w:t>用途</w:t>
            </w:r>
          </w:p>
        </w:tc>
      </w:tr>
      <w:tr w14:paraId="26BB7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3" w:hRule="atLeast"/>
        </w:trPr>
        <w:tc>
          <w:tcPr>
            <w:tcW w:w="648" w:type="pct"/>
            <w:tcBorders>
              <w:top w:val="single" w:color="auto" w:sz="4" w:space="0"/>
              <w:left w:val="single" w:color="auto" w:sz="4" w:space="0"/>
              <w:bottom w:val="single" w:color="auto" w:sz="4" w:space="0"/>
              <w:right w:val="single" w:color="auto" w:sz="4" w:space="0"/>
            </w:tcBorders>
            <w:vAlign w:val="center"/>
          </w:tcPr>
          <w:p w14:paraId="4BBDFE9E">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主井</w:t>
            </w:r>
          </w:p>
        </w:tc>
        <w:tc>
          <w:tcPr>
            <w:tcW w:w="531" w:type="pct"/>
            <w:tcBorders>
              <w:top w:val="single" w:color="auto" w:sz="4" w:space="0"/>
              <w:left w:val="single" w:color="auto" w:sz="4" w:space="0"/>
              <w:bottom w:val="single" w:color="auto" w:sz="4" w:space="0"/>
              <w:right w:val="single" w:color="auto" w:sz="4" w:space="0"/>
            </w:tcBorders>
            <w:vAlign w:val="center"/>
          </w:tcPr>
          <w:p w14:paraId="52DDC645">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+47</w:t>
            </w:r>
          </w:p>
        </w:tc>
        <w:tc>
          <w:tcPr>
            <w:tcW w:w="566" w:type="pct"/>
            <w:tcBorders>
              <w:top w:val="single" w:color="auto" w:sz="4" w:space="0"/>
              <w:left w:val="single" w:color="auto" w:sz="4" w:space="0"/>
              <w:bottom w:val="single" w:color="auto" w:sz="4" w:space="0"/>
              <w:right w:val="single" w:color="auto" w:sz="4" w:space="0"/>
            </w:tcBorders>
            <w:vAlign w:val="center"/>
          </w:tcPr>
          <w:p w14:paraId="210C1ADD">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-685</w:t>
            </w:r>
          </w:p>
        </w:tc>
        <w:tc>
          <w:tcPr>
            <w:tcW w:w="471" w:type="pct"/>
            <w:tcBorders>
              <w:top w:val="single" w:color="auto" w:sz="4" w:space="0"/>
              <w:left w:val="single" w:color="auto" w:sz="4" w:space="0"/>
              <w:bottom w:val="single" w:color="auto" w:sz="4" w:space="0"/>
              <w:right w:val="single" w:color="auto" w:sz="4" w:space="0"/>
            </w:tcBorders>
            <w:vAlign w:val="center"/>
          </w:tcPr>
          <w:p w14:paraId="686F42EF">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6.5</w:t>
            </w:r>
          </w:p>
        </w:tc>
        <w:tc>
          <w:tcPr>
            <w:tcW w:w="1436" w:type="pct"/>
            <w:tcBorders>
              <w:top w:val="single" w:color="auto" w:sz="4" w:space="0"/>
              <w:left w:val="single" w:color="auto" w:sz="4" w:space="0"/>
              <w:bottom w:val="single" w:color="auto" w:sz="4" w:space="0"/>
              <w:right w:val="single" w:color="auto" w:sz="4" w:space="0"/>
            </w:tcBorders>
            <w:vAlign w:val="center"/>
          </w:tcPr>
          <w:p w14:paraId="0F67C2F0">
            <w:pPr>
              <w:adjustRightInd w:val="0"/>
              <w:snapToGrid w:val="0"/>
              <w:spacing w:line="240" w:lineRule="auto"/>
              <w:ind w:firstLine="0" w:firstLineChars="0"/>
              <w:rPr>
                <w:rFonts w:cs="Times New Roman"/>
                <w:w w:val="90"/>
                <w:sz w:val="21"/>
                <w:szCs w:val="21"/>
              </w:rPr>
            </w:pPr>
            <w:r>
              <w:rPr>
                <w:rFonts w:hint="eastAsia" w:cs="Times New Roman"/>
                <w:w w:val="90"/>
                <w:sz w:val="21"/>
                <w:szCs w:val="21"/>
              </w:rPr>
              <w:t>选用JKM5.5×6</w:t>
            </w:r>
            <w:r>
              <w:rPr>
                <w:rFonts w:cs="Times New Roman"/>
                <w:w w:val="90"/>
                <w:sz w:val="21"/>
                <w:szCs w:val="21"/>
              </w:rPr>
              <w:t xml:space="preserve">P </w:t>
            </w:r>
            <w:r>
              <w:rPr>
                <w:rFonts w:hint="eastAsia" w:cs="Times New Roman"/>
                <w:w w:val="90"/>
                <w:sz w:val="21"/>
                <w:szCs w:val="21"/>
              </w:rPr>
              <w:t>Ⅳ型多绳摩擦式提升机，配用TDBS型交流同步电动机，双电机驱动，电机功率2×</w:t>
            </w:r>
            <w:r>
              <w:rPr>
                <w:rFonts w:cs="Times New Roman"/>
                <w:w w:val="90"/>
                <w:sz w:val="21"/>
                <w:szCs w:val="21"/>
              </w:rPr>
              <w:t>5200kW</w:t>
            </w:r>
            <w:r>
              <w:rPr>
                <w:rFonts w:hint="eastAsia" w:cs="Times New Roman"/>
                <w:w w:val="90"/>
                <w:sz w:val="21"/>
                <w:szCs w:val="21"/>
              </w:rPr>
              <w:t>，电压3150V，转速47r/min，</w:t>
            </w:r>
            <w:r>
              <w:rPr>
                <w:rFonts w:cs="Times New Roman"/>
                <w:w w:val="90"/>
                <w:sz w:val="21"/>
                <w:szCs w:val="21"/>
              </w:rPr>
              <w:t>采用交-直-交变频调速，PLC控制。</w:t>
            </w:r>
          </w:p>
        </w:tc>
        <w:tc>
          <w:tcPr>
            <w:tcW w:w="1345" w:type="pct"/>
            <w:tcBorders>
              <w:top w:val="single" w:color="auto" w:sz="4" w:space="0"/>
              <w:left w:val="single" w:color="auto" w:sz="4" w:space="0"/>
              <w:bottom w:val="single" w:color="auto" w:sz="4" w:space="0"/>
              <w:right w:val="single" w:color="auto" w:sz="4" w:space="0"/>
            </w:tcBorders>
            <w:vAlign w:val="center"/>
          </w:tcPr>
          <w:p w14:paraId="1AAE2B2F">
            <w:pPr>
              <w:adjustRightInd w:val="0"/>
              <w:snapToGrid w:val="0"/>
              <w:spacing w:line="240" w:lineRule="auto"/>
              <w:ind w:firstLine="0" w:firstLineChars="0"/>
              <w:rPr>
                <w:rFonts w:cs="Times New Roman"/>
                <w:w w:val="90"/>
                <w:sz w:val="21"/>
                <w:szCs w:val="21"/>
              </w:rPr>
            </w:pPr>
            <w:r>
              <w:rPr>
                <w:rFonts w:cs="Times New Roman"/>
                <w:w w:val="90"/>
                <w:sz w:val="21"/>
                <w:szCs w:val="21"/>
              </w:rPr>
              <w:t>800万t/a矿石及40万t/a岩石的提升任务。</w:t>
            </w:r>
          </w:p>
        </w:tc>
      </w:tr>
      <w:tr w14:paraId="04F32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0064D4D8">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副井</w:t>
            </w:r>
          </w:p>
        </w:tc>
        <w:tc>
          <w:tcPr>
            <w:tcW w:w="531" w:type="pct"/>
            <w:tcBorders>
              <w:top w:val="single" w:color="auto" w:sz="4" w:space="0"/>
              <w:left w:val="single" w:color="auto" w:sz="4" w:space="0"/>
              <w:bottom w:val="single" w:color="auto" w:sz="4" w:space="0"/>
              <w:right w:val="single" w:color="auto" w:sz="4" w:space="0"/>
            </w:tcBorders>
            <w:vAlign w:val="center"/>
          </w:tcPr>
          <w:p w14:paraId="37460490">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+47</w:t>
            </w:r>
          </w:p>
        </w:tc>
        <w:tc>
          <w:tcPr>
            <w:tcW w:w="566" w:type="pct"/>
            <w:tcBorders>
              <w:top w:val="single" w:color="auto" w:sz="4" w:space="0"/>
              <w:left w:val="single" w:color="auto" w:sz="4" w:space="0"/>
              <w:bottom w:val="single" w:color="auto" w:sz="4" w:space="0"/>
              <w:right w:val="single" w:color="auto" w:sz="4" w:space="0"/>
            </w:tcBorders>
            <w:vAlign w:val="center"/>
          </w:tcPr>
          <w:p w14:paraId="1429D498">
            <w:pPr>
              <w:adjustRightInd w:val="0"/>
              <w:snapToGrid w:val="0"/>
              <w:spacing w:line="240" w:lineRule="auto"/>
              <w:ind w:firstLine="0" w:firstLineChars="0"/>
              <w:jc w:val="center"/>
              <w:rPr>
                <w:rFonts w:cs="Times New Roman"/>
                <w:w w:val="90"/>
                <w:sz w:val="21"/>
                <w:szCs w:val="21"/>
              </w:rPr>
            </w:pPr>
            <w:r>
              <w:rPr>
                <w:rFonts w:cs="Times New Roman"/>
                <w:w w:val="90"/>
                <w:sz w:val="21"/>
                <w:szCs w:val="21"/>
              </w:rPr>
              <w:t>-600</w:t>
            </w:r>
          </w:p>
        </w:tc>
        <w:tc>
          <w:tcPr>
            <w:tcW w:w="471" w:type="pct"/>
            <w:tcBorders>
              <w:top w:val="single" w:color="auto" w:sz="4" w:space="0"/>
              <w:left w:val="single" w:color="auto" w:sz="4" w:space="0"/>
              <w:bottom w:val="single" w:color="auto" w:sz="4" w:space="0"/>
              <w:right w:val="single" w:color="auto" w:sz="4" w:space="0"/>
            </w:tcBorders>
            <w:vAlign w:val="center"/>
          </w:tcPr>
          <w:p w14:paraId="23CD89A3">
            <w:pPr>
              <w:adjustRightInd w:val="0"/>
              <w:snapToGrid w:val="0"/>
              <w:spacing w:line="240" w:lineRule="auto"/>
              <w:ind w:firstLine="0" w:firstLineChars="0"/>
              <w:jc w:val="center"/>
              <w:rPr>
                <w:rFonts w:cs="Times New Roman"/>
                <w:w w:val="90"/>
                <w:sz w:val="21"/>
                <w:szCs w:val="21"/>
              </w:rPr>
            </w:pPr>
            <w:r>
              <w:rPr>
                <w:rFonts w:cs="Times New Roman"/>
                <w:w w:val="90"/>
                <w:sz w:val="21"/>
                <w:szCs w:val="21"/>
              </w:rPr>
              <w:t>8.0</w:t>
            </w:r>
          </w:p>
        </w:tc>
        <w:tc>
          <w:tcPr>
            <w:tcW w:w="1436" w:type="pct"/>
            <w:tcBorders>
              <w:top w:val="single" w:color="auto" w:sz="4" w:space="0"/>
              <w:left w:val="single" w:color="auto" w:sz="4" w:space="0"/>
              <w:bottom w:val="single" w:color="auto" w:sz="4" w:space="0"/>
              <w:right w:val="single" w:color="auto" w:sz="4" w:space="0"/>
            </w:tcBorders>
            <w:vAlign w:val="center"/>
          </w:tcPr>
          <w:p w14:paraId="1F25F175">
            <w:pPr>
              <w:adjustRightInd w:val="0"/>
              <w:snapToGrid w:val="0"/>
              <w:spacing w:line="240" w:lineRule="auto"/>
              <w:ind w:firstLine="0" w:firstLineChars="0"/>
              <w:rPr>
                <w:rFonts w:cs="Times New Roman"/>
                <w:w w:val="90"/>
                <w:sz w:val="21"/>
                <w:szCs w:val="21"/>
              </w:rPr>
            </w:pPr>
            <w:r>
              <w:rPr>
                <w:rFonts w:hint="eastAsia" w:cs="Times New Roman"/>
                <w:w w:val="90"/>
                <w:sz w:val="21"/>
                <w:szCs w:val="21"/>
              </w:rPr>
              <w:t>副井井筒内布置两套相互独立的罐笼配平衡锤提升系统。</w:t>
            </w:r>
          </w:p>
          <w:p w14:paraId="065F0CD3">
            <w:pPr>
              <w:adjustRightInd w:val="0"/>
              <w:snapToGrid w:val="0"/>
              <w:spacing w:line="240" w:lineRule="auto"/>
              <w:ind w:firstLine="0" w:firstLineChars="0"/>
              <w:rPr>
                <w:rFonts w:cs="Times New Roman"/>
                <w:w w:val="90"/>
                <w:sz w:val="21"/>
                <w:szCs w:val="21"/>
              </w:rPr>
            </w:pPr>
            <w:r>
              <w:rPr>
                <w:rFonts w:hint="eastAsia" w:cs="Times New Roman"/>
                <w:w w:val="90"/>
                <w:sz w:val="21"/>
                <w:szCs w:val="21"/>
              </w:rPr>
              <w:t>大罐笼为双层六绳罐笼，提升机选用</w:t>
            </w:r>
            <w:r>
              <w:rPr>
                <w:rFonts w:cs="Times New Roman"/>
                <w:w w:val="90"/>
                <w:sz w:val="21"/>
                <w:szCs w:val="21"/>
              </w:rPr>
              <w:t xml:space="preserve">JKM3.5×6P </w:t>
            </w:r>
            <w:r>
              <w:rPr>
                <w:rFonts w:hint="eastAsia" w:cs="Times New Roman"/>
                <w:w w:val="90"/>
                <w:sz w:val="21"/>
                <w:szCs w:val="21"/>
              </w:rPr>
              <w:t>Ⅲ型多绳摩擦式提升机，配用TDBS型交流同步电动机，功率N=1</w:t>
            </w:r>
            <w:r>
              <w:rPr>
                <w:rFonts w:cs="Times New Roman"/>
                <w:w w:val="90"/>
                <w:sz w:val="21"/>
                <w:szCs w:val="21"/>
              </w:rPr>
              <w:t>9</w:t>
            </w:r>
            <w:r>
              <w:rPr>
                <w:rFonts w:hint="eastAsia" w:cs="Times New Roman"/>
                <w:w w:val="90"/>
                <w:sz w:val="21"/>
                <w:szCs w:val="21"/>
              </w:rPr>
              <w:t>00kW。</w:t>
            </w:r>
          </w:p>
          <w:p w14:paraId="3A6782AE">
            <w:pPr>
              <w:adjustRightInd w:val="0"/>
              <w:snapToGrid w:val="0"/>
              <w:spacing w:line="240" w:lineRule="auto"/>
              <w:ind w:firstLine="0" w:firstLineChars="0"/>
              <w:rPr>
                <w:rFonts w:cs="Times New Roman"/>
                <w:w w:val="90"/>
                <w:sz w:val="21"/>
                <w:szCs w:val="21"/>
              </w:rPr>
            </w:pPr>
            <w:r>
              <w:rPr>
                <w:rFonts w:hint="eastAsia" w:cs="Times New Roman"/>
                <w:w w:val="90"/>
                <w:sz w:val="21"/>
                <w:szCs w:val="21"/>
              </w:rPr>
              <w:t>小罐笼为单层四绳罐笼，提升机选用JKM1.3×4</w:t>
            </w:r>
            <w:r>
              <w:rPr>
                <w:rFonts w:cs="Times New Roman"/>
                <w:w w:val="90"/>
                <w:sz w:val="21"/>
                <w:szCs w:val="21"/>
              </w:rPr>
              <w:t xml:space="preserve">P </w:t>
            </w:r>
            <w:r>
              <w:rPr>
                <w:rFonts w:hint="eastAsia" w:cs="Times New Roman"/>
                <w:w w:val="90"/>
                <w:sz w:val="21"/>
                <w:szCs w:val="21"/>
              </w:rPr>
              <w:t>Ⅰ型多绳摩擦式提升机，配用YSBP型交流变频电动机，功率75kW。</w:t>
            </w:r>
          </w:p>
        </w:tc>
        <w:tc>
          <w:tcPr>
            <w:tcW w:w="1345" w:type="pct"/>
            <w:tcBorders>
              <w:top w:val="single" w:color="auto" w:sz="4" w:space="0"/>
              <w:left w:val="single" w:color="auto" w:sz="4" w:space="0"/>
              <w:bottom w:val="single" w:color="auto" w:sz="4" w:space="0"/>
              <w:right w:val="single" w:color="auto" w:sz="4" w:space="0"/>
            </w:tcBorders>
            <w:vAlign w:val="center"/>
          </w:tcPr>
          <w:p w14:paraId="300D2FE5">
            <w:pPr>
              <w:adjustRightInd w:val="0"/>
              <w:snapToGrid w:val="0"/>
              <w:spacing w:line="240" w:lineRule="auto"/>
              <w:ind w:firstLine="0" w:firstLineChars="0"/>
              <w:rPr>
                <w:rFonts w:cs="Times New Roman"/>
                <w:w w:val="90"/>
                <w:sz w:val="21"/>
                <w:szCs w:val="21"/>
              </w:rPr>
            </w:pPr>
            <w:r>
              <w:rPr>
                <w:rFonts w:cs="Times New Roman"/>
                <w:w w:val="90"/>
                <w:sz w:val="21"/>
                <w:szCs w:val="21"/>
              </w:rPr>
              <w:t>井下人员、材料、设备、大件的下井任务及进风任务，设压气、供水、排水管道及电缆，作为安全出口。</w:t>
            </w:r>
          </w:p>
        </w:tc>
      </w:tr>
      <w:tr w14:paraId="2DDBE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7E249E2D">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进风井</w:t>
            </w:r>
          </w:p>
        </w:tc>
        <w:tc>
          <w:tcPr>
            <w:tcW w:w="531" w:type="pct"/>
            <w:tcBorders>
              <w:top w:val="single" w:color="auto" w:sz="4" w:space="0"/>
              <w:left w:val="single" w:color="auto" w:sz="4" w:space="0"/>
              <w:bottom w:val="single" w:color="auto" w:sz="4" w:space="0"/>
              <w:right w:val="single" w:color="auto" w:sz="4" w:space="0"/>
            </w:tcBorders>
            <w:vAlign w:val="center"/>
          </w:tcPr>
          <w:p w14:paraId="5DD51EC7">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+47</w:t>
            </w:r>
          </w:p>
        </w:tc>
        <w:tc>
          <w:tcPr>
            <w:tcW w:w="566" w:type="pct"/>
            <w:tcBorders>
              <w:top w:val="single" w:color="auto" w:sz="4" w:space="0"/>
              <w:left w:val="single" w:color="auto" w:sz="4" w:space="0"/>
              <w:bottom w:val="single" w:color="auto" w:sz="4" w:space="0"/>
              <w:right w:val="single" w:color="auto" w:sz="4" w:space="0"/>
            </w:tcBorders>
            <w:vAlign w:val="center"/>
          </w:tcPr>
          <w:p w14:paraId="540AB100">
            <w:pPr>
              <w:adjustRightInd w:val="0"/>
              <w:snapToGrid w:val="0"/>
              <w:spacing w:line="240" w:lineRule="auto"/>
              <w:ind w:firstLine="0" w:firstLineChars="0"/>
              <w:jc w:val="center"/>
              <w:rPr>
                <w:rFonts w:cs="Times New Roman"/>
                <w:w w:val="90"/>
                <w:sz w:val="21"/>
                <w:szCs w:val="21"/>
              </w:rPr>
            </w:pPr>
            <w:r>
              <w:rPr>
                <w:rFonts w:cs="Times New Roman"/>
                <w:w w:val="90"/>
                <w:sz w:val="21"/>
                <w:szCs w:val="21"/>
              </w:rPr>
              <w:t>-505</w:t>
            </w:r>
          </w:p>
        </w:tc>
        <w:tc>
          <w:tcPr>
            <w:tcW w:w="471" w:type="pct"/>
            <w:tcBorders>
              <w:top w:val="single" w:color="auto" w:sz="4" w:space="0"/>
              <w:left w:val="single" w:color="auto" w:sz="4" w:space="0"/>
              <w:bottom w:val="single" w:color="auto" w:sz="4" w:space="0"/>
              <w:right w:val="single" w:color="auto" w:sz="4" w:space="0"/>
            </w:tcBorders>
            <w:vAlign w:val="center"/>
          </w:tcPr>
          <w:p w14:paraId="39353EBE">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7.0</w:t>
            </w:r>
          </w:p>
        </w:tc>
        <w:tc>
          <w:tcPr>
            <w:tcW w:w="1436" w:type="pct"/>
            <w:tcBorders>
              <w:top w:val="single" w:color="auto" w:sz="4" w:space="0"/>
              <w:left w:val="single" w:color="auto" w:sz="4" w:space="0"/>
              <w:bottom w:val="single" w:color="auto" w:sz="4" w:space="0"/>
              <w:right w:val="single" w:color="auto" w:sz="4" w:space="0"/>
            </w:tcBorders>
            <w:vAlign w:val="center"/>
          </w:tcPr>
          <w:p w14:paraId="4AB4CE86">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无</w:t>
            </w:r>
          </w:p>
        </w:tc>
        <w:tc>
          <w:tcPr>
            <w:tcW w:w="1345" w:type="pct"/>
            <w:tcBorders>
              <w:top w:val="single" w:color="auto" w:sz="4" w:space="0"/>
              <w:left w:val="single" w:color="auto" w:sz="4" w:space="0"/>
              <w:bottom w:val="single" w:color="auto" w:sz="4" w:space="0"/>
              <w:right w:val="single" w:color="auto" w:sz="4" w:space="0"/>
            </w:tcBorders>
            <w:vAlign w:val="center"/>
          </w:tcPr>
          <w:p w14:paraId="1563B9CF">
            <w:pPr>
              <w:adjustRightInd w:val="0"/>
              <w:snapToGrid w:val="0"/>
              <w:spacing w:line="240" w:lineRule="auto"/>
              <w:ind w:firstLine="0" w:firstLineChars="0"/>
              <w:rPr>
                <w:rFonts w:cs="Times New Roman"/>
                <w:w w:val="90"/>
                <w:sz w:val="21"/>
                <w:szCs w:val="21"/>
              </w:rPr>
            </w:pPr>
            <w:r>
              <w:rPr>
                <w:rFonts w:cs="Times New Roman"/>
                <w:w w:val="90"/>
                <w:sz w:val="21"/>
                <w:szCs w:val="21"/>
              </w:rPr>
              <w:t>负责矿山进风任务。</w:t>
            </w:r>
          </w:p>
        </w:tc>
      </w:tr>
      <w:tr w14:paraId="60F2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6825E3EF">
            <w:pPr>
              <w:adjustRightInd w:val="0"/>
              <w:snapToGrid w:val="0"/>
              <w:spacing w:line="240" w:lineRule="auto"/>
              <w:ind w:left="-140" w:leftChars="-50" w:right="-140" w:rightChars="-50" w:firstLine="0" w:firstLineChars="0"/>
              <w:jc w:val="center"/>
              <w:rPr>
                <w:rFonts w:cs="Times New Roman"/>
                <w:sz w:val="21"/>
                <w:szCs w:val="21"/>
              </w:rPr>
            </w:pPr>
            <w:r>
              <w:rPr>
                <w:rFonts w:cs="Times New Roman"/>
                <w:w w:val="90"/>
                <w:sz w:val="21"/>
                <w:szCs w:val="21"/>
              </w:rPr>
              <w:t>1号回风井</w:t>
            </w:r>
          </w:p>
        </w:tc>
        <w:tc>
          <w:tcPr>
            <w:tcW w:w="531" w:type="pct"/>
            <w:tcBorders>
              <w:top w:val="single" w:color="auto" w:sz="4" w:space="0"/>
              <w:left w:val="single" w:color="auto" w:sz="4" w:space="0"/>
              <w:bottom w:val="single" w:color="auto" w:sz="4" w:space="0"/>
              <w:right w:val="single" w:color="auto" w:sz="4" w:space="0"/>
            </w:tcBorders>
            <w:vAlign w:val="center"/>
          </w:tcPr>
          <w:p w14:paraId="10A62D35">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+47</w:t>
            </w:r>
          </w:p>
        </w:tc>
        <w:tc>
          <w:tcPr>
            <w:tcW w:w="566" w:type="pct"/>
            <w:tcBorders>
              <w:top w:val="single" w:color="auto" w:sz="4" w:space="0"/>
              <w:left w:val="single" w:color="auto" w:sz="4" w:space="0"/>
              <w:bottom w:val="single" w:color="auto" w:sz="4" w:space="0"/>
              <w:right w:val="single" w:color="auto" w:sz="4" w:space="0"/>
            </w:tcBorders>
            <w:vAlign w:val="center"/>
          </w:tcPr>
          <w:p w14:paraId="5220F483">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-505</w:t>
            </w:r>
          </w:p>
        </w:tc>
        <w:tc>
          <w:tcPr>
            <w:tcW w:w="471" w:type="pct"/>
            <w:tcBorders>
              <w:top w:val="single" w:color="auto" w:sz="4" w:space="0"/>
              <w:left w:val="single" w:color="auto" w:sz="4" w:space="0"/>
              <w:bottom w:val="single" w:color="auto" w:sz="4" w:space="0"/>
              <w:right w:val="single" w:color="auto" w:sz="4" w:space="0"/>
            </w:tcBorders>
            <w:vAlign w:val="center"/>
          </w:tcPr>
          <w:p w14:paraId="55513083">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6.5</w:t>
            </w:r>
          </w:p>
        </w:tc>
        <w:tc>
          <w:tcPr>
            <w:tcW w:w="1436" w:type="pct"/>
            <w:tcBorders>
              <w:top w:val="single" w:color="auto" w:sz="4" w:space="0"/>
              <w:left w:val="single" w:color="auto" w:sz="4" w:space="0"/>
              <w:bottom w:val="single" w:color="auto" w:sz="4" w:space="0"/>
              <w:right w:val="single" w:color="auto" w:sz="4" w:space="0"/>
            </w:tcBorders>
            <w:vAlign w:val="center"/>
          </w:tcPr>
          <w:p w14:paraId="26BEF326">
            <w:pPr>
              <w:adjustRightInd w:val="0"/>
              <w:snapToGrid w:val="0"/>
              <w:spacing w:line="240" w:lineRule="auto"/>
              <w:ind w:firstLine="0" w:firstLineChars="0"/>
              <w:jc w:val="center"/>
              <w:rPr>
                <w:rFonts w:cs="Times New Roman"/>
                <w:w w:val="90"/>
                <w:sz w:val="21"/>
                <w:szCs w:val="21"/>
              </w:rPr>
            </w:pPr>
            <w:r>
              <w:rPr>
                <w:rFonts w:hint="eastAsia" w:cs="Times New Roman"/>
                <w:w w:val="90"/>
                <w:sz w:val="21"/>
                <w:szCs w:val="21"/>
              </w:rPr>
              <w:t>无</w:t>
            </w:r>
          </w:p>
        </w:tc>
        <w:tc>
          <w:tcPr>
            <w:tcW w:w="1345" w:type="pct"/>
            <w:tcBorders>
              <w:top w:val="single" w:color="auto" w:sz="4" w:space="0"/>
              <w:left w:val="single" w:color="auto" w:sz="4" w:space="0"/>
              <w:bottom w:val="single" w:color="auto" w:sz="4" w:space="0"/>
              <w:right w:val="single" w:color="auto" w:sz="4" w:space="0"/>
            </w:tcBorders>
            <w:vAlign w:val="center"/>
          </w:tcPr>
          <w:p w14:paraId="0682BF51">
            <w:pPr>
              <w:adjustRightInd w:val="0"/>
              <w:snapToGrid w:val="0"/>
              <w:spacing w:line="240" w:lineRule="auto"/>
              <w:ind w:firstLine="0" w:firstLineChars="0"/>
              <w:rPr>
                <w:rFonts w:cs="Times New Roman"/>
                <w:w w:val="90"/>
                <w:sz w:val="21"/>
                <w:szCs w:val="21"/>
              </w:rPr>
            </w:pPr>
            <w:r>
              <w:rPr>
                <w:rFonts w:cs="Times New Roman"/>
                <w:w w:val="90"/>
                <w:sz w:val="21"/>
                <w:szCs w:val="21"/>
              </w:rPr>
              <w:t>负责矿山回风任务。</w:t>
            </w:r>
          </w:p>
        </w:tc>
      </w:tr>
      <w:tr w14:paraId="10C9D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473409A2">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2号回风井</w:t>
            </w:r>
          </w:p>
        </w:tc>
        <w:tc>
          <w:tcPr>
            <w:tcW w:w="531" w:type="pct"/>
            <w:tcBorders>
              <w:top w:val="single" w:color="auto" w:sz="4" w:space="0"/>
              <w:left w:val="single" w:color="auto" w:sz="4" w:space="0"/>
              <w:bottom w:val="single" w:color="auto" w:sz="4" w:space="0"/>
              <w:right w:val="single" w:color="auto" w:sz="4" w:space="0"/>
            </w:tcBorders>
            <w:vAlign w:val="center"/>
          </w:tcPr>
          <w:p w14:paraId="32626C83">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+48</w:t>
            </w:r>
          </w:p>
        </w:tc>
        <w:tc>
          <w:tcPr>
            <w:tcW w:w="566" w:type="pct"/>
            <w:tcBorders>
              <w:top w:val="single" w:color="auto" w:sz="4" w:space="0"/>
              <w:left w:val="single" w:color="auto" w:sz="4" w:space="0"/>
              <w:bottom w:val="single" w:color="auto" w:sz="4" w:space="0"/>
              <w:right w:val="single" w:color="auto" w:sz="4" w:space="0"/>
            </w:tcBorders>
            <w:vAlign w:val="center"/>
          </w:tcPr>
          <w:p w14:paraId="04E99D35">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-505</w:t>
            </w:r>
          </w:p>
        </w:tc>
        <w:tc>
          <w:tcPr>
            <w:tcW w:w="471" w:type="pct"/>
            <w:tcBorders>
              <w:top w:val="single" w:color="auto" w:sz="4" w:space="0"/>
              <w:left w:val="single" w:color="auto" w:sz="4" w:space="0"/>
              <w:bottom w:val="single" w:color="auto" w:sz="4" w:space="0"/>
              <w:right w:val="single" w:color="auto" w:sz="4" w:space="0"/>
            </w:tcBorders>
            <w:vAlign w:val="center"/>
          </w:tcPr>
          <w:p w14:paraId="1140B5E6">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6.5</w:t>
            </w:r>
          </w:p>
        </w:tc>
        <w:tc>
          <w:tcPr>
            <w:tcW w:w="1436" w:type="pct"/>
            <w:tcBorders>
              <w:top w:val="single" w:color="auto" w:sz="4" w:space="0"/>
              <w:left w:val="single" w:color="auto" w:sz="4" w:space="0"/>
              <w:bottom w:val="single" w:color="auto" w:sz="4" w:space="0"/>
              <w:right w:val="single" w:color="auto" w:sz="4" w:space="0"/>
            </w:tcBorders>
            <w:vAlign w:val="center"/>
          </w:tcPr>
          <w:p w14:paraId="7A8F0281">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梯子间</w:t>
            </w:r>
          </w:p>
        </w:tc>
        <w:tc>
          <w:tcPr>
            <w:tcW w:w="1345" w:type="pct"/>
            <w:tcBorders>
              <w:top w:val="single" w:color="auto" w:sz="4" w:space="0"/>
              <w:left w:val="single" w:color="auto" w:sz="4" w:space="0"/>
              <w:bottom w:val="single" w:color="auto" w:sz="4" w:space="0"/>
              <w:right w:val="single" w:color="auto" w:sz="4" w:space="0"/>
            </w:tcBorders>
            <w:vAlign w:val="center"/>
          </w:tcPr>
          <w:p w14:paraId="5B6019C7">
            <w:pPr>
              <w:adjustRightInd w:val="0"/>
              <w:snapToGrid w:val="0"/>
              <w:spacing w:line="240" w:lineRule="auto"/>
              <w:ind w:firstLine="0" w:firstLineChars="0"/>
              <w:rPr>
                <w:rFonts w:cs="Times New Roman"/>
                <w:w w:val="90"/>
                <w:sz w:val="21"/>
                <w:szCs w:val="21"/>
              </w:rPr>
            </w:pPr>
            <w:r>
              <w:rPr>
                <w:rFonts w:cs="Times New Roman"/>
                <w:w w:val="90"/>
                <w:sz w:val="21"/>
                <w:szCs w:val="21"/>
              </w:rPr>
              <w:t>负责矿山回风任务</w:t>
            </w:r>
            <w:r>
              <w:rPr>
                <w:rFonts w:hint="eastAsia" w:cs="Times New Roman"/>
                <w:w w:val="90"/>
                <w:sz w:val="21"/>
                <w:szCs w:val="21"/>
              </w:rPr>
              <w:t>，应急安全出口</w:t>
            </w:r>
            <w:r>
              <w:rPr>
                <w:rFonts w:cs="Times New Roman"/>
                <w:w w:val="90"/>
                <w:sz w:val="21"/>
                <w:szCs w:val="21"/>
              </w:rPr>
              <w:t>。</w:t>
            </w:r>
          </w:p>
        </w:tc>
      </w:tr>
      <w:tr w14:paraId="48F3C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2B69D454">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1号采区</w:t>
            </w:r>
          </w:p>
          <w:p w14:paraId="16036FB6">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斜坡道</w:t>
            </w:r>
          </w:p>
        </w:tc>
        <w:tc>
          <w:tcPr>
            <w:tcW w:w="531" w:type="pct"/>
            <w:tcBorders>
              <w:top w:val="single" w:color="auto" w:sz="4" w:space="0"/>
              <w:left w:val="single" w:color="auto" w:sz="4" w:space="0"/>
              <w:bottom w:val="single" w:color="auto" w:sz="4" w:space="0"/>
              <w:right w:val="single" w:color="auto" w:sz="4" w:space="0"/>
            </w:tcBorders>
            <w:vAlign w:val="center"/>
          </w:tcPr>
          <w:p w14:paraId="1CE160C0">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-400</w:t>
            </w:r>
          </w:p>
        </w:tc>
        <w:tc>
          <w:tcPr>
            <w:tcW w:w="566" w:type="pct"/>
            <w:tcBorders>
              <w:top w:val="single" w:color="auto" w:sz="4" w:space="0"/>
              <w:left w:val="single" w:color="auto" w:sz="4" w:space="0"/>
              <w:bottom w:val="single" w:color="auto" w:sz="4" w:space="0"/>
              <w:right w:val="single" w:color="auto" w:sz="4" w:space="0"/>
            </w:tcBorders>
            <w:vAlign w:val="center"/>
          </w:tcPr>
          <w:p w14:paraId="0D49721B">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-475</w:t>
            </w:r>
          </w:p>
        </w:tc>
        <w:tc>
          <w:tcPr>
            <w:tcW w:w="471" w:type="pct"/>
            <w:tcBorders>
              <w:top w:val="single" w:color="auto" w:sz="4" w:space="0"/>
              <w:left w:val="single" w:color="auto" w:sz="4" w:space="0"/>
              <w:bottom w:val="single" w:color="auto" w:sz="4" w:space="0"/>
              <w:right w:val="single" w:color="auto" w:sz="4" w:space="0"/>
            </w:tcBorders>
            <w:vAlign w:val="center"/>
          </w:tcPr>
          <w:p w14:paraId="55AB2CCE">
            <w:pPr>
              <w:adjustRightInd w:val="0"/>
              <w:snapToGrid w:val="0"/>
              <w:spacing w:line="240" w:lineRule="auto"/>
              <w:ind w:left="-140" w:leftChars="-50" w:right="-140" w:rightChars="-50" w:firstLine="0" w:firstLineChars="0"/>
              <w:jc w:val="center"/>
              <w:rPr>
                <w:rFonts w:cs="Times New Roman"/>
                <w:w w:val="90"/>
                <w:sz w:val="21"/>
                <w:szCs w:val="21"/>
              </w:rPr>
            </w:pPr>
          </w:p>
        </w:tc>
        <w:tc>
          <w:tcPr>
            <w:tcW w:w="1436" w:type="pct"/>
            <w:tcBorders>
              <w:top w:val="single" w:color="auto" w:sz="4" w:space="0"/>
              <w:left w:val="single" w:color="auto" w:sz="4" w:space="0"/>
              <w:bottom w:val="single" w:color="auto" w:sz="4" w:space="0"/>
              <w:right w:val="single" w:color="auto" w:sz="4" w:space="0"/>
            </w:tcBorders>
            <w:vAlign w:val="center"/>
          </w:tcPr>
          <w:p w14:paraId="22E2C11D">
            <w:pPr>
              <w:adjustRightInd w:val="0"/>
              <w:snapToGrid w:val="0"/>
              <w:spacing w:line="240" w:lineRule="auto"/>
              <w:ind w:firstLine="0" w:firstLineChars="0"/>
              <w:jc w:val="center"/>
              <w:rPr>
                <w:rFonts w:cs="Times New Roman"/>
                <w:w w:val="90"/>
                <w:sz w:val="21"/>
                <w:szCs w:val="21"/>
              </w:rPr>
            </w:pPr>
          </w:p>
        </w:tc>
        <w:tc>
          <w:tcPr>
            <w:tcW w:w="1345" w:type="pct"/>
            <w:tcBorders>
              <w:top w:val="single" w:color="auto" w:sz="4" w:space="0"/>
              <w:left w:val="single" w:color="auto" w:sz="4" w:space="0"/>
              <w:bottom w:val="single" w:color="auto" w:sz="4" w:space="0"/>
              <w:right w:val="single" w:color="auto" w:sz="4" w:space="0"/>
            </w:tcBorders>
            <w:vAlign w:val="center"/>
          </w:tcPr>
          <w:p w14:paraId="70174D0C">
            <w:pPr>
              <w:adjustRightInd w:val="0"/>
              <w:snapToGrid w:val="0"/>
              <w:spacing w:line="240" w:lineRule="auto"/>
              <w:ind w:firstLine="0" w:firstLineChars="0"/>
              <w:rPr>
                <w:rFonts w:cs="Times New Roman"/>
                <w:w w:val="90"/>
                <w:sz w:val="21"/>
                <w:szCs w:val="21"/>
              </w:rPr>
            </w:pPr>
            <w:r>
              <w:rPr>
                <w:rFonts w:cs="Times New Roman"/>
                <w:w w:val="90"/>
                <w:sz w:val="21"/>
                <w:szCs w:val="21"/>
              </w:rPr>
              <w:t>负责井下人员、设备、材料在各无轨分段间通行任务。</w:t>
            </w:r>
          </w:p>
        </w:tc>
      </w:tr>
      <w:tr w14:paraId="05330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48" w:type="pct"/>
            <w:tcBorders>
              <w:top w:val="single" w:color="auto" w:sz="4" w:space="0"/>
              <w:left w:val="single" w:color="auto" w:sz="4" w:space="0"/>
              <w:bottom w:val="single" w:color="auto" w:sz="4" w:space="0"/>
              <w:right w:val="single" w:color="auto" w:sz="4" w:space="0"/>
            </w:tcBorders>
            <w:vAlign w:val="center"/>
          </w:tcPr>
          <w:p w14:paraId="4BD4ECB6">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2号采区</w:t>
            </w:r>
          </w:p>
          <w:p w14:paraId="4289F20F">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斜坡道</w:t>
            </w:r>
          </w:p>
        </w:tc>
        <w:tc>
          <w:tcPr>
            <w:tcW w:w="531" w:type="pct"/>
            <w:tcBorders>
              <w:top w:val="single" w:color="auto" w:sz="4" w:space="0"/>
              <w:left w:val="single" w:color="auto" w:sz="4" w:space="0"/>
              <w:bottom w:val="single" w:color="auto" w:sz="4" w:space="0"/>
              <w:right w:val="single" w:color="auto" w:sz="4" w:space="0"/>
            </w:tcBorders>
            <w:vAlign w:val="center"/>
          </w:tcPr>
          <w:p w14:paraId="41181186">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-400</w:t>
            </w:r>
          </w:p>
        </w:tc>
        <w:tc>
          <w:tcPr>
            <w:tcW w:w="566" w:type="pct"/>
            <w:tcBorders>
              <w:top w:val="single" w:color="auto" w:sz="4" w:space="0"/>
              <w:left w:val="single" w:color="auto" w:sz="4" w:space="0"/>
              <w:bottom w:val="single" w:color="auto" w:sz="4" w:space="0"/>
              <w:right w:val="single" w:color="auto" w:sz="4" w:space="0"/>
            </w:tcBorders>
            <w:vAlign w:val="center"/>
          </w:tcPr>
          <w:p w14:paraId="536526FB">
            <w:pPr>
              <w:adjustRightInd w:val="0"/>
              <w:snapToGrid w:val="0"/>
              <w:spacing w:line="240" w:lineRule="auto"/>
              <w:ind w:left="-140" w:leftChars="-50" w:right="-140" w:rightChars="-50" w:firstLine="0" w:firstLineChars="0"/>
              <w:jc w:val="center"/>
              <w:rPr>
                <w:rFonts w:cs="Times New Roman"/>
                <w:w w:val="90"/>
                <w:sz w:val="21"/>
                <w:szCs w:val="21"/>
              </w:rPr>
            </w:pPr>
            <w:r>
              <w:rPr>
                <w:rFonts w:cs="Times New Roman"/>
                <w:w w:val="90"/>
                <w:sz w:val="21"/>
                <w:szCs w:val="21"/>
              </w:rPr>
              <w:t>-475</w:t>
            </w:r>
          </w:p>
        </w:tc>
        <w:tc>
          <w:tcPr>
            <w:tcW w:w="471" w:type="pct"/>
            <w:tcBorders>
              <w:top w:val="single" w:color="auto" w:sz="4" w:space="0"/>
              <w:left w:val="single" w:color="auto" w:sz="4" w:space="0"/>
              <w:bottom w:val="single" w:color="auto" w:sz="4" w:space="0"/>
              <w:right w:val="single" w:color="auto" w:sz="4" w:space="0"/>
            </w:tcBorders>
            <w:vAlign w:val="center"/>
          </w:tcPr>
          <w:p w14:paraId="6A955B33">
            <w:pPr>
              <w:adjustRightInd w:val="0"/>
              <w:snapToGrid w:val="0"/>
              <w:spacing w:line="240" w:lineRule="auto"/>
              <w:ind w:left="-140" w:leftChars="-50" w:right="-140" w:rightChars="-50" w:firstLine="0" w:firstLineChars="0"/>
              <w:jc w:val="center"/>
              <w:rPr>
                <w:rFonts w:cs="Times New Roman"/>
                <w:w w:val="90"/>
                <w:sz w:val="21"/>
                <w:szCs w:val="21"/>
              </w:rPr>
            </w:pPr>
          </w:p>
        </w:tc>
        <w:tc>
          <w:tcPr>
            <w:tcW w:w="1436" w:type="pct"/>
            <w:tcBorders>
              <w:top w:val="single" w:color="auto" w:sz="4" w:space="0"/>
              <w:left w:val="single" w:color="auto" w:sz="4" w:space="0"/>
              <w:bottom w:val="single" w:color="auto" w:sz="4" w:space="0"/>
              <w:right w:val="single" w:color="auto" w:sz="4" w:space="0"/>
            </w:tcBorders>
            <w:vAlign w:val="center"/>
          </w:tcPr>
          <w:p w14:paraId="7ED8A291">
            <w:pPr>
              <w:adjustRightInd w:val="0"/>
              <w:snapToGrid w:val="0"/>
              <w:spacing w:line="240" w:lineRule="auto"/>
              <w:ind w:firstLine="0" w:firstLineChars="0"/>
              <w:jc w:val="center"/>
              <w:rPr>
                <w:rFonts w:cs="Times New Roman"/>
                <w:w w:val="90"/>
                <w:sz w:val="21"/>
                <w:szCs w:val="21"/>
              </w:rPr>
            </w:pPr>
          </w:p>
        </w:tc>
        <w:tc>
          <w:tcPr>
            <w:tcW w:w="1345" w:type="pct"/>
            <w:tcBorders>
              <w:top w:val="single" w:color="auto" w:sz="4" w:space="0"/>
              <w:left w:val="single" w:color="auto" w:sz="4" w:space="0"/>
              <w:bottom w:val="single" w:color="auto" w:sz="4" w:space="0"/>
              <w:right w:val="single" w:color="auto" w:sz="4" w:space="0"/>
            </w:tcBorders>
            <w:vAlign w:val="center"/>
          </w:tcPr>
          <w:p w14:paraId="57E19C38">
            <w:pPr>
              <w:adjustRightInd w:val="0"/>
              <w:snapToGrid w:val="0"/>
              <w:spacing w:line="240" w:lineRule="auto"/>
              <w:ind w:firstLine="0" w:firstLineChars="0"/>
              <w:rPr>
                <w:rFonts w:cs="Times New Roman"/>
                <w:w w:val="90"/>
                <w:sz w:val="21"/>
                <w:szCs w:val="21"/>
              </w:rPr>
            </w:pPr>
            <w:r>
              <w:rPr>
                <w:rFonts w:cs="Times New Roman"/>
                <w:w w:val="90"/>
                <w:sz w:val="21"/>
                <w:szCs w:val="21"/>
              </w:rPr>
              <w:t>负责井下人员、设备、材料在各无轨分段间通行任务。</w:t>
            </w:r>
          </w:p>
        </w:tc>
      </w:tr>
    </w:tbl>
    <w:p w14:paraId="2C03D640">
      <w:pPr>
        <w:adjustRightInd w:val="0"/>
        <w:snapToGrid w:val="0"/>
        <w:spacing w:line="360" w:lineRule="auto"/>
        <w:ind w:firstLine="560"/>
        <w:rPr>
          <w:rFonts w:asciiTheme="minorHAnsi" w:hAnsiTheme="minorHAnsi" w:eastAsiaTheme="minorEastAsia" w:cstheme="minorHAnsi"/>
          <w:szCs w:val="28"/>
        </w:rPr>
        <w:sectPr>
          <w:footerReference r:id="rId13" w:type="default"/>
          <w:pgSz w:w="11906" w:h="16838"/>
          <w:pgMar w:top="1247" w:right="1304" w:bottom="1134" w:left="1304" w:header="794" w:footer="907" w:gutter="0"/>
          <w:pgNumType w:start="1"/>
          <w:cols w:space="425" w:num="1"/>
          <w:docGrid w:type="lines" w:linePitch="381" w:charSpace="0"/>
        </w:sectPr>
      </w:pPr>
    </w:p>
    <w:p w14:paraId="43DEF650">
      <w:pPr>
        <w:adjustRightInd w:val="0"/>
        <w:snapToGrid w:val="0"/>
        <w:spacing w:line="360" w:lineRule="auto"/>
        <w:ind w:firstLine="0" w:firstLineChars="0"/>
        <w:jc w:val="center"/>
        <w:rPr>
          <w:rFonts w:asciiTheme="minorHAnsi" w:hAnsiTheme="minorHAnsi" w:eastAsiaTheme="minorEastAsia" w:cstheme="minorHAnsi"/>
          <w:szCs w:val="28"/>
        </w:rPr>
      </w:pPr>
      <w:r>
        <w:drawing>
          <wp:inline distT="0" distB="0" distL="0" distR="0">
            <wp:extent cx="8907780" cy="5349240"/>
            <wp:effectExtent l="0" t="0" r="762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8939357" cy="5367971"/>
                    </a:xfrm>
                    <a:prstGeom prst="rect">
                      <a:avLst/>
                    </a:prstGeom>
                    <a:noFill/>
                    <a:ln>
                      <a:noFill/>
                    </a:ln>
                  </pic:spPr>
                </pic:pic>
              </a:graphicData>
            </a:graphic>
          </wp:inline>
        </w:drawing>
      </w:r>
    </w:p>
    <w:p w14:paraId="09F57FDC">
      <w:pPr>
        <w:adjustRightInd w:val="0"/>
        <w:snapToGrid w:val="0"/>
        <w:spacing w:line="360" w:lineRule="auto"/>
        <w:ind w:firstLine="0" w:firstLineChars="0"/>
        <w:jc w:val="center"/>
        <w:rPr>
          <w:rFonts w:asciiTheme="minorHAnsi" w:hAnsiTheme="minorHAnsi" w:eastAsiaTheme="minorEastAsia" w:cstheme="minorHAnsi"/>
          <w:szCs w:val="28"/>
        </w:rPr>
      </w:pPr>
      <w:r>
        <w:rPr>
          <w:rFonts w:hint="eastAsia" w:asciiTheme="minorHAnsi" w:hAnsiTheme="minorHAnsi" w:eastAsiaTheme="minorEastAsia" w:cstheme="minorHAnsi"/>
          <w:szCs w:val="28"/>
        </w:rPr>
        <w:t>图2</w:t>
      </w:r>
      <w:r>
        <w:rPr>
          <w:rFonts w:asciiTheme="minorHAnsi" w:hAnsiTheme="minorHAnsi" w:eastAsiaTheme="minorEastAsia" w:cstheme="minorHAnsi"/>
          <w:szCs w:val="28"/>
        </w:rPr>
        <w:t>.4-2</w:t>
      </w:r>
      <w:r>
        <w:rPr>
          <w:rFonts w:hint="eastAsia" w:asciiTheme="minorHAnsi" w:hAnsiTheme="minorHAnsi" w:eastAsiaTheme="minorEastAsia" w:cstheme="minorHAnsi"/>
          <w:szCs w:val="28"/>
        </w:rPr>
        <w:t>开拓系统立体图</w:t>
      </w:r>
    </w:p>
    <w:p w14:paraId="4FDF9200">
      <w:pPr>
        <w:adjustRightInd w:val="0"/>
        <w:snapToGrid w:val="0"/>
        <w:spacing w:line="360" w:lineRule="auto"/>
        <w:ind w:firstLine="562"/>
        <w:rPr>
          <w:rFonts w:asciiTheme="minorHAnsi" w:hAnsiTheme="minorHAnsi" w:eastAsiaTheme="minorEastAsia" w:cstheme="minorHAnsi"/>
          <w:b/>
          <w:szCs w:val="28"/>
        </w:rPr>
        <w:sectPr>
          <w:pgSz w:w="16838" w:h="11906" w:orient="landscape"/>
          <w:pgMar w:top="1304" w:right="1247" w:bottom="1304" w:left="1134" w:header="794" w:footer="907" w:gutter="0"/>
          <w:pgNumType w:start="1"/>
          <w:cols w:space="425" w:num="1"/>
          <w:docGrid w:type="lines" w:linePitch="381" w:charSpace="0"/>
        </w:sectPr>
      </w:pPr>
    </w:p>
    <w:p w14:paraId="2689D70D">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（2）首采阶段</w:t>
      </w:r>
    </w:p>
    <w:p w14:paraId="110BC21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采用充填法开采，回采-100m～-475m标高之间矿体，运输阶段高度375m，采矿阶段高度75m。首采阶段为-400m～-475m，-250m水平为回风水平，-400m水平为充填水平，-425m、-450m水平为凿岩水平，-475m为出矿水平，-505m为运输水平，-565m为破碎水平，-625m为皮带道水平，-685m为粉矿清理水平。</w:t>
      </w:r>
    </w:p>
    <w:p w14:paraId="0B2211A7">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（3）运输、通风及排水系统</w:t>
      </w:r>
    </w:p>
    <w:p w14:paraId="350BDB9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运输系统：</w:t>
      </w:r>
    </w:p>
    <w:p w14:paraId="22F49C0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井下生产的矿石与采准废石通过溜井溜放到-505m阶段运输水平，装入10m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底侧卸式矿车，然后由30t电机车单机牵引通过900mm轨距铁路运到主溜井，经主溜井下放至-565m破碎水平，破碎后的矿石下放至-625m水平皮带道水平，通过主井提升至地表选厂。</w:t>
      </w:r>
    </w:p>
    <w:p w14:paraId="1D12A6C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设两条采区斜坡道，井下人员、设备、材料通过采区斜坡道在各分段间通行。</w:t>
      </w:r>
    </w:p>
    <w:p w14:paraId="6F94681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通风系统：</w:t>
      </w:r>
    </w:p>
    <w:p w14:paraId="2B6A581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采用抽出压入结合的通风方式，两翼对角式通风系统。采场新鲜风流通过进风井进入-475m出矿进风水平，通过采区进风天井进入各分段，冲刷工作面后经采区回风天井回到-250m回风水平，最后经1号、2号回风井排出地表。运输水平、溜破系统新鲜风流通过副井进入，冲刷工作面后通过溜破系统人行回风天井、采区回风天井回到-250m回风水平，最后经过1号、2号回风井排出地表。</w:t>
      </w:r>
    </w:p>
    <w:p w14:paraId="29C1DEB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排水系统：</w:t>
      </w:r>
    </w:p>
    <w:p w14:paraId="270BFF6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采用集中机械一段式排水方式。在-505m水平副井附近设置泵房水仓沉淀池排水系统，各水平井下涌水、生产废水及充填溢流水通过泄水井汇至-505m水仓，通过-505m水泵房经副井排至地表。</w:t>
      </w:r>
    </w:p>
    <w:p w14:paraId="0593BC93">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（4）井下运输</w:t>
      </w:r>
    </w:p>
    <w:p w14:paraId="39464E02">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彭集铁矿运输系统由各采矿阶段无轨运输系统与运输阶段的有轨运输系统组成。各无轨采矿阶段之间主要通过副井和采区斜坡道相连通；无轨采矿阶段与有轨运输阶段则主要通过副井相连通。</w:t>
      </w:r>
    </w:p>
    <w:p w14:paraId="592B75A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1）有轨运输系统</w:t>
      </w:r>
    </w:p>
    <w:p w14:paraId="734E243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运输方式选择：</w:t>
      </w:r>
    </w:p>
    <w:p w14:paraId="17D159C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各采矿阶段矿石及采准废石分别经过采场矿石溜井溜放到有轨运输水平，在有轨运输水平穿脉装入10m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底侧卸式矿车中，由30t电机车单机牵引至井底车场，翻卸至矿石主溜井中，破碎后经主井箕斗提升至地表。</w:t>
      </w:r>
    </w:p>
    <w:p w14:paraId="556E1FD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线路技术条件：</w:t>
      </w:r>
    </w:p>
    <w:p w14:paraId="7CC8D1FF">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轨距：900mm；</w:t>
      </w:r>
    </w:p>
    <w:p w14:paraId="3F2D21B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线路坡度：3‰～5‰；</w:t>
      </w:r>
    </w:p>
    <w:p w14:paraId="4174447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最小曲线半径：80m。</w:t>
      </w:r>
    </w:p>
    <w:p w14:paraId="2473B69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道岔：7号道岔</w:t>
      </w:r>
    </w:p>
    <w:p w14:paraId="06318B0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装矿方式：运输水平采用穿脉装矿，环形运输。</w:t>
      </w:r>
    </w:p>
    <w:p w14:paraId="35AED41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有轨运输设备：</w:t>
      </w:r>
    </w:p>
    <w:p w14:paraId="0F0B8D0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采用30t电机车单机牵引12节10m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底侧卸式矿车。电机车无人驾驶。共需6列机车运行。同时备用1台30t电机车和12节矿车。</w:t>
      </w:r>
    </w:p>
    <w:p w14:paraId="492E76D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有轨运输水平材料、设备与水沟清理、检修人员等，选用国产10t架线式电机车牵引YLC3-9材料车、YPC5-9平板车和有轨人车等进行运输。</w:t>
      </w:r>
    </w:p>
    <w:p w14:paraId="16914D5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30t电机车参考中国中车兰州机车外形尺寸长×宽×高为7900mm×2050mm×1900mm，大件重量不超过22.5t，大件外形尺寸为5180mm×2050mm×1300mm。受电弓工作高度为2200mm~3400mm，供电网路电压550V，电机功率2×110kW。</w:t>
      </w:r>
    </w:p>
    <w:p w14:paraId="5F514139">
      <w:pPr>
        <w:adjustRightInd w:val="0"/>
        <w:snapToGrid w:val="0"/>
        <w:spacing w:line="360" w:lineRule="auto"/>
        <w:ind w:firstLine="560"/>
        <w:rPr>
          <w:rFonts w:asciiTheme="minorHAnsi" w:hAnsiTheme="minorHAnsi" w:eastAsiaTheme="minorEastAsia" w:cstheme="minorHAnsi"/>
          <w:szCs w:val="28"/>
        </w:rPr>
      </w:pPr>
      <w:r>
        <w:rPr>
          <w:rFonts w:asciiTheme="minorHAnsi" w:hAnsiTheme="minorHAnsi" w:eastAsiaTheme="minorEastAsia" w:cstheme="minorHAnsi"/>
          <w:szCs w:val="28"/>
        </w:rPr>
        <w:t>2</w:t>
      </w:r>
      <w:r>
        <w:rPr>
          <w:rFonts w:hint="eastAsia" w:asciiTheme="minorHAnsi" w:hAnsiTheme="minorHAnsi" w:eastAsiaTheme="minorEastAsia" w:cstheme="minorHAnsi"/>
          <w:szCs w:val="28"/>
        </w:rPr>
        <w:t>）无轨运输系统</w:t>
      </w:r>
    </w:p>
    <w:p w14:paraId="4B40052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凿岩阶段水平和出矿阶段水平的人员、材料、油料运输均采用无轨设备运输方式。井下无轨设备均采用无轨刹车系统。</w:t>
      </w:r>
    </w:p>
    <w:p w14:paraId="72122352">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设2条采区斜坡道，用以沟通各阶段，构成立体交叉的无轨运输系统。</w:t>
      </w:r>
    </w:p>
    <w:p w14:paraId="3CE1FA8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由于矿体走向较长，人员由副井下井后，由停放在副井井口的井下运人车经采区斜坡道运送到各采矿水平工作地点；</w:t>
      </w:r>
    </w:p>
    <w:p w14:paraId="4455AD2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井下材料与大件由副井下井，由井下材料车经采区斜坡道运送到各采矿水平工作地点；</w:t>
      </w:r>
    </w:p>
    <w:p w14:paraId="25E0279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爆破器材选用专用的爆破器材运输车运输；井下燃油运输选用专用井下加油车运输；支护材料选用5.5m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混凝土搅拌罐运送；采准掘进矿岩根据运距不同，分别采用铲运机或井下自卸车进行运输；井下其他材料选用井下自卸车进行运输。</w:t>
      </w:r>
    </w:p>
    <w:p w14:paraId="235B290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溜破系统人员、材料通过副井下放至-565m破碎水平，经 斜坡道运至皮带道水平和粉矿清理水平。粉矿采用2m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铲运机装入10t井下自卸车，通过斜坡道提升运输至-565m破碎水平，卸入破碎硐室下部矿仓。</w:t>
      </w:r>
    </w:p>
    <w:p w14:paraId="3179F9C9">
      <w:pPr>
        <w:adjustRightInd w:val="0"/>
        <w:snapToGrid w:val="0"/>
        <w:spacing w:line="360" w:lineRule="auto"/>
        <w:ind w:firstLine="0" w:firstLineChars="0"/>
        <w:jc w:val="left"/>
        <w:rPr>
          <w:rFonts w:asciiTheme="minorHAnsi" w:hAnsiTheme="minorHAnsi" w:eastAsiaTheme="minorEastAsia" w:cstheme="minorHAnsi"/>
          <w:b/>
          <w:szCs w:val="28"/>
        </w:rPr>
      </w:pPr>
      <w:r>
        <w:rPr>
          <w:rFonts w:hint="eastAsia" w:asciiTheme="minorHAnsi" w:hAnsiTheme="minorHAnsi" w:eastAsiaTheme="minorEastAsia" w:cstheme="minorHAnsi"/>
          <w:b/>
          <w:szCs w:val="28"/>
        </w:rPr>
        <w:t>2</w:t>
      </w:r>
      <w:r>
        <w:rPr>
          <w:rFonts w:asciiTheme="minorHAnsi" w:hAnsiTheme="minorHAnsi" w:eastAsiaTheme="minorEastAsia" w:cstheme="minorHAnsi"/>
          <w:b/>
          <w:szCs w:val="28"/>
        </w:rPr>
        <w:t>.4.4.2</w:t>
      </w:r>
      <w:r>
        <w:rPr>
          <w:rFonts w:hint="eastAsia" w:asciiTheme="minorHAnsi" w:hAnsiTheme="minorHAnsi" w:eastAsiaTheme="minorEastAsia" w:cstheme="minorHAnsi"/>
          <w:b/>
          <w:szCs w:val="28"/>
        </w:rPr>
        <w:t>二期开拓系统</w:t>
      </w:r>
    </w:p>
    <w:p w14:paraId="0EFD920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矿山二期彭集矿段采用胶带斜井开拓系统，冯家庄矿段利用一期竖井开拓系统。</w:t>
      </w:r>
    </w:p>
    <w:p w14:paraId="04002775">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（1）开拓系统</w:t>
      </w:r>
    </w:p>
    <w:p w14:paraId="6D328FD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彭集矿段开拓系统共设有1条胶带斜井、1条副井（利旧延伸）、1条倒段进风井、1条倒段回风井。</w:t>
      </w:r>
    </w:p>
    <w:p w14:paraId="47C5EDA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1）胶带斜井及破碎系统</w:t>
      </w:r>
    </w:p>
    <w:p w14:paraId="0F3BB7F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胶带斜井位于下盘13~17勘探线之间，负责将二期彭集矿段最大400×1</w:t>
      </w:r>
      <w:r>
        <w:rPr>
          <w:rFonts w:asciiTheme="minorHAnsi" w:hAnsiTheme="minorHAnsi" w:eastAsiaTheme="minorEastAsia" w:cstheme="minorHAnsi"/>
          <w:szCs w:val="28"/>
        </w:rPr>
        <w:t>0</w:t>
      </w:r>
      <w:r>
        <w:rPr>
          <w:rFonts w:asciiTheme="minorHAnsi" w:hAnsiTheme="minorHAnsi" w:eastAsiaTheme="minorEastAsia" w:cstheme="minorHAnsi"/>
          <w:szCs w:val="28"/>
          <w:vertAlign w:val="superscript"/>
        </w:rPr>
        <w:t>4</w:t>
      </w:r>
      <w:r>
        <w:rPr>
          <w:rFonts w:hint="eastAsia" w:asciiTheme="minorHAnsi" w:hAnsiTheme="minorHAnsi" w:eastAsiaTheme="minorEastAsia" w:cstheme="minorHAnsi"/>
          <w:szCs w:val="28"/>
        </w:rPr>
        <w:t>t/a矿石和20×1</w:t>
      </w:r>
      <w:r>
        <w:rPr>
          <w:rFonts w:asciiTheme="minorHAnsi" w:hAnsiTheme="minorHAnsi" w:eastAsiaTheme="minorEastAsia" w:cstheme="minorHAnsi"/>
          <w:szCs w:val="28"/>
        </w:rPr>
        <w:t>0</w:t>
      </w:r>
      <w:r>
        <w:rPr>
          <w:rFonts w:asciiTheme="minorHAnsi" w:hAnsiTheme="minorHAnsi" w:eastAsiaTheme="minorEastAsia" w:cstheme="minorHAnsi"/>
          <w:szCs w:val="28"/>
          <w:vertAlign w:val="superscript"/>
        </w:rPr>
        <w:t>4</w:t>
      </w:r>
      <w:r>
        <w:rPr>
          <w:rFonts w:hint="eastAsia" w:asciiTheme="minorHAnsi" w:hAnsiTheme="minorHAnsi" w:eastAsiaTheme="minorEastAsia" w:cstheme="minorHAnsi"/>
          <w:szCs w:val="28"/>
        </w:rPr>
        <w:t>t/a岩石由-905m破碎皮带道水平提升至一期-580m破碎水平，卸入储矿仓，储矿仓底部再接-625m装矿胶带、经主井提升至地表。二期新建1套胶带斜井，分两段，自下而上依次为K1胶带斜井和K2胶带斜井：</w:t>
      </w:r>
    </w:p>
    <w:p w14:paraId="010DB92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K1胶带斜井：</w:t>
      </w:r>
      <w:r>
        <w:rPr>
          <w:rFonts w:hint="eastAsia"/>
          <w:bCs/>
          <w:szCs w:val="28"/>
        </w:rPr>
        <w:t>总长度为745.494m</w:t>
      </w:r>
      <w:r>
        <w:rPr>
          <w:rFonts w:hint="eastAsia" w:asciiTheme="minorHAnsi" w:hAnsiTheme="minorHAnsi" w:eastAsiaTheme="minorEastAsia" w:cstheme="minorHAnsi"/>
          <w:szCs w:val="28"/>
        </w:rPr>
        <w:t>，角度0°~13.848°~0°，提升高度159m；</w:t>
      </w:r>
    </w:p>
    <w:p w14:paraId="0684E404">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K2胶带斜井：</w:t>
      </w:r>
      <w:r>
        <w:rPr>
          <w:rFonts w:hint="eastAsia"/>
          <w:bCs/>
          <w:szCs w:val="28"/>
        </w:rPr>
        <w:t>总长度为868.117m</w:t>
      </w:r>
      <w:r>
        <w:rPr>
          <w:rFonts w:hint="eastAsia" w:asciiTheme="minorHAnsi" w:hAnsiTheme="minorHAnsi" w:eastAsiaTheme="minorEastAsia" w:cstheme="minorHAnsi"/>
          <w:szCs w:val="28"/>
        </w:rPr>
        <w:t>，角度0°~12.853°~0°，提升高度175m；</w:t>
      </w:r>
    </w:p>
    <w:p w14:paraId="515486E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K1、K2胶带斜井内部设有胶带机、消防水管、压气管及无轨胶轮车，断面采用直墙三心拱形，断面净宽5600mm，墙高2200mm，底部铺设混凝土地坪。断面支护采用150mm厚喷射混凝土支护、150mm喷锚支护、150mm喷锚网支护、450mm厚钢筋混凝土四种形式，分别适用于围岩级别为I级、II级、III~IV、V级，喷射混凝土及钢筋混凝土强度等级均为C25。胶带机支座处预埋钢板埋设件，每300m设有钢跨梯。</w:t>
      </w:r>
    </w:p>
    <w:p w14:paraId="332C0E9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在-905m破碎皮带道水平设一座破碎硐室，硐室内部安装1台C160颚式破碎机。由1条主溜井下放的矿石和废石分别经给料机给入各自对应的破碎机。破碎后的矿石经给料至-905m水平皮带道在转运至主胶带运输。</w:t>
      </w:r>
    </w:p>
    <w:p w14:paraId="3C37E75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溜破系统人员、材料与备品备件经由副井下井，副井内设两套提升系统，作为溜破系统主要安全出口；</w:t>
      </w:r>
    </w:p>
    <w:p w14:paraId="47B1D4A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2）副井</w:t>
      </w:r>
    </w:p>
    <w:p w14:paraId="27DEFEA0">
      <w:pPr>
        <w:snapToGrid w:val="0"/>
        <w:spacing w:line="360" w:lineRule="auto"/>
        <w:ind w:firstLine="560"/>
        <w:rPr>
          <w:szCs w:val="28"/>
        </w:rPr>
      </w:pPr>
      <w:r>
        <w:rPr>
          <w:rFonts w:hint="eastAsia"/>
          <w:szCs w:val="28"/>
        </w:rPr>
        <w:t>二期利旧一期已施工副井，并向下延伸。井口标高+47m，井底标高由-600m延伸至-940m，井筒净直径8.0m不变，二期最低服务水平为-905m破碎皮带水平。副井功能不变，二期单独生产时进风风量140m</w:t>
      </w:r>
      <w:r>
        <w:rPr>
          <w:rFonts w:hint="eastAsia"/>
          <w:szCs w:val="28"/>
          <w:vertAlign w:val="superscript"/>
        </w:rPr>
        <w:t>3</w:t>
      </w:r>
      <w:r>
        <w:rPr>
          <w:rFonts w:hint="eastAsia"/>
          <w:szCs w:val="28"/>
        </w:rPr>
        <w:t>/s。</w:t>
      </w:r>
    </w:p>
    <w:p w14:paraId="72CB83E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3）倒段进风井</w:t>
      </w:r>
    </w:p>
    <w:p w14:paraId="0490C2F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倒段进风井位于下盘11勘探线附近，为二期施工的一期进风井的倒段进风井。上口标高-475m，下口标高-835m，井筒净直径5.0m。井下在-805m和-835m水平设单侧马头门，进风风量为240m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/s。二期仍利用一期-475m北石门风机，通过倒段进风井引入深部即可。</w:t>
      </w:r>
    </w:p>
    <w:p w14:paraId="4094231F">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4）1号倒段回风井</w:t>
      </w:r>
    </w:p>
    <w:p w14:paraId="0E14283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1号倒段回风井位于下盘13线附近，为二期施工的一期1号回风井的倒段回风井，上口标高+475m，下口标高-835m，井筒净直径6.5m。在-655m设双侧马头门，在-475、-505m、-730m、-805m、-835m水平开单侧马头门，回风风量360m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/s，设梯子间作为安全出口；</w:t>
      </w:r>
    </w:p>
    <w:p w14:paraId="36588D0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5）采区斜坡道</w:t>
      </w:r>
    </w:p>
    <w:p w14:paraId="7E27B38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上口标高-730m，下口标高-805m，负责井下人员、设备、材料在各分段间通行任务。直线段坡度为15%，在各分段联络巷处设缓坡段，缓坡段坡度3%，缓坡段间距不大于400m。</w:t>
      </w:r>
    </w:p>
    <w:p w14:paraId="541EA49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二期冯家庄矿段共设1条副井、1条回风井：</w:t>
      </w:r>
    </w:p>
    <w:p w14:paraId="369D4CB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1）冯家庄副井</w:t>
      </w:r>
    </w:p>
    <w:p w14:paraId="4B95A94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在冯家庄矿段13’勘探线附近设置1条副井，井口标高+48m，最低服务水平标高-505m运输水平，井筒净直径4.5m。</w:t>
      </w:r>
      <w:r>
        <w:rPr>
          <w:rFonts w:hint="eastAsia"/>
          <w:bCs/>
          <w:szCs w:val="28"/>
        </w:rPr>
        <w:t>井颈部分采用C40钢筋混凝土支护，支护厚度750mm，冻结法施工井颈深度为100m。井筒采用C30混凝土支护，支护厚度350mm。</w:t>
      </w:r>
      <w:r>
        <w:rPr>
          <w:rFonts w:hint="eastAsia" w:asciiTheme="minorHAnsi" w:hAnsiTheme="minorHAnsi" w:eastAsiaTheme="minorEastAsia" w:cstheme="minorHAnsi"/>
          <w:szCs w:val="28"/>
        </w:rPr>
        <w:t>主要负责冯家庄矿段井下人员、材料、设备的下井。设管缆，设梯子间，作为安全出口，承担60m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/s进风任务，分别在-100m，-175m、-250m、-325m、-400m、-475m水平设单侧马头门，在-505m水平设双侧马头门。</w:t>
      </w:r>
      <w:r>
        <w:rPr>
          <w:rFonts w:hint="eastAsia"/>
          <w:bCs/>
          <w:szCs w:val="28"/>
        </w:rPr>
        <w:t>马头门均采用C30混凝土支护。</w:t>
      </w:r>
      <w:r>
        <w:rPr>
          <w:rFonts w:hint="eastAsia" w:asciiTheme="minorHAnsi" w:hAnsiTheme="minorHAnsi" w:eastAsiaTheme="minorEastAsia" w:cstheme="minorHAnsi"/>
          <w:szCs w:val="28"/>
        </w:rPr>
        <w:t>设井口预热。</w:t>
      </w:r>
    </w:p>
    <w:p w14:paraId="478AFE1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2）冯家庄回风井</w:t>
      </w:r>
    </w:p>
    <w:p w14:paraId="3A42FCF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在冯家庄矿段11’勘探线附近设置1条回风井，井口标高+48m，井底标高-505m，井筒净直径4.0m。负责冯家庄矿段回风任务，回风风量80m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/s，分别在-100m，-175m、-250m、-325m、-400m、-475m、-505m水平设单侧马头门，设梯子间，作为安全出口。</w:t>
      </w:r>
    </w:p>
    <w:p w14:paraId="65EBE35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二期主要开拓工程特征见表</w:t>
      </w:r>
      <w:r>
        <w:rPr>
          <w:rFonts w:asciiTheme="minorHAnsi" w:hAnsiTheme="minorHAnsi" w:eastAsiaTheme="minorEastAsia" w:cstheme="minorHAnsi"/>
          <w:szCs w:val="28"/>
        </w:rPr>
        <w:t>2.4-3</w:t>
      </w:r>
      <w:r>
        <w:rPr>
          <w:rFonts w:hint="eastAsia" w:asciiTheme="minorHAnsi" w:hAnsiTheme="minorHAnsi" w:eastAsiaTheme="minorEastAsia" w:cstheme="minorHAnsi"/>
          <w:szCs w:val="28"/>
        </w:rPr>
        <w:t>，开拓系统立体图见图</w:t>
      </w:r>
      <w:r>
        <w:rPr>
          <w:rFonts w:asciiTheme="minorHAnsi" w:hAnsiTheme="minorHAnsi" w:eastAsiaTheme="minorEastAsia" w:cstheme="minorHAnsi"/>
          <w:szCs w:val="28"/>
        </w:rPr>
        <w:t>2.4-2</w:t>
      </w:r>
      <w:r>
        <w:rPr>
          <w:rFonts w:hint="eastAsia" w:asciiTheme="minorHAnsi" w:hAnsiTheme="minorHAnsi" w:eastAsiaTheme="minorEastAsia" w:cstheme="minorHAnsi"/>
          <w:szCs w:val="28"/>
        </w:rPr>
        <w:t>、图</w:t>
      </w:r>
      <w:r>
        <w:rPr>
          <w:rFonts w:asciiTheme="minorHAnsi" w:hAnsiTheme="minorHAnsi" w:eastAsiaTheme="minorEastAsia" w:cstheme="minorHAnsi"/>
          <w:szCs w:val="28"/>
        </w:rPr>
        <w:t>2.4-4</w:t>
      </w:r>
      <w:r>
        <w:rPr>
          <w:rFonts w:hint="eastAsia" w:asciiTheme="minorHAnsi" w:hAnsiTheme="minorHAnsi" w:eastAsiaTheme="minorEastAsia" w:cstheme="minorHAnsi"/>
          <w:szCs w:val="28"/>
        </w:rPr>
        <w:t>。</w:t>
      </w:r>
    </w:p>
    <w:p w14:paraId="28C9EC72">
      <w:pPr>
        <w:adjustRightInd w:val="0"/>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表2.4-2  </w:t>
      </w:r>
      <w:r>
        <w:rPr>
          <w:rFonts w:hint="eastAsia" w:asciiTheme="minorHAnsi" w:hAnsiTheme="minorHAnsi" w:eastAsiaTheme="minorEastAsia" w:cstheme="minorHAnsi"/>
          <w:szCs w:val="28"/>
        </w:rPr>
        <w:t>二期</w:t>
      </w:r>
      <w:r>
        <w:rPr>
          <w:rFonts w:asciiTheme="minorHAnsi" w:hAnsiTheme="minorHAnsi" w:eastAsiaTheme="minorEastAsia" w:cstheme="minorHAnsi"/>
          <w:szCs w:val="28"/>
        </w:rPr>
        <w:t>主要开拓工程特征表</w:t>
      </w:r>
    </w:p>
    <w:tbl>
      <w:tblPr>
        <w:tblStyle w:val="5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015"/>
        <w:gridCol w:w="1015"/>
        <w:gridCol w:w="1306"/>
        <w:gridCol w:w="2179"/>
        <w:gridCol w:w="2542"/>
      </w:tblGrid>
      <w:tr w14:paraId="35482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62" w:type="pct"/>
            <w:tcBorders>
              <w:top w:val="single" w:color="auto" w:sz="4" w:space="0"/>
              <w:left w:val="single" w:color="auto" w:sz="4" w:space="0"/>
              <w:bottom w:val="single" w:color="auto" w:sz="4" w:space="0"/>
              <w:right w:val="single" w:color="auto" w:sz="4" w:space="0"/>
            </w:tcBorders>
            <w:vAlign w:val="center"/>
          </w:tcPr>
          <w:p w14:paraId="6580918D">
            <w:pPr>
              <w:adjustRightInd w:val="0"/>
              <w:snapToGrid w:val="0"/>
              <w:spacing w:line="240" w:lineRule="auto"/>
              <w:ind w:firstLine="0" w:firstLineChars="0"/>
              <w:jc w:val="center"/>
              <w:rPr>
                <w:rFonts w:cs="Times New Roman"/>
                <w:w w:val="90"/>
                <w:sz w:val="21"/>
                <w:szCs w:val="21"/>
              </w:rPr>
            </w:pPr>
            <w:r>
              <w:rPr>
                <w:rFonts w:cs="Times New Roman"/>
                <w:w w:val="90"/>
                <w:sz w:val="21"/>
                <w:szCs w:val="21"/>
              </w:rPr>
              <w:t>名称</w:t>
            </w:r>
          </w:p>
        </w:tc>
        <w:tc>
          <w:tcPr>
            <w:tcW w:w="534" w:type="pct"/>
            <w:tcBorders>
              <w:top w:val="single" w:color="auto" w:sz="4" w:space="0"/>
              <w:left w:val="single" w:color="auto" w:sz="4" w:space="0"/>
              <w:bottom w:val="single" w:color="auto" w:sz="4" w:space="0"/>
              <w:right w:val="single" w:color="auto" w:sz="4" w:space="0"/>
            </w:tcBorders>
            <w:vAlign w:val="center"/>
          </w:tcPr>
          <w:p w14:paraId="50711F69">
            <w:pPr>
              <w:adjustRightInd w:val="0"/>
              <w:snapToGrid w:val="0"/>
              <w:spacing w:line="240" w:lineRule="auto"/>
              <w:ind w:firstLine="0" w:firstLineChars="0"/>
              <w:jc w:val="center"/>
              <w:rPr>
                <w:rFonts w:cs="Times New Roman"/>
                <w:w w:val="90"/>
                <w:sz w:val="21"/>
                <w:szCs w:val="21"/>
              </w:rPr>
            </w:pPr>
            <w:r>
              <w:rPr>
                <w:rFonts w:cs="Times New Roman"/>
                <w:w w:val="90"/>
                <w:sz w:val="21"/>
                <w:szCs w:val="21"/>
              </w:rPr>
              <w:t>井口标高（m）</w:t>
            </w:r>
          </w:p>
        </w:tc>
        <w:tc>
          <w:tcPr>
            <w:tcW w:w="534" w:type="pct"/>
            <w:tcBorders>
              <w:top w:val="single" w:color="auto" w:sz="4" w:space="0"/>
              <w:left w:val="single" w:color="auto" w:sz="4" w:space="0"/>
              <w:bottom w:val="single" w:color="auto" w:sz="4" w:space="0"/>
              <w:right w:val="single" w:color="auto" w:sz="4" w:space="0"/>
            </w:tcBorders>
            <w:vAlign w:val="center"/>
          </w:tcPr>
          <w:p w14:paraId="0266B634">
            <w:pPr>
              <w:adjustRightInd w:val="0"/>
              <w:snapToGrid w:val="0"/>
              <w:spacing w:line="240" w:lineRule="auto"/>
              <w:ind w:firstLine="0" w:firstLineChars="0"/>
              <w:jc w:val="center"/>
              <w:rPr>
                <w:rFonts w:cs="Times New Roman"/>
                <w:w w:val="90"/>
                <w:sz w:val="21"/>
                <w:szCs w:val="21"/>
              </w:rPr>
            </w:pPr>
            <w:r>
              <w:rPr>
                <w:rFonts w:cs="Times New Roman"/>
                <w:w w:val="90"/>
                <w:sz w:val="21"/>
                <w:szCs w:val="21"/>
              </w:rPr>
              <w:t>井底标高（m）</w:t>
            </w:r>
          </w:p>
        </w:tc>
        <w:tc>
          <w:tcPr>
            <w:tcW w:w="687" w:type="pct"/>
            <w:tcBorders>
              <w:top w:val="single" w:color="auto" w:sz="4" w:space="0"/>
              <w:left w:val="single" w:color="auto" w:sz="4" w:space="0"/>
              <w:bottom w:val="single" w:color="auto" w:sz="4" w:space="0"/>
              <w:right w:val="single" w:color="auto" w:sz="4" w:space="0"/>
            </w:tcBorders>
            <w:vAlign w:val="center"/>
          </w:tcPr>
          <w:p w14:paraId="7C801C9D">
            <w:pPr>
              <w:adjustRightInd w:val="0"/>
              <w:snapToGrid w:val="0"/>
              <w:spacing w:line="240" w:lineRule="auto"/>
              <w:ind w:firstLine="0" w:firstLineChars="0"/>
              <w:jc w:val="center"/>
              <w:rPr>
                <w:rFonts w:cs="Times New Roman"/>
                <w:w w:val="90"/>
                <w:sz w:val="21"/>
                <w:szCs w:val="21"/>
              </w:rPr>
            </w:pPr>
            <w:r>
              <w:rPr>
                <w:rFonts w:cs="Times New Roman"/>
                <w:w w:val="90"/>
                <w:sz w:val="21"/>
                <w:szCs w:val="21"/>
              </w:rPr>
              <w:t>井筒净直径</w:t>
            </w:r>
          </w:p>
          <w:p w14:paraId="59D6AF1D">
            <w:pPr>
              <w:adjustRightInd w:val="0"/>
              <w:snapToGrid w:val="0"/>
              <w:spacing w:line="240" w:lineRule="auto"/>
              <w:ind w:firstLine="0" w:firstLineChars="0"/>
              <w:jc w:val="center"/>
              <w:rPr>
                <w:rFonts w:cs="Times New Roman"/>
                <w:w w:val="90"/>
                <w:sz w:val="21"/>
                <w:szCs w:val="21"/>
              </w:rPr>
            </w:pPr>
            <w:r>
              <w:rPr>
                <w:rFonts w:cs="Times New Roman"/>
                <w:w w:val="90"/>
                <w:sz w:val="21"/>
                <w:szCs w:val="21"/>
              </w:rPr>
              <w:t>（m）</w:t>
            </w:r>
          </w:p>
        </w:tc>
        <w:tc>
          <w:tcPr>
            <w:tcW w:w="1146" w:type="pct"/>
            <w:tcBorders>
              <w:top w:val="single" w:color="auto" w:sz="4" w:space="0"/>
              <w:left w:val="single" w:color="auto" w:sz="4" w:space="0"/>
              <w:bottom w:val="single" w:color="auto" w:sz="4" w:space="0"/>
              <w:right w:val="single" w:color="auto" w:sz="4" w:space="0"/>
            </w:tcBorders>
            <w:vAlign w:val="center"/>
          </w:tcPr>
          <w:p w14:paraId="1C08E3F3">
            <w:pPr>
              <w:adjustRightInd w:val="0"/>
              <w:snapToGrid w:val="0"/>
              <w:spacing w:line="240" w:lineRule="auto"/>
              <w:ind w:firstLine="0" w:firstLineChars="0"/>
              <w:jc w:val="center"/>
              <w:rPr>
                <w:rFonts w:cs="Times New Roman"/>
                <w:w w:val="90"/>
                <w:sz w:val="21"/>
                <w:szCs w:val="21"/>
              </w:rPr>
            </w:pPr>
            <w:r>
              <w:rPr>
                <w:rFonts w:cs="Times New Roman"/>
                <w:w w:val="90"/>
                <w:sz w:val="21"/>
                <w:szCs w:val="21"/>
              </w:rPr>
              <w:t>装备</w:t>
            </w:r>
          </w:p>
        </w:tc>
        <w:tc>
          <w:tcPr>
            <w:tcW w:w="1337" w:type="pct"/>
            <w:tcBorders>
              <w:top w:val="single" w:color="auto" w:sz="4" w:space="0"/>
              <w:left w:val="single" w:color="auto" w:sz="4" w:space="0"/>
              <w:bottom w:val="single" w:color="auto" w:sz="4" w:space="0"/>
              <w:right w:val="single" w:color="auto" w:sz="4" w:space="0"/>
            </w:tcBorders>
            <w:vAlign w:val="center"/>
          </w:tcPr>
          <w:p w14:paraId="1C1D90C9">
            <w:pPr>
              <w:adjustRightInd w:val="0"/>
              <w:snapToGrid w:val="0"/>
              <w:spacing w:line="240" w:lineRule="auto"/>
              <w:ind w:firstLine="0" w:firstLineChars="0"/>
              <w:jc w:val="center"/>
              <w:rPr>
                <w:rFonts w:cs="Times New Roman"/>
                <w:w w:val="90"/>
                <w:sz w:val="21"/>
                <w:szCs w:val="21"/>
              </w:rPr>
            </w:pPr>
            <w:r>
              <w:rPr>
                <w:rFonts w:cs="Times New Roman"/>
                <w:w w:val="90"/>
                <w:sz w:val="21"/>
                <w:szCs w:val="21"/>
              </w:rPr>
              <w:t>用途</w:t>
            </w:r>
          </w:p>
        </w:tc>
      </w:tr>
      <w:tr w14:paraId="239E3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2C4BE935">
            <w:pPr>
              <w:adjustRightInd w:val="0"/>
              <w:snapToGrid w:val="0"/>
              <w:spacing w:line="240" w:lineRule="auto"/>
              <w:ind w:firstLine="0" w:firstLineChars="0"/>
              <w:jc w:val="center"/>
              <w:rPr>
                <w:rFonts w:cs="Times New Roman"/>
                <w:w w:val="90"/>
                <w:sz w:val="21"/>
                <w:szCs w:val="21"/>
              </w:rPr>
            </w:pPr>
            <w:r>
              <w:rPr>
                <w:rFonts w:cs="Times New Roman"/>
                <w:w w:val="90"/>
                <w:sz w:val="21"/>
                <w:szCs w:val="21"/>
              </w:rPr>
              <w:t>胶带斜井</w:t>
            </w:r>
          </w:p>
        </w:tc>
        <w:tc>
          <w:tcPr>
            <w:tcW w:w="534" w:type="pct"/>
            <w:tcBorders>
              <w:top w:val="single" w:color="auto" w:sz="4" w:space="0"/>
              <w:left w:val="single" w:color="auto" w:sz="4" w:space="0"/>
              <w:bottom w:val="single" w:color="auto" w:sz="4" w:space="0"/>
              <w:right w:val="single" w:color="auto" w:sz="4" w:space="0"/>
            </w:tcBorders>
            <w:vAlign w:val="center"/>
          </w:tcPr>
          <w:p w14:paraId="773E509F">
            <w:pPr>
              <w:adjustRightInd w:val="0"/>
              <w:snapToGrid w:val="0"/>
              <w:spacing w:line="240" w:lineRule="auto"/>
              <w:ind w:firstLine="0" w:firstLineChars="0"/>
              <w:jc w:val="center"/>
              <w:rPr>
                <w:rFonts w:cs="Times New Roman"/>
                <w:w w:val="90"/>
                <w:sz w:val="21"/>
                <w:szCs w:val="21"/>
              </w:rPr>
            </w:pPr>
            <w:r>
              <w:rPr>
                <w:rFonts w:cs="Times New Roman"/>
                <w:w w:val="90"/>
                <w:sz w:val="21"/>
                <w:szCs w:val="21"/>
              </w:rPr>
              <w:t>-580</w:t>
            </w:r>
          </w:p>
        </w:tc>
        <w:tc>
          <w:tcPr>
            <w:tcW w:w="534" w:type="pct"/>
            <w:tcBorders>
              <w:top w:val="single" w:color="auto" w:sz="4" w:space="0"/>
              <w:left w:val="single" w:color="auto" w:sz="4" w:space="0"/>
              <w:bottom w:val="single" w:color="auto" w:sz="4" w:space="0"/>
              <w:right w:val="single" w:color="auto" w:sz="4" w:space="0"/>
            </w:tcBorders>
            <w:vAlign w:val="center"/>
          </w:tcPr>
          <w:p w14:paraId="2CA7D0B5">
            <w:pPr>
              <w:adjustRightInd w:val="0"/>
              <w:snapToGrid w:val="0"/>
              <w:spacing w:line="240" w:lineRule="auto"/>
              <w:ind w:firstLine="0" w:firstLineChars="0"/>
              <w:jc w:val="center"/>
              <w:rPr>
                <w:rFonts w:cs="Times New Roman"/>
                <w:w w:val="90"/>
                <w:sz w:val="21"/>
                <w:szCs w:val="21"/>
              </w:rPr>
            </w:pPr>
            <w:r>
              <w:rPr>
                <w:rFonts w:cs="Times New Roman"/>
                <w:w w:val="90"/>
                <w:sz w:val="21"/>
                <w:szCs w:val="21"/>
              </w:rPr>
              <w:t>-905</w:t>
            </w:r>
          </w:p>
        </w:tc>
        <w:tc>
          <w:tcPr>
            <w:tcW w:w="687" w:type="pct"/>
            <w:tcBorders>
              <w:top w:val="single" w:color="auto" w:sz="4" w:space="0"/>
              <w:left w:val="single" w:color="auto" w:sz="4" w:space="0"/>
              <w:bottom w:val="single" w:color="auto" w:sz="4" w:space="0"/>
              <w:right w:val="single" w:color="auto" w:sz="4" w:space="0"/>
            </w:tcBorders>
            <w:vAlign w:val="center"/>
          </w:tcPr>
          <w:p w14:paraId="3CFE8DCA">
            <w:pPr>
              <w:adjustRightInd w:val="0"/>
              <w:snapToGrid w:val="0"/>
              <w:spacing w:line="240" w:lineRule="auto"/>
              <w:ind w:firstLine="0" w:firstLineChars="0"/>
              <w:jc w:val="center"/>
              <w:rPr>
                <w:rFonts w:cs="Times New Roman"/>
                <w:w w:val="90"/>
                <w:sz w:val="21"/>
                <w:szCs w:val="21"/>
              </w:rPr>
            </w:pPr>
          </w:p>
        </w:tc>
        <w:tc>
          <w:tcPr>
            <w:tcW w:w="1146" w:type="pct"/>
            <w:tcBorders>
              <w:top w:val="single" w:color="auto" w:sz="4" w:space="0"/>
              <w:left w:val="single" w:color="auto" w:sz="4" w:space="0"/>
              <w:bottom w:val="single" w:color="auto" w:sz="4" w:space="0"/>
              <w:right w:val="single" w:color="auto" w:sz="4" w:space="0"/>
            </w:tcBorders>
            <w:vAlign w:val="center"/>
          </w:tcPr>
          <w:p w14:paraId="0C9256A7">
            <w:pPr>
              <w:adjustRightInd w:val="0"/>
              <w:snapToGrid w:val="0"/>
              <w:spacing w:line="240" w:lineRule="auto"/>
              <w:ind w:firstLine="0" w:firstLineChars="0"/>
              <w:rPr>
                <w:rFonts w:cs="Times New Roman"/>
                <w:w w:val="90"/>
                <w:sz w:val="21"/>
                <w:szCs w:val="21"/>
              </w:rPr>
            </w:pPr>
          </w:p>
        </w:tc>
        <w:tc>
          <w:tcPr>
            <w:tcW w:w="1337" w:type="pct"/>
            <w:tcBorders>
              <w:top w:val="single" w:color="auto" w:sz="4" w:space="0"/>
              <w:left w:val="single" w:color="auto" w:sz="4" w:space="0"/>
              <w:bottom w:val="single" w:color="auto" w:sz="4" w:space="0"/>
              <w:right w:val="single" w:color="auto" w:sz="4" w:space="0"/>
            </w:tcBorders>
            <w:vAlign w:val="center"/>
          </w:tcPr>
          <w:p w14:paraId="6512F718">
            <w:pPr>
              <w:adjustRightInd w:val="0"/>
              <w:snapToGrid w:val="0"/>
              <w:spacing w:line="240" w:lineRule="auto"/>
              <w:ind w:firstLine="0" w:firstLineChars="0"/>
              <w:rPr>
                <w:rFonts w:cs="Times New Roman"/>
                <w:w w:val="90"/>
                <w:sz w:val="21"/>
                <w:szCs w:val="21"/>
              </w:rPr>
            </w:pPr>
            <w:r>
              <w:rPr>
                <w:rFonts w:cs="Times New Roman"/>
                <w:w w:val="90"/>
                <w:sz w:val="21"/>
                <w:szCs w:val="21"/>
              </w:rPr>
              <w:t>二期彭集矿段400万t/a矿石及20万t/a岩石的提升任务。</w:t>
            </w:r>
          </w:p>
        </w:tc>
      </w:tr>
      <w:tr w14:paraId="7A6BA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07ADE876">
            <w:pPr>
              <w:adjustRightInd w:val="0"/>
              <w:snapToGrid w:val="0"/>
              <w:spacing w:line="240" w:lineRule="auto"/>
              <w:ind w:firstLine="0" w:firstLineChars="0"/>
              <w:jc w:val="center"/>
              <w:rPr>
                <w:rFonts w:cs="Times New Roman"/>
                <w:w w:val="90"/>
                <w:sz w:val="21"/>
                <w:szCs w:val="21"/>
              </w:rPr>
            </w:pPr>
            <w:r>
              <w:rPr>
                <w:rFonts w:cs="Times New Roman"/>
                <w:w w:val="90"/>
                <w:sz w:val="21"/>
                <w:szCs w:val="21"/>
              </w:rPr>
              <w:t>副井</w:t>
            </w:r>
          </w:p>
        </w:tc>
        <w:tc>
          <w:tcPr>
            <w:tcW w:w="534" w:type="pct"/>
            <w:tcBorders>
              <w:top w:val="single" w:color="auto" w:sz="4" w:space="0"/>
              <w:left w:val="single" w:color="auto" w:sz="4" w:space="0"/>
              <w:bottom w:val="single" w:color="auto" w:sz="4" w:space="0"/>
              <w:right w:val="single" w:color="auto" w:sz="4" w:space="0"/>
            </w:tcBorders>
            <w:vAlign w:val="center"/>
          </w:tcPr>
          <w:p w14:paraId="35BB997C">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+47</w:t>
            </w:r>
          </w:p>
        </w:tc>
        <w:tc>
          <w:tcPr>
            <w:tcW w:w="534" w:type="pct"/>
            <w:tcBorders>
              <w:top w:val="single" w:color="auto" w:sz="4" w:space="0"/>
              <w:left w:val="single" w:color="auto" w:sz="4" w:space="0"/>
              <w:bottom w:val="single" w:color="auto" w:sz="4" w:space="0"/>
              <w:right w:val="single" w:color="auto" w:sz="4" w:space="0"/>
            </w:tcBorders>
            <w:vAlign w:val="center"/>
          </w:tcPr>
          <w:p w14:paraId="78FC00BC">
            <w:pPr>
              <w:adjustRightInd w:val="0"/>
              <w:snapToGrid w:val="0"/>
              <w:spacing w:line="240" w:lineRule="auto"/>
              <w:ind w:firstLine="0" w:firstLineChars="0"/>
              <w:jc w:val="center"/>
              <w:rPr>
                <w:rFonts w:cs="Times New Roman"/>
                <w:w w:val="90"/>
                <w:sz w:val="21"/>
                <w:szCs w:val="21"/>
              </w:rPr>
            </w:pPr>
            <w:r>
              <w:rPr>
                <w:rFonts w:cs="Times New Roman"/>
                <w:w w:val="90"/>
                <w:sz w:val="21"/>
                <w:szCs w:val="21"/>
              </w:rPr>
              <w:t>-940</w:t>
            </w:r>
          </w:p>
        </w:tc>
        <w:tc>
          <w:tcPr>
            <w:tcW w:w="687" w:type="pct"/>
            <w:tcBorders>
              <w:top w:val="single" w:color="auto" w:sz="4" w:space="0"/>
              <w:left w:val="single" w:color="auto" w:sz="4" w:space="0"/>
              <w:bottom w:val="single" w:color="auto" w:sz="4" w:space="0"/>
              <w:right w:val="single" w:color="auto" w:sz="4" w:space="0"/>
            </w:tcBorders>
            <w:vAlign w:val="center"/>
          </w:tcPr>
          <w:p w14:paraId="76B53291">
            <w:pPr>
              <w:adjustRightInd w:val="0"/>
              <w:snapToGrid w:val="0"/>
              <w:spacing w:line="240" w:lineRule="auto"/>
              <w:ind w:firstLine="0" w:firstLineChars="0"/>
              <w:jc w:val="center"/>
              <w:rPr>
                <w:rFonts w:cs="Times New Roman"/>
                <w:w w:val="90"/>
                <w:sz w:val="21"/>
                <w:szCs w:val="21"/>
              </w:rPr>
            </w:pPr>
            <w:r>
              <w:rPr>
                <w:rFonts w:cs="Times New Roman"/>
                <w:w w:val="90"/>
                <w:sz w:val="21"/>
                <w:szCs w:val="21"/>
              </w:rPr>
              <w:t>8.0</w:t>
            </w:r>
          </w:p>
        </w:tc>
        <w:tc>
          <w:tcPr>
            <w:tcW w:w="1146" w:type="pct"/>
            <w:tcBorders>
              <w:top w:val="single" w:color="auto" w:sz="4" w:space="0"/>
              <w:left w:val="single" w:color="auto" w:sz="4" w:space="0"/>
              <w:bottom w:val="single" w:color="auto" w:sz="4" w:space="0"/>
              <w:right w:val="single" w:color="auto" w:sz="4" w:space="0"/>
            </w:tcBorders>
            <w:vAlign w:val="center"/>
          </w:tcPr>
          <w:p w14:paraId="2061D1B3">
            <w:pPr>
              <w:adjustRightInd w:val="0"/>
              <w:snapToGrid w:val="0"/>
              <w:spacing w:line="240" w:lineRule="auto"/>
              <w:ind w:firstLine="0" w:firstLineChars="0"/>
              <w:rPr>
                <w:rFonts w:cs="Times New Roman"/>
                <w:w w:val="90"/>
                <w:sz w:val="21"/>
                <w:szCs w:val="21"/>
              </w:rPr>
            </w:pPr>
            <w:r>
              <w:rPr>
                <w:rFonts w:cs="Times New Roman"/>
                <w:w w:val="90"/>
                <w:sz w:val="21"/>
                <w:szCs w:val="21"/>
              </w:rPr>
              <w:t>副井井筒内布置两套相互独立的罐笼配平衡锤提升系统。</w:t>
            </w:r>
          </w:p>
          <w:p w14:paraId="63B67E97">
            <w:pPr>
              <w:adjustRightInd w:val="0"/>
              <w:snapToGrid w:val="0"/>
              <w:spacing w:line="240" w:lineRule="auto"/>
              <w:ind w:firstLine="0" w:firstLineChars="0"/>
              <w:rPr>
                <w:rFonts w:cs="Times New Roman"/>
                <w:w w:val="90"/>
                <w:sz w:val="21"/>
                <w:szCs w:val="21"/>
              </w:rPr>
            </w:pPr>
            <w:r>
              <w:rPr>
                <w:rFonts w:cs="Times New Roman"/>
                <w:w w:val="90"/>
                <w:sz w:val="21"/>
                <w:szCs w:val="21"/>
              </w:rPr>
              <w:t>大罐笼为双层六绳罐笼，提升机选用JKM3.5×6P Ⅲ型塔式多绳摩擦式提升机，配用TDBS型低速直联交流同步电动机，功率N=1900kW。</w:t>
            </w:r>
          </w:p>
          <w:p w14:paraId="6B235A65">
            <w:pPr>
              <w:adjustRightInd w:val="0"/>
              <w:snapToGrid w:val="0"/>
              <w:spacing w:line="240" w:lineRule="auto"/>
              <w:ind w:firstLine="0" w:firstLineChars="0"/>
              <w:rPr>
                <w:rFonts w:cs="Times New Roman"/>
                <w:w w:val="90"/>
                <w:sz w:val="21"/>
                <w:szCs w:val="21"/>
              </w:rPr>
            </w:pPr>
            <w:r>
              <w:rPr>
                <w:rFonts w:cs="Times New Roman"/>
                <w:w w:val="90"/>
                <w:sz w:val="21"/>
                <w:szCs w:val="21"/>
              </w:rPr>
              <w:t>小罐笼为单层四绳罐笼，提升机选用JKM1.3×4P（Ⅰ）型塔式多绳摩擦式提升机，配用YSBP型交流变频电动机，功率75kW。</w:t>
            </w:r>
          </w:p>
        </w:tc>
        <w:tc>
          <w:tcPr>
            <w:tcW w:w="1337" w:type="pct"/>
            <w:tcBorders>
              <w:top w:val="single" w:color="auto" w:sz="4" w:space="0"/>
              <w:left w:val="single" w:color="auto" w:sz="4" w:space="0"/>
              <w:bottom w:val="single" w:color="auto" w:sz="4" w:space="0"/>
              <w:right w:val="single" w:color="auto" w:sz="4" w:space="0"/>
            </w:tcBorders>
            <w:vAlign w:val="center"/>
          </w:tcPr>
          <w:p w14:paraId="464FB1FA">
            <w:pPr>
              <w:adjustRightInd w:val="0"/>
              <w:snapToGrid w:val="0"/>
              <w:spacing w:line="240" w:lineRule="auto"/>
              <w:ind w:firstLine="0" w:firstLineChars="0"/>
              <w:rPr>
                <w:rFonts w:cs="Times New Roman"/>
                <w:w w:val="90"/>
                <w:sz w:val="21"/>
                <w:szCs w:val="21"/>
              </w:rPr>
            </w:pPr>
            <w:r>
              <w:rPr>
                <w:rFonts w:cs="Times New Roman"/>
                <w:w w:val="90"/>
                <w:sz w:val="21"/>
                <w:szCs w:val="21"/>
              </w:rPr>
              <w:t>井下人员、材料、设备、大件的下井任务及进风任务，设压气、供水、排水管道及电缆，作为安全出口。</w:t>
            </w:r>
          </w:p>
        </w:tc>
      </w:tr>
      <w:tr w14:paraId="32733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0E60E480">
            <w:pPr>
              <w:adjustRightInd w:val="0"/>
              <w:snapToGrid w:val="0"/>
              <w:spacing w:line="240" w:lineRule="auto"/>
              <w:ind w:firstLine="0" w:firstLineChars="0"/>
              <w:jc w:val="center"/>
              <w:rPr>
                <w:rFonts w:cs="Times New Roman"/>
                <w:w w:val="90"/>
                <w:sz w:val="21"/>
                <w:szCs w:val="21"/>
              </w:rPr>
            </w:pPr>
            <w:r>
              <w:rPr>
                <w:rFonts w:cs="Times New Roman"/>
                <w:w w:val="90"/>
                <w:sz w:val="21"/>
                <w:szCs w:val="21"/>
              </w:rPr>
              <w:t>倒段进风井</w:t>
            </w:r>
          </w:p>
        </w:tc>
        <w:tc>
          <w:tcPr>
            <w:tcW w:w="534" w:type="pct"/>
            <w:tcBorders>
              <w:top w:val="single" w:color="auto" w:sz="4" w:space="0"/>
              <w:left w:val="single" w:color="auto" w:sz="4" w:space="0"/>
              <w:bottom w:val="single" w:color="auto" w:sz="4" w:space="0"/>
              <w:right w:val="single" w:color="auto" w:sz="4" w:space="0"/>
            </w:tcBorders>
            <w:vAlign w:val="center"/>
          </w:tcPr>
          <w:p w14:paraId="362AB77A">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-475</w:t>
            </w:r>
          </w:p>
        </w:tc>
        <w:tc>
          <w:tcPr>
            <w:tcW w:w="534" w:type="pct"/>
            <w:tcBorders>
              <w:top w:val="single" w:color="auto" w:sz="4" w:space="0"/>
              <w:left w:val="single" w:color="auto" w:sz="4" w:space="0"/>
              <w:bottom w:val="single" w:color="auto" w:sz="4" w:space="0"/>
              <w:right w:val="single" w:color="auto" w:sz="4" w:space="0"/>
            </w:tcBorders>
            <w:vAlign w:val="center"/>
          </w:tcPr>
          <w:p w14:paraId="1FCD86E8">
            <w:pPr>
              <w:adjustRightInd w:val="0"/>
              <w:snapToGrid w:val="0"/>
              <w:spacing w:line="240" w:lineRule="auto"/>
              <w:ind w:firstLine="0" w:firstLineChars="0"/>
              <w:jc w:val="center"/>
              <w:rPr>
                <w:rFonts w:cs="Times New Roman"/>
                <w:w w:val="90"/>
                <w:sz w:val="21"/>
                <w:szCs w:val="21"/>
              </w:rPr>
            </w:pPr>
            <w:r>
              <w:rPr>
                <w:rFonts w:cs="Times New Roman"/>
                <w:w w:val="90"/>
                <w:sz w:val="21"/>
                <w:szCs w:val="21"/>
              </w:rPr>
              <w:t>-835</w:t>
            </w:r>
          </w:p>
        </w:tc>
        <w:tc>
          <w:tcPr>
            <w:tcW w:w="687" w:type="pct"/>
            <w:tcBorders>
              <w:top w:val="single" w:color="auto" w:sz="4" w:space="0"/>
              <w:left w:val="single" w:color="auto" w:sz="4" w:space="0"/>
              <w:bottom w:val="single" w:color="auto" w:sz="4" w:space="0"/>
              <w:right w:val="single" w:color="auto" w:sz="4" w:space="0"/>
            </w:tcBorders>
            <w:vAlign w:val="center"/>
          </w:tcPr>
          <w:p w14:paraId="2ABD45FA">
            <w:pPr>
              <w:adjustRightInd w:val="0"/>
              <w:snapToGrid w:val="0"/>
              <w:spacing w:line="240" w:lineRule="auto"/>
              <w:ind w:firstLine="0" w:firstLineChars="0"/>
              <w:jc w:val="center"/>
              <w:rPr>
                <w:rFonts w:cs="Times New Roman"/>
                <w:w w:val="90"/>
                <w:sz w:val="21"/>
                <w:szCs w:val="21"/>
              </w:rPr>
            </w:pPr>
            <w:r>
              <w:rPr>
                <w:rFonts w:cs="Times New Roman"/>
                <w:w w:val="90"/>
                <w:sz w:val="21"/>
                <w:szCs w:val="21"/>
              </w:rPr>
              <w:t>5.0</w:t>
            </w:r>
          </w:p>
        </w:tc>
        <w:tc>
          <w:tcPr>
            <w:tcW w:w="1146" w:type="pct"/>
            <w:tcBorders>
              <w:top w:val="single" w:color="auto" w:sz="4" w:space="0"/>
              <w:left w:val="single" w:color="auto" w:sz="4" w:space="0"/>
              <w:bottom w:val="single" w:color="auto" w:sz="4" w:space="0"/>
              <w:right w:val="single" w:color="auto" w:sz="4" w:space="0"/>
            </w:tcBorders>
            <w:vAlign w:val="center"/>
          </w:tcPr>
          <w:p w14:paraId="3A325D8A">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无</w:t>
            </w:r>
          </w:p>
        </w:tc>
        <w:tc>
          <w:tcPr>
            <w:tcW w:w="1337" w:type="pct"/>
            <w:tcBorders>
              <w:top w:val="single" w:color="auto" w:sz="4" w:space="0"/>
              <w:left w:val="single" w:color="auto" w:sz="4" w:space="0"/>
              <w:bottom w:val="single" w:color="auto" w:sz="4" w:space="0"/>
              <w:right w:val="single" w:color="auto" w:sz="4" w:space="0"/>
            </w:tcBorders>
            <w:vAlign w:val="center"/>
          </w:tcPr>
          <w:p w14:paraId="393B492E">
            <w:pPr>
              <w:adjustRightInd w:val="0"/>
              <w:snapToGrid w:val="0"/>
              <w:spacing w:line="240" w:lineRule="auto"/>
              <w:ind w:firstLine="0" w:firstLineChars="0"/>
              <w:rPr>
                <w:rFonts w:cs="Times New Roman"/>
                <w:w w:val="90"/>
                <w:sz w:val="21"/>
                <w:szCs w:val="21"/>
              </w:rPr>
            </w:pPr>
            <w:r>
              <w:rPr>
                <w:rFonts w:cs="Times New Roman"/>
                <w:w w:val="90"/>
                <w:sz w:val="21"/>
                <w:szCs w:val="21"/>
              </w:rPr>
              <w:t>负责矿山进风任务。</w:t>
            </w:r>
          </w:p>
        </w:tc>
      </w:tr>
      <w:tr w14:paraId="3D0B4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0A5AF0C1">
            <w:pPr>
              <w:adjustRightInd w:val="0"/>
              <w:snapToGrid w:val="0"/>
              <w:spacing w:line="240" w:lineRule="auto"/>
              <w:ind w:firstLine="0" w:firstLineChars="0"/>
              <w:jc w:val="center"/>
              <w:rPr>
                <w:rFonts w:cs="Times New Roman"/>
                <w:sz w:val="21"/>
                <w:szCs w:val="21"/>
              </w:rPr>
            </w:pPr>
            <w:r>
              <w:rPr>
                <w:rFonts w:cs="Times New Roman"/>
                <w:w w:val="90"/>
                <w:sz w:val="21"/>
                <w:szCs w:val="21"/>
              </w:rPr>
              <w:t>1号倒段回风井</w:t>
            </w:r>
          </w:p>
        </w:tc>
        <w:tc>
          <w:tcPr>
            <w:tcW w:w="534" w:type="pct"/>
            <w:tcBorders>
              <w:top w:val="single" w:color="auto" w:sz="4" w:space="0"/>
              <w:left w:val="single" w:color="auto" w:sz="4" w:space="0"/>
              <w:bottom w:val="single" w:color="auto" w:sz="4" w:space="0"/>
              <w:right w:val="single" w:color="auto" w:sz="4" w:space="0"/>
            </w:tcBorders>
            <w:vAlign w:val="center"/>
          </w:tcPr>
          <w:p w14:paraId="5DD2C360">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-475</w:t>
            </w:r>
          </w:p>
        </w:tc>
        <w:tc>
          <w:tcPr>
            <w:tcW w:w="534" w:type="pct"/>
            <w:tcBorders>
              <w:top w:val="single" w:color="auto" w:sz="4" w:space="0"/>
              <w:left w:val="single" w:color="auto" w:sz="4" w:space="0"/>
              <w:bottom w:val="single" w:color="auto" w:sz="4" w:space="0"/>
              <w:right w:val="single" w:color="auto" w:sz="4" w:space="0"/>
            </w:tcBorders>
            <w:vAlign w:val="center"/>
          </w:tcPr>
          <w:p w14:paraId="799E1A9B">
            <w:pPr>
              <w:adjustRightInd w:val="0"/>
              <w:snapToGrid w:val="0"/>
              <w:spacing w:line="240" w:lineRule="auto"/>
              <w:ind w:firstLine="0" w:firstLineChars="0"/>
              <w:jc w:val="center"/>
              <w:rPr>
                <w:rFonts w:cs="Times New Roman"/>
                <w:w w:val="90"/>
                <w:sz w:val="21"/>
                <w:szCs w:val="21"/>
              </w:rPr>
            </w:pPr>
            <w:r>
              <w:rPr>
                <w:rFonts w:cs="Times New Roman"/>
                <w:w w:val="90"/>
                <w:sz w:val="21"/>
                <w:szCs w:val="21"/>
              </w:rPr>
              <w:t>-835</w:t>
            </w:r>
          </w:p>
        </w:tc>
        <w:tc>
          <w:tcPr>
            <w:tcW w:w="687" w:type="pct"/>
            <w:tcBorders>
              <w:top w:val="single" w:color="auto" w:sz="4" w:space="0"/>
              <w:left w:val="single" w:color="auto" w:sz="4" w:space="0"/>
              <w:bottom w:val="single" w:color="auto" w:sz="4" w:space="0"/>
              <w:right w:val="single" w:color="auto" w:sz="4" w:space="0"/>
            </w:tcBorders>
            <w:vAlign w:val="center"/>
          </w:tcPr>
          <w:p w14:paraId="416F9941">
            <w:pPr>
              <w:adjustRightInd w:val="0"/>
              <w:snapToGrid w:val="0"/>
              <w:spacing w:line="240" w:lineRule="auto"/>
              <w:ind w:firstLine="0" w:firstLineChars="0"/>
              <w:jc w:val="center"/>
              <w:rPr>
                <w:rFonts w:cs="Times New Roman"/>
                <w:w w:val="90"/>
                <w:sz w:val="21"/>
                <w:szCs w:val="21"/>
              </w:rPr>
            </w:pPr>
            <w:r>
              <w:rPr>
                <w:rFonts w:cs="Times New Roman"/>
                <w:w w:val="90"/>
                <w:sz w:val="21"/>
                <w:szCs w:val="21"/>
              </w:rPr>
              <w:t>6.5</w:t>
            </w:r>
          </w:p>
        </w:tc>
        <w:tc>
          <w:tcPr>
            <w:tcW w:w="1146" w:type="pct"/>
            <w:tcBorders>
              <w:top w:val="single" w:color="auto" w:sz="4" w:space="0"/>
              <w:left w:val="single" w:color="auto" w:sz="4" w:space="0"/>
              <w:bottom w:val="single" w:color="auto" w:sz="4" w:space="0"/>
              <w:right w:val="single" w:color="auto" w:sz="4" w:space="0"/>
            </w:tcBorders>
            <w:vAlign w:val="center"/>
          </w:tcPr>
          <w:p w14:paraId="715730A5">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梯子间</w:t>
            </w:r>
          </w:p>
        </w:tc>
        <w:tc>
          <w:tcPr>
            <w:tcW w:w="1337" w:type="pct"/>
            <w:tcBorders>
              <w:top w:val="single" w:color="auto" w:sz="4" w:space="0"/>
              <w:left w:val="single" w:color="auto" w:sz="4" w:space="0"/>
              <w:bottom w:val="single" w:color="auto" w:sz="4" w:space="0"/>
              <w:right w:val="single" w:color="auto" w:sz="4" w:space="0"/>
            </w:tcBorders>
            <w:vAlign w:val="center"/>
          </w:tcPr>
          <w:p w14:paraId="38F22892">
            <w:pPr>
              <w:adjustRightInd w:val="0"/>
              <w:snapToGrid w:val="0"/>
              <w:spacing w:line="240" w:lineRule="auto"/>
              <w:ind w:firstLine="0" w:firstLineChars="0"/>
              <w:rPr>
                <w:rFonts w:cs="Times New Roman"/>
                <w:w w:val="90"/>
                <w:sz w:val="21"/>
                <w:szCs w:val="21"/>
              </w:rPr>
            </w:pPr>
            <w:r>
              <w:rPr>
                <w:rFonts w:cs="Times New Roman"/>
                <w:w w:val="90"/>
                <w:sz w:val="21"/>
                <w:szCs w:val="21"/>
              </w:rPr>
              <w:t>负责矿山回风任务。</w:t>
            </w:r>
          </w:p>
        </w:tc>
      </w:tr>
      <w:tr w14:paraId="75D22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73EF04F6">
            <w:pPr>
              <w:adjustRightInd w:val="0"/>
              <w:snapToGrid w:val="0"/>
              <w:spacing w:line="240" w:lineRule="auto"/>
              <w:ind w:firstLine="0" w:firstLineChars="0"/>
              <w:jc w:val="center"/>
              <w:rPr>
                <w:rFonts w:cs="Times New Roman"/>
                <w:w w:val="90"/>
                <w:sz w:val="21"/>
                <w:szCs w:val="21"/>
              </w:rPr>
            </w:pPr>
            <w:r>
              <w:rPr>
                <w:rFonts w:cs="Times New Roman"/>
                <w:w w:val="90"/>
                <w:sz w:val="21"/>
                <w:szCs w:val="21"/>
              </w:rPr>
              <w:t>采区</w:t>
            </w:r>
          </w:p>
          <w:p w14:paraId="339E35D9">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斜坡道</w:t>
            </w:r>
          </w:p>
        </w:tc>
        <w:tc>
          <w:tcPr>
            <w:tcW w:w="534" w:type="pct"/>
            <w:tcBorders>
              <w:top w:val="single" w:color="auto" w:sz="4" w:space="0"/>
              <w:left w:val="single" w:color="auto" w:sz="4" w:space="0"/>
              <w:bottom w:val="single" w:color="auto" w:sz="4" w:space="0"/>
              <w:right w:val="single" w:color="auto" w:sz="4" w:space="0"/>
            </w:tcBorders>
            <w:vAlign w:val="center"/>
          </w:tcPr>
          <w:p w14:paraId="57848FA3">
            <w:pPr>
              <w:adjustRightInd w:val="0"/>
              <w:snapToGrid w:val="0"/>
              <w:spacing w:line="240" w:lineRule="auto"/>
              <w:ind w:firstLine="0" w:firstLineChars="0"/>
              <w:jc w:val="center"/>
              <w:rPr>
                <w:rFonts w:cs="Times New Roman"/>
                <w:w w:val="90"/>
                <w:sz w:val="21"/>
                <w:szCs w:val="21"/>
              </w:rPr>
            </w:pPr>
            <w:r>
              <w:rPr>
                <w:rFonts w:cs="Times New Roman"/>
                <w:w w:val="90"/>
                <w:sz w:val="21"/>
                <w:szCs w:val="21"/>
              </w:rPr>
              <w:t>-730</w:t>
            </w:r>
          </w:p>
        </w:tc>
        <w:tc>
          <w:tcPr>
            <w:tcW w:w="534" w:type="pct"/>
            <w:tcBorders>
              <w:top w:val="single" w:color="auto" w:sz="4" w:space="0"/>
              <w:left w:val="single" w:color="auto" w:sz="4" w:space="0"/>
              <w:bottom w:val="single" w:color="auto" w:sz="4" w:space="0"/>
              <w:right w:val="single" w:color="auto" w:sz="4" w:space="0"/>
            </w:tcBorders>
            <w:vAlign w:val="center"/>
          </w:tcPr>
          <w:p w14:paraId="138736D6">
            <w:pPr>
              <w:adjustRightInd w:val="0"/>
              <w:snapToGrid w:val="0"/>
              <w:spacing w:line="240" w:lineRule="auto"/>
              <w:ind w:firstLine="0" w:firstLineChars="0"/>
              <w:jc w:val="center"/>
              <w:rPr>
                <w:rFonts w:cs="Times New Roman"/>
                <w:w w:val="90"/>
                <w:sz w:val="21"/>
                <w:szCs w:val="21"/>
              </w:rPr>
            </w:pPr>
            <w:r>
              <w:rPr>
                <w:rFonts w:cs="Times New Roman"/>
                <w:w w:val="90"/>
                <w:sz w:val="21"/>
                <w:szCs w:val="21"/>
              </w:rPr>
              <w:t>-805</w:t>
            </w:r>
          </w:p>
        </w:tc>
        <w:tc>
          <w:tcPr>
            <w:tcW w:w="687" w:type="pct"/>
            <w:tcBorders>
              <w:top w:val="single" w:color="auto" w:sz="4" w:space="0"/>
              <w:left w:val="single" w:color="auto" w:sz="4" w:space="0"/>
              <w:bottom w:val="single" w:color="auto" w:sz="4" w:space="0"/>
              <w:right w:val="single" w:color="auto" w:sz="4" w:space="0"/>
            </w:tcBorders>
            <w:vAlign w:val="center"/>
          </w:tcPr>
          <w:p w14:paraId="454F6252">
            <w:pPr>
              <w:adjustRightInd w:val="0"/>
              <w:snapToGrid w:val="0"/>
              <w:spacing w:line="240" w:lineRule="auto"/>
              <w:ind w:firstLine="0" w:firstLineChars="0"/>
              <w:jc w:val="center"/>
              <w:rPr>
                <w:rFonts w:cs="Times New Roman"/>
                <w:w w:val="90"/>
                <w:sz w:val="21"/>
                <w:szCs w:val="21"/>
              </w:rPr>
            </w:pPr>
          </w:p>
        </w:tc>
        <w:tc>
          <w:tcPr>
            <w:tcW w:w="1146" w:type="pct"/>
            <w:tcBorders>
              <w:top w:val="single" w:color="auto" w:sz="4" w:space="0"/>
              <w:left w:val="single" w:color="auto" w:sz="4" w:space="0"/>
              <w:bottom w:val="single" w:color="auto" w:sz="4" w:space="0"/>
              <w:right w:val="single" w:color="auto" w:sz="4" w:space="0"/>
            </w:tcBorders>
            <w:vAlign w:val="center"/>
          </w:tcPr>
          <w:p w14:paraId="117BAE92">
            <w:pPr>
              <w:adjustRightInd w:val="0"/>
              <w:snapToGrid w:val="0"/>
              <w:spacing w:line="240" w:lineRule="auto"/>
              <w:ind w:firstLine="0" w:firstLineChars="0"/>
              <w:jc w:val="center"/>
              <w:rPr>
                <w:rFonts w:cs="Times New Roman"/>
                <w:w w:val="90"/>
                <w:sz w:val="21"/>
                <w:szCs w:val="21"/>
              </w:rPr>
            </w:pPr>
          </w:p>
        </w:tc>
        <w:tc>
          <w:tcPr>
            <w:tcW w:w="1337" w:type="pct"/>
            <w:tcBorders>
              <w:top w:val="single" w:color="auto" w:sz="4" w:space="0"/>
              <w:left w:val="single" w:color="auto" w:sz="4" w:space="0"/>
              <w:bottom w:val="single" w:color="auto" w:sz="4" w:space="0"/>
              <w:right w:val="single" w:color="auto" w:sz="4" w:space="0"/>
            </w:tcBorders>
            <w:vAlign w:val="center"/>
          </w:tcPr>
          <w:p w14:paraId="50E4D527">
            <w:pPr>
              <w:adjustRightInd w:val="0"/>
              <w:snapToGrid w:val="0"/>
              <w:spacing w:line="240" w:lineRule="auto"/>
              <w:ind w:firstLine="0" w:firstLineChars="0"/>
              <w:rPr>
                <w:rFonts w:cs="Times New Roman"/>
                <w:w w:val="90"/>
                <w:sz w:val="21"/>
                <w:szCs w:val="21"/>
              </w:rPr>
            </w:pPr>
            <w:r>
              <w:rPr>
                <w:rFonts w:cs="Times New Roman"/>
                <w:w w:val="90"/>
                <w:sz w:val="21"/>
                <w:szCs w:val="21"/>
              </w:rPr>
              <w:t>负责井下人员、设备、材料在各无轨分段间通行任务。</w:t>
            </w:r>
          </w:p>
        </w:tc>
      </w:tr>
      <w:tr w14:paraId="089F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1A85BEFE">
            <w:pPr>
              <w:adjustRightInd w:val="0"/>
              <w:snapToGrid w:val="0"/>
              <w:spacing w:line="240" w:lineRule="auto"/>
              <w:ind w:firstLine="0" w:firstLineChars="0"/>
              <w:jc w:val="center"/>
              <w:rPr>
                <w:rFonts w:cs="Times New Roman"/>
                <w:w w:val="90"/>
                <w:sz w:val="21"/>
                <w:szCs w:val="21"/>
              </w:rPr>
            </w:pPr>
            <w:r>
              <w:rPr>
                <w:rFonts w:cs="Times New Roman"/>
                <w:w w:val="90"/>
                <w:sz w:val="21"/>
                <w:szCs w:val="21"/>
              </w:rPr>
              <w:t>冯家庄副井</w:t>
            </w:r>
          </w:p>
        </w:tc>
        <w:tc>
          <w:tcPr>
            <w:tcW w:w="534" w:type="pct"/>
            <w:tcBorders>
              <w:top w:val="single" w:color="auto" w:sz="4" w:space="0"/>
              <w:left w:val="single" w:color="auto" w:sz="4" w:space="0"/>
              <w:bottom w:val="single" w:color="auto" w:sz="4" w:space="0"/>
              <w:right w:val="single" w:color="auto" w:sz="4" w:space="0"/>
            </w:tcBorders>
            <w:vAlign w:val="center"/>
          </w:tcPr>
          <w:p w14:paraId="17FCCD0C">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+48</w:t>
            </w:r>
          </w:p>
        </w:tc>
        <w:tc>
          <w:tcPr>
            <w:tcW w:w="534" w:type="pct"/>
            <w:tcBorders>
              <w:top w:val="single" w:color="auto" w:sz="4" w:space="0"/>
              <w:left w:val="single" w:color="auto" w:sz="4" w:space="0"/>
              <w:bottom w:val="single" w:color="auto" w:sz="4" w:space="0"/>
              <w:right w:val="single" w:color="auto" w:sz="4" w:space="0"/>
            </w:tcBorders>
            <w:vAlign w:val="center"/>
          </w:tcPr>
          <w:p w14:paraId="585316BB">
            <w:pPr>
              <w:adjustRightInd w:val="0"/>
              <w:snapToGrid w:val="0"/>
              <w:spacing w:line="240" w:lineRule="auto"/>
              <w:ind w:firstLine="0" w:firstLineChars="0"/>
              <w:jc w:val="center"/>
              <w:rPr>
                <w:rFonts w:cs="Times New Roman"/>
                <w:w w:val="90"/>
                <w:sz w:val="21"/>
                <w:szCs w:val="21"/>
              </w:rPr>
            </w:pPr>
            <w:r>
              <w:rPr>
                <w:rFonts w:cs="Times New Roman"/>
                <w:w w:val="90"/>
                <w:sz w:val="21"/>
                <w:szCs w:val="21"/>
              </w:rPr>
              <w:t>-505m</w:t>
            </w:r>
          </w:p>
        </w:tc>
        <w:tc>
          <w:tcPr>
            <w:tcW w:w="687" w:type="pct"/>
            <w:tcBorders>
              <w:top w:val="single" w:color="auto" w:sz="4" w:space="0"/>
              <w:left w:val="single" w:color="auto" w:sz="4" w:space="0"/>
              <w:bottom w:val="single" w:color="auto" w:sz="4" w:space="0"/>
              <w:right w:val="single" w:color="auto" w:sz="4" w:space="0"/>
            </w:tcBorders>
            <w:vAlign w:val="center"/>
          </w:tcPr>
          <w:p w14:paraId="069BE7D1">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4.5</w:t>
            </w:r>
          </w:p>
        </w:tc>
        <w:tc>
          <w:tcPr>
            <w:tcW w:w="1146" w:type="pct"/>
            <w:tcBorders>
              <w:top w:val="single" w:color="auto" w:sz="4" w:space="0"/>
              <w:left w:val="single" w:color="auto" w:sz="4" w:space="0"/>
              <w:bottom w:val="single" w:color="auto" w:sz="4" w:space="0"/>
              <w:right w:val="single" w:color="auto" w:sz="4" w:space="0"/>
            </w:tcBorders>
            <w:vAlign w:val="center"/>
          </w:tcPr>
          <w:p w14:paraId="4FDBA8B4">
            <w:pPr>
              <w:widowControl/>
              <w:adjustRightInd w:val="0"/>
              <w:snapToGrid w:val="0"/>
              <w:spacing w:line="240" w:lineRule="auto"/>
              <w:ind w:firstLine="0" w:firstLineChars="0"/>
              <w:rPr>
                <w:rFonts w:cs="Times New Roman"/>
                <w:w w:val="90"/>
                <w:sz w:val="21"/>
                <w:szCs w:val="21"/>
              </w:rPr>
            </w:pPr>
            <w:r>
              <w:rPr>
                <w:rFonts w:cs="Times New Roman"/>
                <w:w w:val="90"/>
                <w:sz w:val="21"/>
                <w:szCs w:val="21"/>
              </w:rPr>
              <w:t>冯家庄副井为罐笼井，井筒内布置一套单罐笼配平衡锤提升系统，兼做作进风井。</w:t>
            </w:r>
          </w:p>
          <w:p w14:paraId="5E814ED0">
            <w:pPr>
              <w:widowControl/>
              <w:adjustRightInd w:val="0"/>
              <w:snapToGrid w:val="0"/>
              <w:spacing w:line="240" w:lineRule="auto"/>
              <w:ind w:firstLine="0" w:firstLineChars="0"/>
              <w:rPr>
                <w:rFonts w:cs="Times New Roman"/>
                <w:w w:val="90"/>
                <w:sz w:val="21"/>
                <w:szCs w:val="21"/>
              </w:rPr>
            </w:pPr>
            <w:r>
              <w:rPr>
                <w:rFonts w:cs="Times New Roman"/>
                <w:w w:val="90"/>
                <w:sz w:val="21"/>
                <w:szCs w:val="21"/>
              </w:rPr>
              <w:t>采用单罐笼</w:t>
            </w:r>
            <w:r>
              <w:rPr>
                <w:rFonts w:hint="eastAsia" w:cs="Times New Roman"/>
                <w:w w:val="90"/>
                <w:sz w:val="21"/>
                <w:szCs w:val="21"/>
              </w:rPr>
              <w:t>，提升机</w:t>
            </w:r>
            <w:r>
              <w:rPr>
                <w:rFonts w:cs="Times New Roman"/>
                <w:w w:val="90"/>
                <w:sz w:val="21"/>
                <w:szCs w:val="21"/>
              </w:rPr>
              <w:t>选用JKM2.25×4P Ⅰ型多绳摩擦式提升机，配用YSBP型交流变频电动机，功率N=450kW。</w:t>
            </w:r>
          </w:p>
          <w:p w14:paraId="2618F546">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梯子间</w:t>
            </w:r>
          </w:p>
        </w:tc>
        <w:tc>
          <w:tcPr>
            <w:tcW w:w="1337" w:type="pct"/>
            <w:tcBorders>
              <w:top w:val="single" w:color="auto" w:sz="4" w:space="0"/>
              <w:left w:val="single" w:color="auto" w:sz="4" w:space="0"/>
              <w:bottom w:val="single" w:color="auto" w:sz="4" w:space="0"/>
              <w:right w:val="single" w:color="auto" w:sz="4" w:space="0"/>
            </w:tcBorders>
            <w:vAlign w:val="center"/>
          </w:tcPr>
          <w:p w14:paraId="268648AF">
            <w:pPr>
              <w:adjustRightInd w:val="0"/>
              <w:snapToGrid w:val="0"/>
              <w:spacing w:line="240" w:lineRule="auto"/>
              <w:ind w:firstLine="0" w:firstLineChars="0"/>
              <w:rPr>
                <w:rFonts w:cs="Times New Roman"/>
                <w:w w:val="90"/>
                <w:sz w:val="21"/>
                <w:szCs w:val="21"/>
              </w:rPr>
            </w:pPr>
            <w:r>
              <w:rPr>
                <w:rFonts w:cs="Times New Roman"/>
                <w:w w:val="90"/>
                <w:sz w:val="21"/>
                <w:szCs w:val="21"/>
              </w:rPr>
              <w:t>井下人员、材料、大件的下井任务及进风任务，作为安全出口。</w:t>
            </w:r>
          </w:p>
        </w:tc>
      </w:tr>
      <w:tr w14:paraId="4284C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tcBorders>
              <w:top w:val="single" w:color="auto" w:sz="4" w:space="0"/>
              <w:left w:val="single" w:color="auto" w:sz="4" w:space="0"/>
              <w:bottom w:val="single" w:color="auto" w:sz="4" w:space="0"/>
              <w:right w:val="single" w:color="auto" w:sz="4" w:space="0"/>
            </w:tcBorders>
            <w:vAlign w:val="center"/>
          </w:tcPr>
          <w:p w14:paraId="5FBFC2CA">
            <w:pPr>
              <w:adjustRightInd w:val="0"/>
              <w:snapToGrid w:val="0"/>
              <w:spacing w:line="240" w:lineRule="auto"/>
              <w:ind w:firstLine="0" w:firstLineChars="0"/>
              <w:jc w:val="center"/>
              <w:rPr>
                <w:rFonts w:cs="Times New Roman"/>
                <w:w w:val="90"/>
                <w:sz w:val="21"/>
                <w:szCs w:val="21"/>
              </w:rPr>
            </w:pPr>
            <w:r>
              <w:rPr>
                <w:rFonts w:cs="Times New Roman"/>
                <w:w w:val="90"/>
                <w:sz w:val="21"/>
                <w:szCs w:val="21"/>
              </w:rPr>
              <w:t>冯家庄回风井</w:t>
            </w:r>
          </w:p>
        </w:tc>
        <w:tc>
          <w:tcPr>
            <w:tcW w:w="534" w:type="pct"/>
            <w:tcBorders>
              <w:top w:val="single" w:color="auto" w:sz="4" w:space="0"/>
              <w:left w:val="single" w:color="auto" w:sz="4" w:space="0"/>
              <w:bottom w:val="single" w:color="auto" w:sz="4" w:space="0"/>
              <w:right w:val="single" w:color="auto" w:sz="4" w:space="0"/>
            </w:tcBorders>
            <w:vAlign w:val="center"/>
          </w:tcPr>
          <w:p w14:paraId="5AA0B2C5">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+48</w:t>
            </w:r>
          </w:p>
        </w:tc>
        <w:tc>
          <w:tcPr>
            <w:tcW w:w="534" w:type="pct"/>
            <w:tcBorders>
              <w:top w:val="single" w:color="auto" w:sz="4" w:space="0"/>
              <w:left w:val="single" w:color="auto" w:sz="4" w:space="0"/>
              <w:bottom w:val="single" w:color="auto" w:sz="4" w:space="0"/>
              <w:right w:val="single" w:color="auto" w:sz="4" w:space="0"/>
            </w:tcBorders>
            <w:vAlign w:val="center"/>
          </w:tcPr>
          <w:p w14:paraId="61F72547">
            <w:pPr>
              <w:adjustRightInd w:val="0"/>
              <w:snapToGrid w:val="0"/>
              <w:spacing w:line="240" w:lineRule="auto"/>
              <w:ind w:firstLine="0" w:firstLineChars="0"/>
              <w:jc w:val="center"/>
              <w:rPr>
                <w:rFonts w:cs="Times New Roman"/>
                <w:w w:val="90"/>
                <w:sz w:val="21"/>
                <w:szCs w:val="21"/>
              </w:rPr>
            </w:pPr>
            <w:r>
              <w:rPr>
                <w:rFonts w:cs="Times New Roman"/>
                <w:w w:val="90"/>
                <w:sz w:val="21"/>
                <w:szCs w:val="21"/>
              </w:rPr>
              <w:t>-505m</w:t>
            </w:r>
          </w:p>
        </w:tc>
        <w:tc>
          <w:tcPr>
            <w:tcW w:w="687" w:type="pct"/>
            <w:tcBorders>
              <w:top w:val="single" w:color="auto" w:sz="4" w:space="0"/>
              <w:left w:val="single" w:color="auto" w:sz="4" w:space="0"/>
              <w:bottom w:val="single" w:color="auto" w:sz="4" w:space="0"/>
              <w:right w:val="single" w:color="auto" w:sz="4" w:space="0"/>
            </w:tcBorders>
            <w:vAlign w:val="center"/>
          </w:tcPr>
          <w:p w14:paraId="615DFC58">
            <w:pPr>
              <w:adjustRightInd w:val="0"/>
              <w:snapToGrid w:val="0"/>
              <w:spacing w:line="240" w:lineRule="auto"/>
              <w:ind w:firstLine="0" w:firstLineChars="0"/>
              <w:jc w:val="center"/>
              <w:rPr>
                <w:rFonts w:cs="Times New Roman"/>
                <w:w w:val="90"/>
                <w:sz w:val="21"/>
                <w:szCs w:val="21"/>
              </w:rPr>
            </w:pPr>
            <w:r>
              <w:rPr>
                <w:rFonts w:cs="Times New Roman"/>
                <w:w w:val="90"/>
                <w:sz w:val="21"/>
                <w:szCs w:val="21"/>
              </w:rPr>
              <w:t>4</w:t>
            </w:r>
          </w:p>
        </w:tc>
        <w:tc>
          <w:tcPr>
            <w:tcW w:w="1146" w:type="pct"/>
            <w:tcBorders>
              <w:top w:val="single" w:color="auto" w:sz="4" w:space="0"/>
              <w:left w:val="single" w:color="auto" w:sz="4" w:space="0"/>
              <w:bottom w:val="single" w:color="auto" w:sz="4" w:space="0"/>
              <w:right w:val="single" w:color="auto" w:sz="4" w:space="0"/>
            </w:tcBorders>
            <w:vAlign w:val="center"/>
          </w:tcPr>
          <w:p w14:paraId="6DA696DB">
            <w:pPr>
              <w:adjustRightInd w:val="0"/>
              <w:snapToGrid w:val="0"/>
              <w:spacing w:line="240" w:lineRule="auto"/>
              <w:ind w:firstLine="0" w:firstLineChars="0"/>
              <w:jc w:val="center"/>
              <w:rPr>
                <w:rFonts w:cs="Times New Roman"/>
                <w:w w:val="90"/>
                <w:sz w:val="21"/>
                <w:szCs w:val="21"/>
              </w:rPr>
            </w:pPr>
            <w:r>
              <w:rPr>
                <w:rFonts w:cs="Times New Roman"/>
                <w:w w:val="90"/>
                <w:sz w:val="21"/>
                <w:szCs w:val="21"/>
              </w:rPr>
              <w:t>梯子间</w:t>
            </w:r>
          </w:p>
        </w:tc>
        <w:tc>
          <w:tcPr>
            <w:tcW w:w="1337" w:type="pct"/>
            <w:tcBorders>
              <w:top w:val="single" w:color="auto" w:sz="4" w:space="0"/>
              <w:left w:val="single" w:color="auto" w:sz="4" w:space="0"/>
              <w:bottom w:val="single" w:color="auto" w:sz="4" w:space="0"/>
              <w:right w:val="single" w:color="auto" w:sz="4" w:space="0"/>
            </w:tcBorders>
            <w:vAlign w:val="center"/>
          </w:tcPr>
          <w:p w14:paraId="2AF63610">
            <w:pPr>
              <w:adjustRightInd w:val="0"/>
              <w:snapToGrid w:val="0"/>
              <w:spacing w:line="240" w:lineRule="auto"/>
              <w:ind w:firstLine="0" w:firstLineChars="0"/>
              <w:rPr>
                <w:rFonts w:cs="Times New Roman"/>
                <w:w w:val="90"/>
                <w:sz w:val="21"/>
                <w:szCs w:val="21"/>
              </w:rPr>
            </w:pPr>
            <w:r>
              <w:rPr>
                <w:rFonts w:cs="Times New Roman"/>
                <w:w w:val="90"/>
                <w:sz w:val="21"/>
                <w:szCs w:val="21"/>
              </w:rPr>
              <w:t>冯家庄矿段回风任务</w:t>
            </w:r>
          </w:p>
        </w:tc>
      </w:tr>
    </w:tbl>
    <w:p w14:paraId="596A6664">
      <w:pPr>
        <w:adjustRightInd w:val="0"/>
        <w:snapToGrid w:val="0"/>
        <w:spacing w:line="360" w:lineRule="auto"/>
        <w:ind w:firstLine="0" w:firstLineChars="0"/>
      </w:pPr>
    </w:p>
    <w:p w14:paraId="6ADB16C5">
      <w:pPr>
        <w:adjustRightInd w:val="0"/>
        <w:snapToGrid w:val="0"/>
        <w:spacing w:line="360" w:lineRule="auto"/>
        <w:ind w:firstLine="0" w:firstLineChars="0"/>
      </w:pPr>
      <w:r>
        <w:drawing>
          <wp:inline distT="0" distB="0" distL="0" distR="0">
            <wp:extent cx="5585460" cy="62484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585460" cy="6248400"/>
                    </a:xfrm>
                    <a:prstGeom prst="rect">
                      <a:avLst/>
                    </a:prstGeom>
                    <a:noFill/>
                    <a:ln>
                      <a:noFill/>
                    </a:ln>
                    <a:effectLst/>
                  </pic:spPr>
                </pic:pic>
              </a:graphicData>
            </a:graphic>
          </wp:inline>
        </w:drawing>
      </w:r>
    </w:p>
    <w:p w14:paraId="72057E4C">
      <w:pPr>
        <w:adjustRightInd w:val="0"/>
        <w:snapToGrid w:val="0"/>
        <w:spacing w:line="360" w:lineRule="auto"/>
        <w:ind w:firstLine="0" w:firstLineChars="0"/>
        <w:jc w:val="center"/>
      </w:pPr>
      <w:r>
        <w:t>图2.</w:t>
      </w:r>
      <w:r>
        <w:rPr>
          <w:rFonts w:hint="eastAsia"/>
        </w:rPr>
        <w:t>4</w:t>
      </w:r>
      <w:r>
        <w:t>-3 二期彭集矿段开拓系统立体图</w:t>
      </w:r>
    </w:p>
    <w:p w14:paraId="286A0D38">
      <w:pPr>
        <w:adjustRightInd w:val="0"/>
        <w:snapToGrid w:val="0"/>
        <w:spacing w:line="360" w:lineRule="auto"/>
        <w:ind w:firstLine="0" w:firstLineChars="0"/>
        <w:jc w:val="center"/>
      </w:pPr>
      <w:r>
        <w:drawing>
          <wp:inline distT="0" distB="0" distL="0" distR="0">
            <wp:extent cx="5608320" cy="50673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608320" cy="5067300"/>
                    </a:xfrm>
                    <a:prstGeom prst="rect">
                      <a:avLst/>
                    </a:prstGeom>
                    <a:noFill/>
                    <a:ln>
                      <a:noFill/>
                    </a:ln>
                  </pic:spPr>
                </pic:pic>
              </a:graphicData>
            </a:graphic>
          </wp:inline>
        </w:drawing>
      </w:r>
    </w:p>
    <w:p w14:paraId="0789EB0C">
      <w:pPr>
        <w:adjustRightInd w:val="0"/>
        <w:snapToGrid w:val="0"/>
        <w:spacing w:line="360" w:lineRule="auto"/>
        <w:ind w:firstLine="0" w:firstLineChars="0"/>
        <w:jc w:val="center"/>
      </w:pPr>
      <w:r>
        <w:t>图2</w:t>
      </w:r>
      <w:r>
        <w:rPr>
          <w:rFonts w:hint="eastAsia"/>
        </w:rPr>
        <w:t>.4</w:t>
      </w:r>
      <w:r>
        <w:t>-4 二期</w:t>
      </w:r>
      <w:r>
        <w:rPr>
          <w:rFonts w:hint="eastAsia"/>
        </w:rPr>
        <w:t>冯家庄</w:t>
      </w:r>
      <w:r>
        <w:t>矿段开拓系统立体图</w:t>
      </w:r>
    </w:p>
    <w:p w14:paraId="1CCCA2AB">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（2）首采阶段</w:t>
      </w:r>
    </w:p>
    <w:p w14:paraId="71893E3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彭集矿段：开采-505m~-805m之间矿体，主要开采水平有-505m，-580m、-655m、-730m、-805m、-835m。其中首采阶段为-730m~-805m。</w:t>
      </w:r>
    </w:p>
    <w:p w14:paraId="39253B8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冯家庄矿段：开采-100m~-475m之间矿体。主要开采水平有-100m、-175m、-250m、-325m、-400m、-475m、-505m。其中首采阶段为-400m~-475m。</w:t>
      </w:r>
    </w:p>
    <w:p w14:paraId="646A22BA">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（3）运输、通风及排水系统</w:t>
      </w:r>
    </w:p>
    <w:p w14:paraId="56C3349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运输系统：</w:t>
      </w:r>
    </w:p>
    <w:p w14:paraId="19C5DB8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彭集矿段井下生产的矿石与采准废石通过溜井溜放到-835m阶段运输水平，装入10m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然后由30t电机车单机牵引通过900mm轨距铁路运到主溜井，经主溜井下放至-905m破碎皮带道水平，破碎后的矿石给料至-905m皮带道水平的胶带，后转运至胶带斜井，经胶带斜井提升至一期-580m破碎水平，卸入储矿仓，储矿仓底部再接-625m装矿胶带、经主井提升至地表选厂。</w:t>
      </w:r>
    </w:p>
    <w:p w14:paraId="56838CE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冯家庄矿段井下生产的矿石与采准废石通过采区溜井下放至-505m有轨运输水平，经运输巷道运至彭集矿段，经主溜井下放至-565m破碎水平破碎后，经-625皮带道水平，再经主井提升至地表。</w:t>
      </w:r>
    </w:p>
    <w:p w14:paraId="0FC06E7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彭集矿段和冯家庄矿段各设一条采区斜坡道，井下人员、设备、材料通过采区斜坡道在各分段间通行。</w:t>
      </w:r>
    </w:p>
    <w:p w14:paraId="645B16E2">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通风系统：</w:t>
      </w:r>
    </w:p>
    <w:p w14:paraId="1589D0C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采用对角式通风方式，多级机站通风系统，新鲜风流通过进风井、倒段进风井、副井进入进风水平，通过采区进风天井进入各分段，冲刷工作面后经采区回风天井回到回风水平，最后经1号倒段回风井、1号回风井回到地表。</w:t>
      </w:r>
    </w:p>
    <w:p w14:paraId="631AC1E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冯家庄矿段采用对角式通风方式，多级机站通风系统，新鲜风流通过冯家庄副井进入进风水平，通过采区进风天井进入各分段，冲刷工作面后经采区回风天井回到充填回风水平，最后经冯家庄回风井回到地表。</w:t>
      </w:r>
    </w:p>
    <w:p w14:paraId="148E68F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排水系统：</w:t>
      </w:r>
    </w:p>
    <w:p w14:paraId="365D39E6">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彭集矿段在-835m水平设置泵房水仓沉淀池排水系统，井下涌水通过泄水井汇至-835m水仓，通过-835m水泵房排至一期-505m水泵房，接力排出地表；</w:t>
      </w:r>
    </w:p>
    <w:p w14:paraId="7119DF4F">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冯家庄矿段利用一期彭集矿段排水系统，井下涌水通过泄水井汇至-505m运输水平，经水沟流至彭集矿段-505m水仓，经-505m水泵房排出地表。</w:t>
      </w:r>
    </w:p>
    <w:p w14:paraId="55F94820">
      <w:pPr>
        <w:adjustRightInd w:val="0"/>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（4）井下运输</w:t>
      </w:r>
    </w:p>
    <w:p w14:paraId="5750E644">
      <w:pPr>
        <w:adjustRightInd w:val="0"/>
        <w:snapToGrid w:val="0"/>
        <w:spacing w:line="360" w:lineRule="auto"/>
        <w:ind w:firstLine="560"/>
        <w:rPr>
          <w:rFonts w:asciiTheme="minorHAnsi" w:hAnsiTheme="minorHAnsi" w:eastAsiaTheme="minorEastAsia" w:cstheme="minorHAnsi"/>
          <w:szCs w:val="28"/>
        </w:rPr>
      </w:pPr>
      <w:r>
        <w:rPr>
          <w:rFonts w:asciiTheme="minorHAnsi" w:hAnsiTheme="minorHAnsi" w:eastAsiaTheme="minorEastAsia" w:cstheme="minorHAnsi"/>
          <w:szCs w:val="28"/>
        </w:rPr>
        <w:t>1</w:t>
      </w:r>
      <w:r>
        <w:rPr>
          <w:rFonts w:hint="eastAsia" w:asciiTheme="minorHAnsi" w:hAnsiTheme="minorHAnsi" w:eastAsiaTheme="minorEastAsia" w:cstheme="minorHAnsi"/>
          <w:szCs w:val="28"/>
        </w:rPr>
        <w:t>）有轨运输系统</w:t>
      </w:r>
    </w:p>
    <w:p w14:paraId="559E951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运输方式选择：</w:t>
      </w:r>
    </w:p>
    <w:p w14:paraId="3FCAA41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各采矿阶段矿石及采准废石分别经过采场矿石溜井溜放到有轨运输水平，在有轨运输水平穿脉装入10m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底侧卸式矿车中，由30t电机车单机牵引至井底车场，翻卸至矿石主溜井中，破碎后经主井箕斗提升至地表。</w:t>
      </w:r>
    </w:p>
    <w:p w14:paraId="5C06EA0A">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线路技术条件：</w:t>
      </w:r>
    </w:p>
    <w:p w14:paraId="104D64F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轨距：900mm；</w:t>
      </w:r>
    </w:p>
    <w:p w14:paraId="0428123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线路坡度：3‰～5‰；</w:t>
      </w:r>
    </w:p>
    <w:p w14:paraId="104F3BFF">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最小曲线半径：80m。</w:t>
      </w:r>
    </w:p>
    <w:p w14:paraId="4ABD56B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道岔：7号道岔</w:t>
      </w:r>
    </w:p>
    <w:p w14:paraId="5CB48358">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装矿方式：彭集矿段运输水平采用穿脉装矿，环形运输。冯家庄矿段运输水平采用沿脉装矿，折返式运输。</w:t>
      </w:r>
    </w:p>
    <w:p w14:paraId="141FB12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电机车：</w:t>
      </w:r>
    </w:p>
    <w:p w14:paraId="1EDB9AAE">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采用30t电机车单机牵引12节10m</w:t>
      </w:r>
      <w:r>
        <w:rPr>
          <w:rFonts w:hint="eastAsia"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底侧卸式矿车。电机车无人驾驶。共需5列机车运行。其中彭集矿段3列，冯家庄矿段1列，备用1列。</w:t>
      </w:r>
    </w:p>
    <w:p w14:paraId="69C9CE90">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有轨运输水平材料、设备与水沟清理、检修人员等，选用国产10t架线式电机车牵引YLC3-9材料车、YPC5-9平板车和有轨人车等进行运输。</w:t>
      </w:r>
    </w:p>
    <w:p w14:paraId="35D4D39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30t电机车参考中国中车兰州机车外形尺寸长×宽×高为7900mm×2050mm×1900mm，大件重量不超过22.5t，大件外形尺寸为5180mm×2050mm×1300mm。受电弓工作高度为2200mm~3400mm，供电网路电压550V，电机功率2×110kW。</w:t>
      </w:r>
    </w:p>
    <w:p w14:paraId="05AF90C0">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2）无轨运输系统</w:t>
      </w:r>
    </w:p>
    <w:p w14:paraId="3B50D7D6">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凿岩阶段水平和出矿阶段水平的人员、材料、油料运输均采用无轨设备运输方式。井下无轨设备均采用无轨刹车系统。</w:t>
      </w:r>
    </w:p>
    <w:p w14:paraId="27750E8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为人员调动和无轨运输调动高效方便，充分发挥无轨运输的优势，彭集矿段和冯家庄矿段各设1条采区斜坡道，用以沟通各阶段，构成立体交叉的无轨运输系统。</w:t>
      </w:r>
    </w:p>
    <w:p w14:paraId="50BB0617">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由于矿体走向较长，人员由副井下井后，由停放在副井井口的井下运人车经采区斜坡道运送到各采矿水平工作地点；</w:t>
      </w:r>
    </w:p>
    <w:p w14:paraId="31E59146">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井下材料与大件由副井下井，由井下材料车经采区斜坡道运送到各采矿水平工作地点；</w:t>
      </w:r>
    </w:p>
    <w:p w14:paraId="4F02FA0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爆破器材选用专用的爆破器材运输车运输；井下燃油运输选用专用井下加油车运输；支护材料选用5.5m</w:t>
      </w:r>
      <w:r>
        <w:rPr>
          <w:rFonts w:asciiTheme="minorHAnsi" w:hAnsiTheme="minorHAnsi" w:eastAsiaTheme="minorEastAsia" w:cstheme="minorHAnsi"/>
          <w:szCs w:val="28"/>
          <w:vertAlign w:val="superscript"/>
        </w:rPr>
        <w:t>3</w:t>
      </w:r>
      <w:r>
        <w:rPr>
          <w:rFonts w:hint="eastAsia" w:asciiTheme="minorHAnsi" w:hAnsiTheme="minorHAnsi" w:eastAsiaTheme="minorEastAsia" w:cstheme="minorHAnsi"/>
          <w:szCs w:val="28"/>
        </w:rPr>
        <w:t>混凝土搅拌罐运送；采准掘进矿岩根据运距不同，分别采用铲运机或井下自卸车进行运输；井下其他材料选用井下自卸车进行运输。</w:t>
      </w:r>
    </w:p>
    <w:p w14:paraId="403DCE75">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溜破系统人员、材料通过副井下放至-905m破碎皮带道水平。</w:t>
      </w:r>
    </w:p>
    <w:p w14:paraId="5A676A16">
      <w:pPr>
        <w:adjustRightInd w:val="0"/>
        <w:snapToGrid w:val="0"/>
        <w:spacing w:line="360" w:lineRule="auto"/>
        <w:ind w:firstLine="0" w:firstLineChars="0"/>
        <w:rPr>
          <w:rFonts w:asciiTheme="minorHAnsi" w:hAnsiTheme="minorHAnsi" w:eastAsiaTheme="minorEastAsia" w:cstheme="minorHAnsi"/>
          <w:b/>
          <w:bCs/>
          <w:kern w:val="0"/>
          <w:szCs w:val="24"/>
        </w:rPr>
      </w:pPr>
      <w:r>
        <w:rPr>
          <w:rFonts w:hint="eastAsia" w:asciiTheme="minorHAnsi" w:hAnsiTheme="minorHAnsi" w:eastAsiaTheme="minorEastAsia" w:cstheme="minorHAnsi"/>
          <w:b/>
          <w:bCs/>
          <w:kern w:val="0"/>
          <w:szCs w:val="24"/>
        </w:rPr>
        <w:t>2</w:t>
      </w:r>
      <w:r>
        <w:rPr>
          <w:rFonts w:asciiTheme="minorHAnsi" w:hAnsiTheme="minorHAnsi" w:eastAsiaTheme="minorEastAsia" w:cstheme="minorHAnsi"/>
          <w:b/>
          <w:bCs/>
          <w:kern w:val="0"/>
          <w:szCs w:val="24"/>
        </w:rPr>
        <w:t>.4.4.3</w:t>
      </w:r>
      <w:r>
        <w:rPr>
          <w:rFonts w:hint="eastAsia" w:asciiTheme="minorHAnsi" w:hAnsiTheme="minorHAnsi" w:eastAsiaTheme="minorEastAsia" w:cstheme="minorHAnsi"/>
          <w:b/>
          <w:bCs/>
          <w:kern w:val="0"/>
          <w:szCs w:val="24"/>
        </w:rPr>
        <w:t>开采过渡衔接措施</w:t>
      </w:r>
    </w:p>
    <w:p w14:paraId="1B7A4733">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二期采用胶带斜井开拓，井下矿岩可通过胶带斜井提升至一期-580m破碎水平卸入储矿仓，经储矿仓下放至-655m皮带道水平，再转运至一期主井提升至地表。二期基建只需施工新增胶带斜井，无需对主井进行延伸和改造主井提升设施，相对主井延伸方案，矿山停产时间较短。</w:t>
      </w:r>
    </w:p>
    <w:p w14:paraId="3D0A434C">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二期在一期进回风井利旧基础上，新增倒段进风井和倒段回风井，通过统筹考虑一期与二期通风系统，二期可利旧一期的部分风机硐室和风机，减少二期基建投资。</w:t>
      </w:r>
    </w:p>
    <w:p w14:paraId="3F80CD9D">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为增加二期施工出渣口，二期基建时，可将倒段进回风井作为出渣提升井，将二期基建废石提升至一期-475m水平，并通过采区溜井下放至-505m运输水平，并通过一期主井提升至地表。</w:t>
      </w:r>
    </w:p>
    <w:p w14:paraId="45717BAC">
      <w:pPr>
        <w:pStyle w:val="5"/>
        <w:spacing w:after="190"/>
        <w:rPr>
          <w:rFonts w:asciiTheme="minorHAnsi" w:hAnsiTheme="minorHAnsi" w:cstheme="minorHAnsi"/>
        </w:rPr>
      </w:pPr>
      <w:r>
        <w:rPr>
          <w:rFonts w:asciiTheme="minorHAnsi" w:hAnsiTheme="minorHAnsi" w:cstheme="minorHAnsi"/>
        </w:rPr>
        <w:t>2.4.5采矿工艺</w:t>
      </w:r>
    </w:p>
    <w:p w14:paraId="26E9A482">
      <w:pPr>
        <w:adjustRightInd w:val="0"/>
        <w:snapToGrid w:val="0"/>
        <w:spacing w:line="360" w:lineRule="auto"/>
        <w:ind w:firstLine="0" w:firstLineChars="0"/>
        <w:rPr>
          <w:rFonts w:asciiTheme="minorHAnsi" w:hAnsiTheme="minorHAnsi" w:eastAsiaTheme="minorEastAsia" w:cstheme="minorHAnsi"/>
          <w:b/>
          <w:bCs/>
          <w:kern w:val="0"/>
          <w:szCs w:val="24"/>
        </w:rPr>
      </w:pPr>
      <w:r>
        <w:rPr>
          <w:rFonts w:hint="eastAsia" w:asciiTheme="minorHAnsi" w:hAnsiTheme="minorHAnsi" w:eastAsiaTheme="minorEastAsia" w:cstheme="minorHAnsi"/>
          <w:b/>
          <w:bCs/>
          <w:kern w:val="0"/>
          <w:szCs w:val="24"/>
        </w:rPr>
        <w:t>2</w:t>
      </w:r>
      <w:r>
        <w:rPr>
          <w:rFonts w:asciiTheme="minorHAnsi" w:hAnsiTheme="minorHAnsi" w:eastAsiaTheme="minorEastAsia" w:cstheme="minorHAnsi"/>
          <w:b/>
          <w:bCs/>
          <w:kern w:val="0"/>
          <w:szCs w:val="24"/>
        </w:rPr>
        <w:t>.4.5.1</w:t>
      </w:r>
      <w:r>
        <w:rPr>
          <w:rFonts w:hint="eastAsia" w:asciiTheme="minorHAnsi" w:hAnsiTheme="minorHAnsi" w:eastAsiaTheme="minorEastAsia" w:cstheme="minorHAnsi"/>
          <w:b/>
          <w:bCs/>
          <w:kern w:val="0"/>
          <w:szCs w:val="24"/>
        </w:rPr>
        <w:t>一期采矿工艺</w:t>
      </w:r>
    </w:p>
    <w:p w14:paraId="2DA247E8">
      <w:pPr>
        <w:adjustRightInd w:val="0"/>
        <w:snapToGrid w:val="0"/>
        <w:spacing w:line="360" w:lineRule="auto"/>
        <w:ind w:firstLine="562"/>
        <w:rPr>
          <w:rFonts w:asciiTheme="minorHAnsi" w:hAnsiTheme="minorHAnsi" w:eastAsiaTheme="minorEastAsia" w:cstheme="minorHAnsi"/>
          <w:b/>
          <w:bCs/>
          <w:kern w:val="0"/>
          <w:szCs w:val="24"/>
        </w:rPr>
      </w:pPr>
      <w:r>
        <w:rPr>
          <w:rFonts w:asciiTheme="minorHAnsi" w:hAnsiTheme="minorHAnsi" w:eastAsiaTheme="minorEastAsia" w:cstheme="minorHAnsi"/>
          <w:b/>
          <w:bCs/>
          <w:kern w:val="0"/>
          <w:szCs w:val="24"/>
        </w:rPr>
        <w:t>（1）采矿方法的选择</w:t>
      </w:r>
    </w:p>
    <w:p w14:paraId="304B7C0B">
      <w:pPr>
        <w:widowControl/>
        <w:adjustRightInd w:val="0"/>
        <w:snapToGrid w:val="0"/>
        <w:spacing w:line="360" w:lineRule="auto"/>
        <w:ind w:firstLine="560"/>
        <w:rPr>
          <w:szCs w:val="28"/>
        </w:rPr>
      </w:pPr>
      <w:r>
        <w:rPr>
          <w:rFonts w:hint="eastAsia"/>
          <w:szCs w:val="28"/>
        </w:rPr>
        <w:t>1）9线以北1-2号和2号矿体</w:t>
      </w:r>
    </w:p>
    <w:p w14:paraId="0E1C3517">
      <w:pPr>
        <w:widowControl/>
        <w:adjustRightInd w:val="0"/>
        <w:snapToGrid w:val="0"/>
        <w:spacing w:line="360" w:lineRule="auto"/>
        <w:ind w:firstLine="560"/>
        <w:rPr>
          <w:szCs w:val="28"/>
        </w:rPr>
      </w:pPr>
      <w:r>
        <w:rPr>
          <w:rFonts w:hint="eastAsia"/>
          <w:szCs w:val="28"/>
        </w:rPr>
        <w:t>设计采用垂直走向布置的阶段凿岩阶段空场嗣后充填采矿法（下称垂直走向布置的阶段空场法）。</w:t>
      </w:r>
    </w:p>
    <w:p w14:paraId="64E6C4FD">
      <w:pPr>
        <w:widowControl/>
        <w:adjustRightInd w:val="0"/>
        <w:snapToGrid w:val="0"/>
        <w:spacing w:line="360" w:lineRule="auto"/>
        <w:ind w:firstLine="560"/>
        <w:rPr>
          <w:szCs w:val="28"/>
        </w:rPr>
      </w:pPr>
      <w:r>
        <w:rPr>
          <w:rFonts w:hint="eastAsia"/>
          <w:szCs w:val="28"/>
        </w:rPr>
        <w:t>2）9线以南1-2号和2号矿体</w:t>
      </w:r>
    </w:p>
    <w:p w14:paraId="57C490B2">
      <w:pPr>
        <w:widowControl/>
        <w:adjustRightInd w:val="0"/>
        <w:snapToGrid w:val="0"/>
        <w:spacing w:line="360" w:lineRule="auto"/>
        <w:ind w:firstLine="560"/>
        <w:rPr>
          <w:szCs w:val="28"/>
        </w:rPr>
      </w:pPr>
      <w:r>
        <w:rPr>
          <w:szCs w:val="28"/>
        </w:rPr>
        <w:t>设计采用沿走向布置的分段凿岩阶段空场嗣后充填采矿方法（下称沿走向布置的分段空场法）</w:t>
      </w:r>
      <w:r>
        <w:rPr>
          <w:rFonts w:hint="eastAsia"/>
          <w:szCs w:val="28"/>
        </w:rPr>
        <w:t>。</w:t>
      </w:r>
    </w:p>
    <w:p w14:paraId="1559C96C">
      <w:pPr>
        <w:widowControl/>
        <w:adjustRightInd w:val="0"/>
        <w:snapToGrid w:val="0"/>
        <w:spacing w:line="360" w:lineRule="auto"/>
        <w:ind w:firstLine="560"/>
        <w:rPr>
          <w:szCs w:val="28"/>
        </w:rPr>
      </w:pPr>
      <w:r>
        <w:rPr>
          <w:rFonts w:hint="eastAsia"/>
          <w:szCs w:val="28"/>
        </w:rPr>
        <w:t>3）全区域5-3、6-2号矿体</w:t>
      </w:r>
    </w:p>
    <w:p w14:paraId="5D21C38D">
      <w:pPr>
        <w:widowControl/>
        <w:adjustRightInd w:val="0"/>
        <w:snapToGrid w:val="0"/>
        <w:spacing w:line="360" w:lineRule="auto"/>
        <w:ind w:firstLine="560"/>
        <w:rPr>
          <w:rFonts w:cs="Times New Roman"/>
          <w:szCs w:val="28"/>
        </w:rPr>
      </w:pPr>
      <w:r>
        <w:rPr>
          <w:szCs w:val="28"/>
        </w:rPr>
        <w:t>设计采用沿走向布置的分段凿岩阶段空场嗣后充填采矿方法（下称沿走向布置的分段空场法）。</w:t>
      </w:r>
    </w:p>
    <w:p w14:paraId="301055AB">
      <w:pPr>
        <w:widowControl/>
        <w:adjustRightInd w:val="0"/>
        <w:snapToGrid w:val="0"/>
        <w:spacing w:line="360" w:lineRule="auto"/>
        <w:ind w:firstLine="560"/>
        <w:rPr>
          <w:rFonts w:cs="Times New Roman"/>
          <w:szCs w:val="28"/>
        </w:rPr>
      </w:pPr>
      <w:r>
        <w:rPr>
          <w:rFonts w:hint="eastAsia" w:cs="Times New Roman"/>
          <w:szCs w:val="28"/>
        </w:rPr>
        <w:t>4）其它零星矿体</w:t>
      </w:r>
    </w:p>
    <w:p w14:paraId="1E14E1E4">
      <w:pPr>
        <w:widowControl/>
        <w:adjustRightInd w:val="0"/>
        <w:snapToGrid w:val="0"/>
        <w:spacing w:line="360" w:lineRule="auto"/>
        <w:ind w:firstLine="560"/>
        <w:rPr>
          <w:rFonts w:cs="Times New Roman"/>
          <w:szCs w:val="28"/>
        </w:rPr>
      </w:pPr>
      <w:r>
        <w:rPr>
          <w:rFonts w:hint="eastAsia" w:cs="Times New Roman"/>
          <w:szCs w:val="28"/>
        </w:rPr>
        <w:t>对于其它水平厚度在5m以下的矿体（3号、4号、7号、8号），可采用沿走向布置的分段空场法，视市场情况及外部环境开采。</w:t>
      </w:r>
    </w:p>
    <w:p w14:paraId="4783EC25">
      <w:pPr>
        <w:adjustRightInd w:val="0"/>
        <w:snapToGrid w:val="0"/>
        <w:spacing w:line="360" w:lineRule="auto"/>
        <w:ind w:firstLine="562"/>
        <w:rPr>
          <w:rFonts w:asciiTheme="minorHAnsi" w:hAnsiTheme="minorHAnsi" w:eastAsiaTheme="minorEastAsia" w:cstheme="minorHAnsi"/>
          <w:b/>
          <w:bCs/>
          <w:kern w:val="0"/>
          <w:szCs w:val="24"/>
        </w:rPr>
      </w:pPr>
      <w:r>
        <w:rPr>
          <w:rFonts w:asciiTheme="minorHAnsi" w:hAnsiTheme="minorHAnsi" w:eastAsiaTheme="minorEastAsia" w:cstheme="minorHAnsi"/>
          <w:b/>
          <w:bCs/>
          <w:kern w:val="0"/>
          <w:szCs w:val="24"/>
        </w:rPr>
        <w:t>（2）采场结构参数</w:t>
      </w:r>
    </w:p>
    <w:p w14:paraId="4F80FF22">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1）垂直走向布置的阶段空场法</w:t>
      </w:r>
    </w:p>
    <w:p w14:paraId="22C8A048">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该法主要适用于1-2号和2号矿体9线以北范围。沿矿体走向方向划分盘区，每个盘区按采场长轴方向垂直矿体走向划分采场和盘区间柱，每个盘区内包括每7个采场和1个盘区间柱，采场和盘区间柱宽均为25m。每个盘区长200m，宽为矿体水平厚度，阶段高75m。每个采场长为矿体水平厚度，宽25m，阶段高75m。盘区内采场分为两步回采，一步和二步采场按照隔一采一进行回采，回采后马上充填。</w:t>
      </w:r>
    </w:p>
    <w:p w14:paraId="40BB152A">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2）沿走向布置的分段空场法</w:t>
      </w:r>
    </w:p>
    <w:p w14:paraId="6427CB91">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该法主要适用于1-2号和2号矿体9线以南部分，5-3号、6-2号矿体全部及其他零星矿体。沿矿体走向方向划分盘区，每个盘区内按采场长轴方向沿矿体走向划分采场和盘区间柱，每个盘区布置4个采场和1个盘区间柱，采场长45m，盘区间柱厚25m。每个盘区长200m，宽为矿体水平厚度，高75m。每个采场长45m，宽为矿体厚度，阶段高75m，分段高25m。采场又分为矿房和矿柱，矿房长40m，矿柱长5m。虽然各矿房间留设了矿柱，各矿房相对独立，但为了保证矿柱的稳定性，盘区内采场回采爆破时，相邻采场停止工作。但相邻采场可同时进行采准、凿岩、充填等工序。</w:t>
      </w:r>
    </w:p>
    <w:p w14:paraId="120ABD86">
      <w:pPr>
        <w:adjustRightInd w:val="0"/>
        <w:snapToGrid w:val="0"/>
        <w:spacing w:line="360" w:lineRule="auto"/>
        <w:ind w:firstLine="562"/>
        <w:rPr>
          <w:rFonts w:asciiTheme="minorHAnsi" w:hAnsiTheme="minorHAnsi" w:eastAsiaTheme="minorEastAsia" w:cstheme="minorHAnsi"/>
          <w:b/>
          <w:kern w:val="0"/>
          <w:szCs w:val="28"/>
        </w:rPr>
      </w:pPr>
      <w:r>
        <w:rPr>
          <w:rFonts w:hint="eastAsia" w:asciiTheme="minorHAnsi" w:hAnsiTheme="minorHAnsi" w:eastAsiaTheme="minorEastAsia" w:cstheme="minorHAnsi"/>
          <w:b/>
          <w:kern w:val="0"/>
          <w:szCs w:val="28"/>
        </w:rPr>
        <w:t>（3）采掘工艺</w:t>
      </w:r>
    </w:p>
    <w:p w14:paraId="411580E4">
      <w:pPr>
        <w:adjustRightInd w:val="0"/>
        <w:snapToGrid w:val="0"/>
        <w:spacing w:line="360" w:lineRule="auto"/>
        <w:ind w:firstLine="560"/>
        <w:rPr>
          <w:rFonts w:asciiTheme="minorHAnsi" w:hAnsiTheme="minorHAnsi" w:eastAsiaTheme="minorEastAsia" w:cstheme="minorHAnsi"/>
          <w:kern w:val="0"/>
          <w:szCs w:val="28"/>
        </w:rPr>
      </w:pPr>
      <w:r>
        <w:rPr>
          <w:rFonts w:asciiTheme="minorHAnsi" w:hAnsiTheme="minorHAnsi" w:eastAsiaTheme="minorEastAsia" w:cstheme="minorHAnsi"/>
          <w:kern w:val="0"/>
          <w:szCs w:val="28"/>
        </w:rPr>
        <w:t>1</w:t>
      </w:r>
      <w:r>
        <w:rPr>
          <w:rFonts w:hint="eastAsia" w:asciiTheme="minorHAnsi" w:hAnsiTheme="minorHAnsi" w:eastAsiaTheme="minorEastAsia" w:cstheme="minorHAnsi"/>
          <w:kern w:val="0"/>
          <w:szCs w:val="28"/>
        </w:rPr>
        <w:t>） 垂直走向布置的阶段空场法</w:t>
      </w:r>
    </w:p>
    <w:p w14:paraId="70FE820B">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①采准切割</w:t>
      </w:r>
    </w:p>
    <w:p w14:paraId="6ECFCA51">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开采阶段高75m，顶部水平为凿岩充填水平，底部为凿岩、出矿水平。各水平下盘沿脉巷道通过采区斜坡道相连。</w:t>
      </w:r>
    </w:p>
    <w:p w14:paraId="34917C0A">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凿岩充填水平主要采切工程有：下盘沿脉巷道、凿岩充填联络巷、凿岩硐室、进回风天井联络巷。</w:t>
      </w:r>
    </w:p>
    <w:p w14:paraId="4C5053CA">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出矿水平主要采切工程有：下盘沿脉巷道、出矿联络巷、出矿进路、堑沟拉底巷道、切割井、采区溜井、采区进风天井、采区回风天井等。</w:t>
      </w:r>
    </w:p>
    <w:p w14:paraId="40AB4326">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采场底部出矿结构采用堑沟形式。在下盘沿脉巷道向采场方向掘进出矿联络巷，从出矿联络巷掘进出矿进路，出矿进路与出矿联络巷道的交角为45°。</w:t>
      </w:r>
    </w:p>
    <w:p w14:paraId="053BEFAF">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本阶段凿岩充填水平是在本阶段采矿结束转入上阶段生产后的出矿水平。上阶段底部结构的采准工作需要在本阶段盘区生产结束后进行，上阶段采场内的底部结构工程基本全部布置在本阶段的充填体之上。</w:t>
      </w:r>
    </w:p>
    <w:p w14:paraId="6766CF1C">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在上盘</w:t>
      </w:r>
      <w:r>
        <w:rPr>
          <w:rFonts w:asciiTheme="minorHAnsi" w:hAnsiTheme="minorHAnsi" w:eastAsiaTheme="minorEastAsia" w:cstheme="minorHAnsi"/>
          <w:kern w:val="0"/>
          <w:szCs w:val="28"/>
        </w:rPr>
        <w:t>1-2</w:t>
      </w:r>
      <w:r>
        <w:rPr>
          <w:rFonts w:hint="eastAsia" w:asciiTheme="minorHAnsi" w:hAnsiTheme="minorHAnsi" w:eastAsiaTheme="minorEastAsia" w:cstheme="minorHAnsi"/>
          <w:kern w:val="0"/>
          <w:szCs w:val="28"/>
        </w:rPr>
        <w:t>、2号矿体条带与下盘5</w:t>
      </w:r>
      <w:r>
        <w:rPr>
          <w:rFonts w:asciiTheme="minorHAnsi" w:hAnsiTheme="minorHAnsi" w:eastAsiaTheme="minorEastAsia" w:cstheme="minorHAnsi"/>
          <w:kern w:val="0"/>
          <w:szCs w:val="28"/>
        </w:rPr>
        <w:t>-3</w:t>
      </w:r>
      <w:r>
        <w:rPr>
          <w:rFonts w:hint="eastAsia" w:asciiTheme="minorHAnsi" w:hAnsiTheme="minorHAnsi" w:eastAsiaTheme="minorEastAsia" w:cstheme="minorHAnsi"/>
          <w:kern w:val="0"/>
          <w:szCs w:val="28"/>
        </w:rPr>
        <w:t>、6</w:t>
      </w:r>
      <w:r>
        <w:rPr>
          <w:rFonts w:asciiTheme="minorHAnsi" w:hAnsiTheme="minorHAnsi" w:eastAsiaTheme="minorEastAsia" w:cstheme="minorHAnsi"/>
          <w:kern w:val="0"/>
          <w:szCs w:val="28"/>
        </w:rPr>
        <w:t>-2</w:t>
      </w:r>
      <w:r>
        <w:rPr>
          <w:rFonts w:hint="eastAsia" w:asciiTheme="minorHAnsi" w:hAnsiTheme="minorHAnsi" w:eastAsiaTheme="minorEastAsia" w:cstheme="minorHAnsi"/>
          <w:kern w:val="0"/>
          <w:szCs w:val="28"/>
        </w:rPr>
        <w:t>号矿体条带之间的夹石内布置采区溜井，每个盘区布置1条采区溜井，溜井间距为200m。</w:t>
      </w:r>
    </w:p>
    <w:p w14:paraId="6E244A66">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在矿体下盘每两个盘区设1条采区进风天井，在矿体上盘每两个盘区布置1条采区回风天井，进回风天井对角错开布置。采区进回风天井连通各水平和回风水平。</w:t>
      </w:r>
    </w:p>
    <w:p w14:paraId="0147141C">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②回采</w:t>
      </w:r>
    </w:p>
    <w:p w14:paraId="1EDB1CC3">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盘区内采场回采顺序为：盘区内采场分为两步回采，一步和二步采场按照隔一采一进行回采。矿山在生产中要逐步调整好一步采场与二步采场的回采比例，尽量一致。</w:t>
      </w:r>
    </w:p>
    <w:p w14:paraId="56EB2D38">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切工程结束后，回采凿岩采用KQG-150潜孔钻机配移动空压机，在凿岩水平凿岩硐室内向下钻凿垂直深孔。采用SimbaH1354中深孔凿岩台车在出矿水平堑沟拉底巷道中钻凿中深孔，在采场一侧采用切割天井施工切割槽，以切割槽为自由面侧向崩矿。每次爆破后出爆破量的1/3，剩余矿石留在采场支护侧帮。待采场矿石全部爆破后，再高强度大量集中出矿，出矿设备采用4m</w:t>
      </w:r>
      <w:r>
        <w:rPr>
          <w:rFonts w:hint="eastAsia" w:asciiTheme="minorHAnsi" w:hAnsiTheme="minorHAnsi" w:eastAsiaTheme="minorEastAsia" w:cstheme="minorHAnsi"/>
          <w:kern w:val="0"/>
          <w:szCs w:val="28"/>
          <w:vertAlign w:val="superscript"/>
        </w:rPr>
        <w:t>3</w:t>
      </w:r>
      <w:r>
        <w:rPr>
          <w:rFonts w:hint="eastAsia" w:asciiTheme="minorHAnsi" w:hAnsiTheme="minorHAnsi" w:eastAsiaTheme="minorEastAsia" w:cstheme="minorHAnsi"/>
          <w:kern w:val="0"/>
          <w:szCs w:val="28"/>
        </w:rPr>
        <w:t>铲运机，出矿完毕立即进行充填。</w:t>
      </w:r>
    </w:p>
    <w:p w14:paraId="1732B485">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③充填</w:t>
      </w:r>
    </w:p>
    <w:p w14:paraId="0F441528">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回采结束后先进行充填准备工作，在采场中架设泄水笼，采用充填挡墙封闭采场底部出矿进路，充填挡墙可采用钢筋混凝土结构挡墙、砖砌挡墙或钢结构土工布挡墙等多种型式，现场须根据采场试验，在确保强度的情况下，选择安全可靠、施工方便的挡墙型式。充填挡墙砌筑后敷设泄水管。利用充填回风水平的脉外联络巷及采场联络巷（上阶段的出矿联络巷）作为充填巷道，采场充填管路固定在充填巷道上，从采场上部进行充填。</w:t>
      </w:r>
    </w:p>
    <w:p w14:paraId="41EC53E8">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充填效率按200m</w:t>
      </w:r>
      <w:r>
        <w:rPr>
          <w:rFonts w:hint="eastAsia" w:asciiTheme="minorHAnsi" w:hAnsiTheme="minorHAnsi" w:eastAsiaTheme="minorEastAsia" w:cstheme="minorHAnsi"/>
          <w:kern w:val="0"/>
          <w:szCs w:val="28"/>
          <w:vertAlign w:val="superscript"/>
        </w:rPr>
        <w:t>3</w:t>
      </w:r>
      <w:r>
        <w:rPr>
          <w:rFonts w:hint="eastAsia" w:asciiTheme="minorHAnsi" w:hAnsiTheme="minorHAnsi" w:eastAsiaTheme="minorEastAsia" w:cstheme="minorHAnsi"/>
          <w:kern w:val="0"/>
          <w:szCs w:val="28"/>
        </w:rPr>
        <w:t>/h考虑，沉缩比0.80。充填体滤水，顶部5m+底部10m高度，每充填1m高度滤水一次，每次滤水时间1天；中部剩余60m高度，每充填20m高度滤水一次，每次滤水时间2天。</w:t>
      </w:r>
    </w:p>
    <w:p w14:paraId="225BC3D9">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一步采场垂向充填料分布为：顶部5m厚和底部10m厚两层需要充填灰砂比为1:6的胶结充填料（要求充填体28天强度大于3.0MPa），剩余60m中间部位充填灰砂比为1:10的胶结充填料（要求充填体28天强度大于2.0MPa）。一步采场充填后作为其相邻二步采场回采时的矿柱。</w:t>
      </w:r>
    </w:p>
    <w:p w14:paraId="35752A22">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二步采场垂向充填料分布为：顶部5m厚和底部10m厚两层需要充填灰砂比为1:6的胶结充填料（要求充填体28天强度大于3.0MPa），剩余60m中间部位充填灰砂比为1:20的胶结充填料（要求充填体28天强度大于0.6MPa），具体配比需经试验确定。</w:t>
      </w:r>
    </w:p>
    <w:p w14:paraId="6ADE2D12">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采场充填要根据充填料的泄水情况和沉积情况等，分多次充填，多次接顶，必须保证接顶充填质量。</w:t>
      </w:r>
    </w:p>
    <w:p w14:paraId="6873F9C2">
      <w:pPr>
        <w:adjustRightInd w:val="0"/>
        <w:snapToGrid w:val="0"/>
        <w:spacing w:line="360" w:lineRule="auto"/>
        <w:ind w:firstLine="560"/>
        <w:rPr>
          <w:rFonts w:asciiTheme="minorHAnsi" w:hAnsiTheme="minorHAnsi" w:eastAsiaTheme="minorEastAsia" w:cstheme="minorHAnsi"/>
          <w:kern w:val="0"/>
          <w:szCs w:val="28"/>
        </w:rPr>
      </w:pPr>
      <w:r>
        <w:rPr>
          <w:rFonts w:asciiTheme="minorHAnsi" w:hAnsiTheme="minorHAnsi" w:eastAsiaTheme="minorEastAsia" w:cstheme="minorHAnsi"/>
          <w:kern w:val="0"/>
          <w:szCs w:val="28"/>
        </w:rPr>
        <w:t>2</w:t>
      </w:r>
      <w:r>
        <w:rPr>
          <w:rFonts w:hint="eastAsia" w:asciiTheme="minorHAnsi" w:hAnsiTheme="minorHAnsi" w:eastAsiaTheme="minorEastAsia" w:cstheme="minorHAnsi"/>
          <w:kern w:val="0"/>
          <w:szCs w:val="28"/>
        </w:rPr>
        <w:t>） 沿走向布置的分段空场法</w:t>
      </w:r>
    </w:p>
    <w:p w14:paraId="444168CF">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①采准切割</w:t>
      </w:r>
    </w:p>
    <w:p w14:paraId="1C5EA52B">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开采阶段高75m，分段高25m，顶部水平为充填水平，中部两个分段为凿岩分段，底部为凿岩、出矿水平。各分段水平脉外联络巷通过采区斜坡道相连通。</w:t>
      </w:r>
    </w:p>
    <w:p w14:paraId="75F31F89">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充填回风水平主要采切工程有：脉外联络巷、充填联络巷、回风天井联络巷。</w:t>
      </w:r>
    </w:p>
    <w:p w14:paraId="0B0DBE76">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凿岩分段主要采切工程有：脉外联络巷、凿岩联络巷、凿岩巷道。</w:t>
      </w:r>
    </w:p>
    <w:p w14:paraId="295079BA">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出矿水平主要采切工程有：脉外联络巷、出矿进路、拉底巷道、切割井、采区溜井、采区进风天井、采区回风天井等。</w:t>
      </w:r>
    </w:p>
    <w:p w14:paraId="0F5AABA4">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采场底部出矿结构采用平底形式。在脉外联络巷向采场方向掘进出矿进路，出矿进路与出矿联络巷道垂直。</w:t>
      </w:r>
    </w:p>
    <w:p w14:paraId="2477689A">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本阶段充填水平是在本阶段采矿结束转入上阶段生产后的出矿水平。上阶段底部结构的采准工作需要在本阶段盘区生产结束后进行，上阶段采场内的底部结构工程基本全部布置在本阶段的充填体之上。</w:t>
      </w:r>
    </w:p>
    <w:p w14:paraId="13F4B45D">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在矿体条带下盘布置采区溜井，每个盘区布置1条采区溜井，溜井间距为200m。</w:t>
      </w:r>
    </w:p>
    <w:p w14:paraId="2DB81426">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在矿体下盘每两个盘区设1条采区进风天井，在矿体上盘每两个盘区布置1条采区回风天井，进回风天井对角错开布置。采区进回风天井连通各分段水平和回风水平。</w:t>
      </w:r>
    </w:p>
    <w:p w14:paraId="09E9D0C5">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②回采</w:t>
      </w:r>
    </w:p>
    <w:p w14:paraId="69FADCAC">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盘区内采场间留设5m隔离矿柱，各采场可同时生产。</w:t>
      </w:r>
    </w:p>
    <w:p w14:paraId="57F09AC9">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采切工程结束后，采用Simba H1354中深孔凿岩台车在各分段凿岩巷道中钻凿中深孔，在采场一侧采用切割天井施工切割槽，以切割槽为自由面侧向崩矿。每次爆破后出爆破量的1/3，剩余矿石留在采场支护侧帮。三个分段可同时回采，上分段超前下分段5~10m，待采场矿石全部爆破后，再高强度大量集中出矿，出矿设备采用4m</w:t>
      </w:r>
      <w:r>
        <w:rPr>
          <w:rFonts w:hint="eastAsia" w:asciiTheme="minorHAnsi" w:hAnsiTheme="minorHAnsi" w:eastAsiaTheme="minorEastAsia" w:cstheme="minorHAnsi"/>
          <w:kern w:val="0"/>
          <w:szCs w:val="28"/>
          <w:vertAlign w:val="superscript"/>
        </w:rPr>
        <w:t>3</w:t>
      </w:r>
      <w:r>
        <w:rPr>
          <w:rFonts w:hint="eastAsia" w:asciiTheme="minorHAnsi" w:hAnsiTheme="minorHAnsi" w:eastAsiaTheme="minorEastAsia" w:cstheme="minorHAnsi"/>
          <w:kern w:val="0"/>
          <w:szCs w:val="28"/>
        </w:rPr>
        <w:t>铲运机，出矿完毕立即进行充填。</w:t>
      </w:r>
    </w:p>
    <w:p w14:paraId="446EE4DD">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③充填</w:t>
      </w:r>
    </w:p>
    <w:p w14:paraId="6D4ED5F0">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回采结束后先进行充填准备工作，在采场中架设泄水笼，采用充填挡墙封闭采场底部出矿进路，充填挡墙可采用钢筋混凝土结构挡墙、砖砌挡墙或钢结构土工布挡墙等多种型式，现场须根据采场试验，在确保强度的情况下，选择安全可靠、施工方便的挡墙型式。并敷设泄水管。利用充填水平的脉外联络巷及采场联络巷（上阶段的出矿进路）作为充填巷道，采场充填管路固定在充填巷道上，从采场上部进行充填。</w:t>
      </w:r>
    </w:p>
    <w:p w14:paraId="0472485C">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充填效率按200m</w:t>
      </w:r>
      <w:r>
        <w:rPr>
          <w:rFonts w:hint="eastAsia" w:asciiTheme="minorHAnsi" w:hAnsiTheme="minorHAnsi" w:eastAsiaTheme="minorEastAsia" w:cstheme="minorHAnsi"/>
          <w:kern w:val="0"/>
          <w:szCs w:val="28"/>
          <w:vertAlign w:val="superscript"/>
        </w:rPr>
        <w:t>3</w:t>
      </w:r>
      <w:r>
        <w:rPr>
          <w:rFonts w:hint="eastAsia" w:asciiTheme="minorHAnsi" w:hAnsiTheme="minorHAnsi" w:eastAsiaTheme="minorEastAsia" w:cstheme="minorHAnsi"/>
          <w:kern w:val="0"/>
          <w:szCs w:val="28"/>
        </w:rPr>
        <w:t>/h考虑，沉缩比0.80。充填体滤水，顶部2m高度，底部3m高度，每充填1m高度滤水一次，每次滤水时间1天；剩余70m高度，每充填10m~15m高度滤水一次，每次滤水时间2天。</w:t>
      </w:r>
    </w:p>
    <w:p w14:paraId="2F4EA1C1">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采场垂向充填料分布为：顶部2m厚需要充填灰砂比为1:6的胶结充填料（要求充填体28天强度大于3.0MPa），剩余73m充填灰砂比为1:20的胶结充填料（要求充填体28天强度大于0.6MPa）。</w:t>
      </w:r>
    </w:p>
    <w:p w14:paraId="25C6BA0C">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采场充填要根据充填料的泄水情况和沉积情况等，分多次充填，多次接顶，必须保证接顶充填质量。</w:t>
      </w:r>
    </w:p>
    <w:p w14:paraId="4F67D6D5">
      <w:pPr>
        <w:adjustRightInd w:val="0"/>
        <w:snapToGrid w:val="0"/>
        <w:spacing w:line="360" w:lineRule="auto"/>
        <w:ind w:firstLine="560"/>
        <w:rPr>
          <w:rFonts w:asciiTheme="minorHAnsi" w:hAnsiTheme="minorHAnsi" w:eastAsiaTheme="minorEastAsia" w:cstheme="minorHAnsi"/>
          <w:kern w:val="0"/>
          <w:szCs w:val="28"/>
        </w:rPr>
      </w:pPr>
      <w:r>
        <w:rPr>
          <w:rFonts w:asciiTheme="minorHAnsi" w:hAnsiTheme="minorHAnsi" w:eastAsiaTheme="minorEastAsia" w:cstheme="minorHAnsi"/>
          <w:kern w:val="0"/>
          <w:szCs w:val="28"/>
        </w:rPr>
        <w:t>采矿方法构成要素见表2.4-3、表2.4-5。</w:t>
      </w:r>
    </w:p>
    <w:p w14:paraId="5DA98743">
      <w:pPr>
        <w:adjustRightInd w:val="0"/>
        <w:snapToGrid w:val="0"/>
        <w:spacing w:line="360" w:lineRule="auto"/>
        <w:ind w:firstLine="560"/>
        <w:jc w:val="center"/>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表2</w:t>
      </w:r>
      <w:r>
        <w:rPr>
          <w:rFonts w:asciiTheme="minorHAnsi" w:hAnsiTheme="minorHAnsi" w:eastAsiaTheme="minorEastAsia" w:cstheme="minorHAnsi"/>
          <w:kern w:val="0"/>
          <w:szCs w:val="28"/>
        </w:rPr>
        <w:t>.4-3 垂直走向布置的</w:t>
      </w:r>
      <w:r>
        <w:rPr>
          <w:rFonts w:hint="eastAsia" w:asciiTheme="minorHAnsi" w:hAnsiTheme="minorHAnsi" w:eastAsiaTheme="minorEastAsia" w:cstheme="minorHAnsi"/>
          <w:kern w:val="0"/>
          <w:szCs w:val="28"/>
        </w:rPr>
        <w:t>阶</w:t>
      </w:r>
      <w:r>
        <w:rPr>
          <w:rFonts w:asciiTheme="minorHAnsi" w:hAnsiTheme="minorHAnsi" w:eastAsiaTheme="minorEastAsia" w:cstheme="minorHAnsi"/>
          <w:kern w:val="0"/>
          <w:szCs w:val="28"/>
        </w:rPr>
        <w:t>段空</w:t>
      </w:r>
      <w:r>
        <w:rPr>
          <w:rFonts w:hint="eastAsia" w:asciiTheme="minorHAnsi" w:hAnsiTheme="minorHAnsi" w:eastAsiaTheme="minorEastAsia" w:cstheme="minorHAnsi"/>
          <w:kern w:val="0"/>
          <w:szCs w:val="28"/>
        </w:rPr>
        <w:t>场</w:t>
      </w:r>
      <w:r>
        <w:rPr>
          <w:rFonts w:asciiTheme="minorHAnsi" w:hAnsiTheme="minorHAnsi" w:eastAsiaTheme="minorEastAsia" w:cstheme="minorHAnsi"/>
          <w:kern w:val="0"/>
          <w:szCs w:val="28"/>
        </w:rPr>
        <w:t xml:space="preserve">法构成要素表 </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
        <w:gridCol w:w="2291"/>
        <w:gridCol w:w="963"/>
        <w:gridCol w:w="5297"/>
      </w:tblGrid>
      <w:tr w14:paraId="3D49A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4BB70608">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序号</w:t>
            </w:r>
          </w:p>
        </w:tc>
        <w:tc>
          <w:tcPr>
            <w:tcW w:w="1204" w:type="pct"/>
            <w:vAlign w:val="center"/>
          </w:tcPr>
          <w:p w14:paraId="476F41F0">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构成要素</w:t>
            </w:r>
          </w:p>
        </w:tc>
        <w:tc>
          <w:tcPr>
            <w:tcW w:w="506" w:type="pct"/>
            <w:vAlign w:val="center"/>
          </w:tcPr>
          <w:p w14:paraId="124176A5">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单位</w:t>
            </w:r>
          </w:p>
        </w:tc>
        <w:tc>
          <w:tcPr>
            <w:tcW w:w="2784" w:type="pct"/>
            <w:vAlign w:val="center"/>
          </w:tcPr>
          <w:p w14:paraId="74716557">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垂直走向布置的阶段空场法</w:t>
            </w:r>
          </w:p>
        </w:tc>
      </w:tr>
      <w:tr w14:paraId="64CD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4E76E10E">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1</w:t>
            </w:r>
          </w:p>
        </w:tc>
        <w:tc>
          <w:tcPr>
            <w:tcW w:w="1204" w:type="pct"/>
            <w:vAlign w:val="center"/>
          </w:tcPr>
          <w:p w14:paraId="41A4B2D9">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盘区长度</w:t>
            </w:r>
          </w:p>
        </w:tc>
        <w:tc>
          <w:tcPr>
            <w:tcW w:w="506" w:type="pct"/>
            <w:vAlign w:val="center"/>
          </w:tcPr>
          <w:p w14:paraId="666E03B9">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2591C8B2">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200</w:t>
            </w:r>
          </w:p>
        </w:tc>
      </w:tr>
      <w:tr w14:paraId="3D996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29311994">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2</w:t>
            </w:r>
          </w:p>
        </w:tc>
        <w:tc>
          <w:tcPr>
            <w:tcW w:w="1204" w:type="pct"/>
            <w:vAlign w:val="center"/>
          </w:tcPr>
          <w:p w14:paraId="5BAF10C4">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盘区宽度</w:t>
            </w:r>
          </w:p>
        </w:tc>
        <w:tc>
          <w:tcPr>
            <w:tcW w:w="506" w:type="pct"/>
            <w:vAlign w:val="center"/>
          </w:tcPr>
          <w:p w14:paraId="66230C69">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69A016D9">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矿体水平厚度（平均35m）</w:t>
            </w:r>
          </w:p>
        </w:tc>
      </w:tr>
      <w:tr w14:paraId="04DE9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406819F1">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3</w:t>
            </w:r>
          </w:p>
        </w:tc>
        <w:tc>
          <w:tcPr>
            <w:tcW w:w="1204" w:type="pct"/>
            <w:vAlign w:val="center"/>
          </w:tcPr>
          <w:p w14:paraId="74B7F948">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阶段高度</w:t>
            </w:r>
          </w:p>
        </w:tc>
        <w:tc>
          <w:tcPr>
            <w:tcW w:w="506" w:type="pct"/>
            <w:vAlign w:val="center"/>
          </w:tcPr>
          <w:p w14:paraId="50E32AFA">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35F4A159">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75</w:t>
            </w:r>
          </w:p>
        </w:tc>
      </w:tr>
      <w:tr w14:paraId="418E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6A228B22">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4</w:t>
            </w:r>
          </w:p>
        </w:tc>
        <w:tc>
          <w:tcPr>
            <w:tcW w:w="1204" w:type="pct"/>
            <w:vAlign w:val="center"/>
          </w:tcPr>
          <w:p w14:paraId="4A4088A5">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盘区间柱宽度</w:t>
            </w:r>
          </w:p>
        </w:tc>
        <w:tc>
          <w:tcPr>
            <w:tcW w:w="506" w:type="pct"/>
            <w:vAlign w:val="center"/>
          </w:tcPr>
          <w:p w14:paraId="28C6EDFF">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72A5111F">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25</w:t>
            </w:r>
          </w:p>
        </w:tc>
      </w:tr>
      <w:tr w14:paraId="19521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1DC2C146">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5</w:t>
            </w:r>
          </w:p>
        </w:tc>
        <w:tc>
          <w:tcPr>
            <w:tcW w:w="1204" w:type="pct"/>
            <w:vAlign w:val="center"/>
          </w:tcPr>
          <w:p w14:paraId="537D68F4">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采场长度</w:t>
            </w:r>
          </w:p>
        </w:tc>
        <w:tc>
          <w:tcPr>
            <w:tcW w:w="506" w:type="pct"/>
            <w:vAlign w:val="center"/>
          </w:tcPr>
          <w:p w14:paraId="0D304045">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0F1E5290">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矿厚</w:t>
            </w:r>
          </w:p>
        </w:tc>
      </w:tr>
      <w:tr w14:paraId="2082F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7DC8F54F">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6</w:t>
            </w:r>
          </w:p>
        </w:tc>
        <w:tc>
          <w:tcPr>
            <w:tcW w:w="1204" w:type="pct"/>
            <w:vAlign w:val="center"/>
          </w:tcPr>
          <w:p w14:paraId="2177CE03">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采场宽度</w:t>
            </w:r>
          </w:p>
        </w:tc>
        <w:tc>
          <w:tcPr>
            <w:tcW w:w="506" w:type="pct"/>
            <w:vAlign w:val="center"/>
          </w:tcPr>
          <w:p w14:paraId="0C271BBD">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m</w:t>
            </w:r>
          </w:p>
        </w:tc>
        <w:tc>
          <w:tcPr>
            <w:tcW w:w="2784" w:type="pct"/>
            <w:vAlign w:val="center"/>
          </w:tcPr>
          <w:p w14:paraId="535FE28C">
            <w:pPr>
              <w:widowControl/>
              <w:adjustRightInd w:val="0"/>
              <w:snapToGrid w:val="0"/>
              <w:spacing w:line="240" w:lineRule="auto"/>
              <w:ind w:firstLine="0" w:firstLineChars="0"/>
              <w:jc w:val="center"/>
              <w:rPr>
                <w:rFonts w:cs="Times New Roman"/>
                <w:snapToGrid w:val="0"/>
                <w:sz w:val="21"/>
                <w:szCs w:val="21"/>
              </w:rPr>
            </w:pPr>
            <w:r>
              <w:rPr>
                <w:rFonts w:cs="Times New Roman"/>
                <w:snapToGrid w:val="0"/>
                <w:sz w:val="21"/>
                <w:szCs w:val="21"/>
              </w:rPr>
              <w:t>25</w:t>
            </w:r>
          </w:p>
        </w:tc>
      </w:tr>
    </w:tbl>
    <w:p w14:paraId="5BC6C6C8">
      <w:pPr>
        <w:adjustRightInd w:val="0"/>
        <w:snapToGrid w:val="0"/>
        <w:spacing w:line="360" w:lineRule="auto"/>
        <w:ind w:firstLine="560"/>
        <w:jc w:val="center"/>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表2</w:t>
      </w:r>
      <w:r>
        <w:rPr>
          <w:rFonts w:asciiTheme="minorHAnsi" w:hAnsiTheme="minorHAnsi" w:eastAsiaTheme="minorEastAsia" w:cstheme="minorHAnsi"/>
          <w:kern w:val="0"/>
          <w:szCs w:val="28"/>
        </w:rPr>
        <w:t>.4-5沿走向布置的分段空</w:t>
      </w:r>
      <w:r>
        <w:rPr>
          <w:rFonts w:hint="eastAsia" w:asciiTheme="minorHAnsi" w:hAnsiTheme="minorHAnsi" w:eastAsiaTheme="minorEastAsia" w:cstheme="minorHAnsi"/>
          <w:kern w:val="0"/>
          <w:szCs w:val="28"/>
        </w:rPr>
        <w:t>场</w:t>
      </w:r>
      <w:r>
        <w:rPr>
          <w:rFonts w:asciiTheme="minorHAnsi" w:hAnsiTheme="minorHAnsi" w:eastAsiaTheme="minorEastAsia" w:cstheme="minorHAnsi"/>
          <w:kern w:val="0"/>
          <w:szCs w:val="28"/>
        </w:rPr>
        <w:t xml:space="preserve">法构成要素表 </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
        <w:gridCol w:w="2291"/>
        <w:gridCol w:w="963"/>
        <w:gridCol w:w="5297"/>
      </w:tblGrid>
      <w:tr w14:paraId="4895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506" w:type="pct"/>
            <w:vAlign w:val="center"/>
          </w:tcPr>
          <w:p w14:paraId="73C4D193">
            <w:pPr>
              <w:widowControl/>
              <w:adjustRightInd w:val="0"/>
              <w:snapToGrid w:val="0"/>
              <w:spacing w:line="240" w:lineRule="auto"/>
              <w:ind w:firstLine="0" w:firstLineChars="0"/>
              <w:jc w:val="center"/>
              <w:rPr>
                <w:snapToGrid w:val="0"/>
                <w:sz w:val="21"/>
                <w:szCs w:val="24"/>
              </w:rPr>
            </w:pPr>
            <w:r>
              <w:rPr>
                <w:snapToGrid w:val="0"/>
                <w:sz w:val="21"/>
                <w:szCs w:val="24"/>
              </w:rPr>
              <w:t>序号</w:t>
            </w:r>
          </w:p>
        </w:tc>
        <w:tc>
          <w:tcPr>
            <w:tcW w:w="1204" w:type="pct"/>
            <w:vAlign w:val="center"/>
          </w:tcPr>
          <w:p w14:paraId="60A8FC52">
            <w:pPr>
              <w:widowControl/>
              <w:adjustRightInd w:val="0"/>
              <w:snapToGrid w:val="0"/>
              <w:spacing w:line="240" w:lineRule="auto"/>
              <w:ind w:firstLine="0" w:firstLineChars="0"/>
              <w:jc w:val="center"/>
              <w:rPr>
                <w:snapToGrid w:val="0"/>
                <w:sz w:val="21"/>
                <w:szCs w:val="24"/>
              </w:rPr>
            </w:pPr>
            <w:r>
              <w:rPr>
                <w:snapToGrid w:val="0"/>
                <w:sz w:val="21"/>
                <w:szCs w:val="24"/>
              </w:rPr>
              <w:t>构成要素</w:t>
            </w:r>
          </w:p>
        </w:tc>
        <w:tc>
          <w:tcPr>
            <w:tcW w:w="506" w:type="pct"/>
            <w:vAlign w:val="center"/>
          </w:tcPr>
          <w:p w14:paraId="4DE4C2CF">
            <w:pPr>
              <w:widowControl/>
              <w:adjustRightInd w:val="0"/>
              <w:snapToGrid w:val="0"/>
              <w:spacing w:line="240" w:lineRule="auto"/>
              <w:ind w:firstLine="0" w:firstLineChars="0"/>
              <w:jc w:val="center"/>
              <w:rPr>
                <w:snapToGrid w:val="0"/>
                <w:sz w:val="21"/>
                <w:szCs w:val="24"/>
              </w:rPr>
            </w:pPr>
            <w:r>
              <w:rPr>
                <w:snapToGrid w:val="0"/>
                <w:sz w:val="21"/>
                <w:szCs w:val="24"/>
              </w:rPr>
              <w:t>单位</w:t>
            </w:r>
          </w:p>
        </w:tc>
        <w:tc>
          <w:tcPr>
            <w:tcW w:w="2784" w:type="pct"/>
            <w:vAlign w:val="center"/>
          </w:tcPr>
          <w:p w14:paraId="5C12640D">
            <w:pPr>
              <w:widowControl/>
              <w:adjustRightInd w:val="0"/>
              <w:snapToGrid w:val="0"/>
              <w:spacing w:line="240" w:lineRule="auto"/>
              <w:ind w:firstLine="0" w:firstLineChars="0"/>
              <w:jc w:val="center"/>
              <w:rPr>
                <w:snapToGrid w:val="0"/>
                <w:sz w:val="21"/>
                <w:szCs w:val="24"/>
              </w:rPr>
            </w:pPr>
            <w:r>
              <w:rPr>
                <w:snapToGrid w:val="0"/>
                <w:sz w:val="21"/>
                <w:szCs w:val="24"/>
              </w:rPr>
              <w:t>沿走向布置</w:t>
            </w:r>
            <w:r>
              <w:rPr>
                <w:rFonts w:hint="eastAsia"/>
                <w:snapToGrid w:val="0"/>
                <w:sz w:val="21"/>
                <w:szCs w:val="24"/>
              </w:rPr>
              <w:t>的</w:t>
            </w:r>
            <w:r>
              <w:rPr>
                <w:snapToGrid w:val="0"/>
                <w:sz w:val="21"/>
                <w:szCs w:val="24"/>
              </w:rPr>
              <w:t>分段空场法</w:t>
            </w:r>
          </w:p>
        </w:tc>
      </w:tr>
      <w:tr w14:paraId="79123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1EDDA5A8">
            <w:pPr>
              <w:widowControl/>
              <w:adjustRightInd w:val="0"/>
              <w:snapToGrid w:val="0"/>
              <w:spacing w:line="240" w:lineRule="auto"/>
              <w:ind w:firstLine="0" w:firstLineChars="0"/>
              <w:jc w:val="center"/>
              <w:rPr>
                <w:snapToGrid w:val="0"/>
                <w:sz w:val="21"/>
                <w:szCs w:val="24"/>
              </w:rPr>
            </w:pPr>
            <w:r>
              <w:rPr>
                <w:snapToGrid w:val="0"/>
                <w:sz w:val="21"/>
                <w:szCs w:val="24"/>
              </w:rPr>
              <w:t>1</w:t>
            </w:r>
          </w:p>
        </w:tc>
        <w:tc>
          <w:tcPr>
            <w:tcW w:w="1204" w:type="pct"/>
            <w:vAlign w:val="center"/>
          </w:tcPr>
          <w:p w14:paraId="3828D69A">
            <w:pPr>
              <w:widowControl/>
              <w:adjustRightInd w:val="0"/>
              <w:snapToGrid w:val="0"/>
              <w:spacing w:line="240" w:lineRule="auto"/>
              <w:ind w:firstLine="0" w:firstLineChars="0"/>
              <w:jc w:val="center"/>
              <w:rPr>
                <w:snapToGrid w:val="0"/>
                <w:sz w:val="21"/>
                <w:szCs w:val="24"/>
              </w:rPr>
            </w:pPr>
            <w:r>
              <w:rPr>
                <w:snapToGrid w:val="0"/>
                <w:sz w:val="21"/>
                <w:szCs w:val="24"/>
              </w:rPr>
              <w:t>盘区长度</w:t>
            </w:r>
          </w:p>
        </w:tc>
        <w:tc>
          <w:tcPr>
            <w:tcW w:w="506" w:type="pct"/>
            <w:vAlign w:val="center"/>
          </w:tcPr>
          <w:p w14:paraId="11BDB11B">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35402683">
            <w:pPr>
              <w:widowControl/>
              <w:adjustRightInd w:val="0"/>
              <w:snapToGrid w:val="0"/>
              <w:spacing w:line="240" w:lineRule="auto"/>
              <w:ind w:firstLine="0" w:firstLineChars="0"/>
              <w:jc w:val="center"/>
              <w:rPr>
                <w:snapToGrid w:val="0"/>
                <w:sz w:val="21"/>
                <w:szCs w:val="24"/>
              </w:rPr>
            </w:pPr>
            <w:r>
              <w:rPr>
                <w:snapToGrid w:val="0"/>
                <w:sz w:val="21"/>
                <w:szCs w:val="24"/>
              </w:rPr>
              <w:t>200</w:t>
            </w:r>
          </w:p>
        </w:tc>
      </w:tr>
      <w:tr w14:paraId="40AD5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49EBDCEC">
            <w:pPr>
              <w:widowControl/>
              <w:adjustRightInd w:val="0"/>
              <w:snapToGrid w:val="0"/>
              <w:spacing w:line="240" w:lineRule="auto"/>
              <w:ind w:firstLine="0" w:firstLineChars="0"/>
              <w:jc w:val="center"/>
              <w:rPr>
                <w:snapToGrid w:val="0"/>
                <w:sz w:val="21"/>
                <w:szCs w:val="24"/>
              </w:rPr>
            </w:pPr>
            <w:r>
              <w:rPr>
                <w:snapToGrid w:val="0"/>
                <w:sz w:val="21"/>
                <w:szCs w:val="24"/>
              </w:rPr>
              <w:t>2</w:t>
            </w:r>
          </w:p>
        </w:tc>
        <w:tc>
          <w:tcPr>
            <w:tcW w:w="1204" w:type="pct"/>
            <w:vAlign w:val="center"/>
          </w:tcPr>
          <w:p w14:paraId="78872811">
            <w:pPr>
              <w:widowControl/>
              <w:adjustRightInd w:val="0"/>
              <w:snapToGrid w:val="0"/>
              <w:spacing w:line="240" w:lineRule="auto"/>
              <w:ind w:firstLine="0" w:firstLineChars="0"/>
              <w:jc w:val="center"/>
              <w:rPr>
                <w:snapToGrid w:val="0"/>
                <w:sz w:val="21"/>
                <w:szCs w:val="24"/>
              </w:rPr>
            </w:pPr>
            <w:r>
              <w:rPr>
                <w:snapToGrid w:val="0"/>
                <w:sz w:val="21"/>
                <w:szCs w:val="24"/>
              </w:rPr>
              <w:t>盘区宽度</w:t>
            </w:r>
          </w:p>
        </w:tc>
        <w:tc>
          <w:tcPr>
            <w:tcW w:w="506" w:type="pct"/>
            <w:vAlign w:val="center"/>
          </w:tcPr>
          <w:p w14:paraId="74190850">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7F60D3E1">
            <w:pPr>
              <w:widowControl/>
              <w:adjustRightInd w:val="0"/>
              <w:snapToGrid w:val="0"/>
              <w:spacing w:line="240" w:lineRule="auto"/>
              <w:ind w:firstLine="0" w:firstLineChars="0"/>
              <w:jc w:val="center"/>
              <w:rPr>
                <w:snapToGrid w:val="0"/>
                <w:sz w:val="21"/>
                <w:szCs w:val="24"/>
              </w:rPr>
            </w:pPr>
            <w:r>
              <w:rPr>
                <w:snapToGrid w:val="0"/>
                <w:sz w:val="21"/>
                <w:szCs w:val="24"/>
              </w:rPr>
              <w:t>矿体水平厚度</w:t>
            </w:r>
          </w:p>
        </w:tc>
      </w:tr>
      <w:tr w14:paraId="671DA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541AAC93">
            <w:pPr>
              <w:widowControl/>
              <w:adjustRightInd w:val="0"/>
              <w:snapToGrid w:val="0"/>
              <w:spacing w:line="240" w:lineRule="auto"/>
              <w:ind w:firstLine="0" w:firstLineChars="0"/>
              <w:jc w:val="center"/>
              <w:rPr>
                <w:snapToGrid w:val="0"/>
                <w:sz w:val="21"/>
                <w:szCs w:val="24"/>
              </w:rPr>
            </w:pPr>
            <w:r>
              <w:rPr>
                <w:snapToGrid w:val="0"/>
                <w:sz w:val="21"/>
                <w:szCs w:val="24"/>
              </w:rPr>
              <w:t>3</w:t>
            </w:r>
          </w:p>
        </w:tc>
        <w:tc>
          <w:tcPr>
            <w:tcW w:w="1204" w:type="pct"/>
            <w:vAlign w:val="center"/>
          </w:tcPr>
          <w:p w14:paraId="1E5B70A6">
            <w:pPr>
              <w:widowControl/>
              <w:adjustRightInd w:val="0"/>
              <w:snapToGrid w:val="0"/>
              <w:spacing w:line="240" w:lineRule="auto"/>
              <w:ind w:firstLine="0" w:firstLineChars="0"/>
              <w:jc w:val="center"/>
              <w:rPr>
                <w:snapToGrid w:val="0"/>
                <w:sz w:val="21"/>
                <w:szCs w:val="24"/>
              </w:rPr>
            </w:pPr>
            <w:r>
              <w:rPr>
                <w:snapToGrid w:val="0"/>
                <w:sz w:val="21"/>
                <w:szCs w:val="24"/>
              </w:rPr>
              <w:t>阶段高度</w:t>
            </w:r>
          </w:p>
        </w:tc>
        <w:tc>
          <w:tcPr>
            <w:tcW w:w="506" w:type="pct"/>
            <w:vAlign w:val="center"/>
          </w:tcPr>
          <w:p w14:paraId="34FD63B3">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77E6AA3B">
            <w:pPr>
              <w:widowControl/>
              <w:adjustRightInd w:val="0"/>
              <w:snapToGrid w:val="0"/>
              <w:spacing w:line="240" w:lineRule="auto"/>
              <w:ind w:firstLine="0" w:firstLineChars="0"/>
              <w:jc w:val="center"/>
              <w:rPr>
                <w:snapToGrid w:val="0"/>
                <w:sz w:val="21"/>
                <w:szCs w:val="24"/>
              </w:rPr>
            </w:pPr>
            <w:r>
              <w:rPr>
                <w:snapToGrid w:val="0"/>
                <w:sz w:val="21"/>
                <w:szCs w:val="24"/>
              </w:rPr>
              <w:t>75</w:t>
            </w:r>
          </w:p>
        </w:tc>
      </w:tr>
      <w:tr w14:paraId="11E7C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76E944F5">
            <w:pPr>
              <w:widowControl/>
              <w:adjustRightInd w:val="0"/>
              <w:snapToGrid w:val="0"/>
              <w:spacing w:line="240" w:lineRule="auto"/>
              <w:ind w:firstLine="0" w:firstLineChars="0"/>
              <w:jc w:val="center"/>
              <w:rPr>
                <w:snapToGrid w:val="0"/>
                <w:sz w:val="21"/>
                <w:szCs w:val="24"/>
              </w:rPr>
            </w:pPr>
            <w:r>
              <w:rPr>
                <w:snapToGrid w:val="0"/>
                <w:sz w:val="21"/>
                <w:szCs w:val="24"/>
              </w:rPr>
              <w:t>4</w:t>
            </w:r>
          </w:p>
        </w:tc>
        <w:tc>
          <w:tcPr>
            <w:tcW w:w="1204" w:type="pct"/>
            <w:vAlign w:val="center"/>
          </w:tcPr>
          <w:p w14:paraId="6E07600A">
            <w:pPr>
              <w:widowControl/>
              <w:adjustRightInd w:val="0"/>
              <w:snapToGrid w:val="0"/>
              <w:spacing w:line="240" w:lineRule="auto"/>
              <w:ind w:firstLine="0" w:firstLineChars="0"/>
              <w:jc w:val="center"/>
              <w:rPr>
                <w:snapToGrid w:val="0"/>
                <w:sz w:val="21"/>
                <w:szCs w:val="24"/>
              </w:rPr>
            </w:pPr>
            <w:r>
              <w:rPr>
                <w:snapToGrid w:val="0"/>
                <w:sz w:val="21"/>
                <w:szCs w:val="24"/>
              </w:rPr>
              <w:t>盘区间柱宽度</w:t>
            </w:r>
          </w:p>
        </w:tc>
        <w:tc>
          <w:tcPr>
            <w:tcW w:w="506" w:type="pct"/>
            <w:vAlign w:val="center"/>
          </w:tcPr>
          <w:p w14:paraId="2BFC5559">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0A62F899">
            <w:pPr>
              <w:widowControl/>
              <w:adjustRightInd w:val="0"/>
              <w:snapToGrid w:val="0"/>
              <w:spacing w:line="240" w:lineRule="auto"/>
              <w:ind w:firstLine="0" w:firstLineChars="0"/>
              <w:jc w:val="center"/>
              <w:rPr>
                <w:snapToGrid w:val="0"/>
                <w:sz w:val="21"/>
                <w:szCs w:val="24"/>
              </w:rPr>
            </w:pPr>
            <w:r>
              <w:rPr>
                <w:rFonts w:hint="eastAsia"/>
                <w:snapToGrid w:val="0"/>
                <w:sz w:val="21"/>
                <w:szCs w:val="24"/>
              </w:rPr>
              <w:t>25</w:t>
            </w:r>
          </w:p>
        </w:tc>
      </w:tr>
      <w:tr w14:paraId="7A2BB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02E6D84A">
            <w:pPr>
              <w:widowControl/>
              <w:adjustRightInd w:val="0"/>
              <w:snapToGrid w:val="0"/>
              <w:spacing w:line="240" w:lineRule="auto"/>
              <w:ind w:firstLine="0" w:firstLineChars="0"/>
              <w:jc w:val="center"/>
              <w:rPr>
                <w:snapToGrid w:val="0"/>
                <w:sz w:val="21"/>
                <w:szCs w:val="24"/>
              </w:rPr>
            </w:pPr>
            <w:r>
              <w:rPr>
                <w:snapToGrid w:val="0"/>
                <w:sz w:val="21"/>
                <w:szCs w:val="24"/>
              </w:rPr>
              <w:t>5</w:t>
            </w:r>
          </w:p>
        </w:tc>
        <w:tc>
          <w:tcPr>
            <w:tcW w:w="1204" w:type="pct"/>
            <w:vAlign w:val="center"/>
          </w:tcPr>
          <w:p w14:paraId="6D042EF3">
            <w:pPr>
              <w:widowControl/>
              <w:adjustRightInd w:val="0"/>
              <w:snapToGrid w:val="0"/>
              <w:spacing w:line="240" w:lineRule="auto"/>
              <w:ind w:firstLine="0" w:firstLineChars="0"/>
              <w:jc w:val="center"/>
              <w:rPr>
                <w:snapToGrid w:val="0"/>
                <w:sz w:val="21"/>
                <w:szCs w:val="24"/>
              </w:rPr>
            </w:pPr>
            <w:r>
              <w:rPr>
                <w:snapToGrid w:val="0"/>
                <w:sz w:val="21"/>
                <w:szCs w:val="24"/>
              </w:rPr>
              <w:t>采场长度</w:t>
            </w:r>
          </w:p>
        </w:tc>
        <w:tc>
          <w:tcPr>
            <w:tcW w:w="506" w:type="pct"/>
            <w:vAlign w:val="center"/>
          </w:tcPr>
          <w:p w14:paraId="548A1697">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5091886E">
            <w:pPr>
              <w:widowControl/>
              <w:adjustRightInd w:val="0"/>
              <w:snapToGrid w:val="0"/>
              <w:spacing w:line="240" w:lineRule="auto"/>
              <w:ind w:firstLine="0" w:firstLineChars="0"/>
              <w:jc w:val="center"/>
              <w:rPr>
                <w:snapToGrid w:val="0"/>
                <w:sz w:val="21"/>
                <w:szCs w:val="24"/>
              </w:rPr>
            </w:pPr>
            <w:r>
              <w:rPr>
                <w:snapToGrid w:val="0"/>
                <w:sz w:val="21"/>
                <w:szCs w:val="24"/>
              </w:rPr>
              <w:t>45</w:t>
            </w:r>
          </w:p>
        </w:tc>
      </w:tr>
      <w:tr w14:paraId="312AC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7AB897AB">
            <w:pPr>
              <w:widowControl/>
              <w:adjustRightInd w:val="0"/>
              <w:snapToGrid w:val="0"/>
              <w:spacing w:line="240" w:lineRule="auto"/>
              <w:ind w:firstLine="0" w:firstLineChars="0"/>
              <w:jc w:val="center"/>
              <w:rPr>
                <w:snapToGrid w:val="0"/>
                <w:sz w:val="21"/>
                <w:szCs w:val="24"/>
              </w:rPr>
            </w:pPr>
            <w:r>
              <w:rPr>
                <w:snapToGrid w:val="0"/>
                <w:sz w:val="21"/>
                <w:szCs w:val="24"/>
              </w:rPr>
              <w:t>6</w:t>
            </w:r>
          </w:p>
        </w:tc>
        <w:tc>
          <w:tcPr>
            <w:tcW w:w="1204" w:type="pct"/>
            <w:vAlign w:val="center"/>
          </w:tcPr>
          <w:p w14:paraId="169F71BC">
            <w:pPr>
              <w:widowControl/>
              <w:adjustRightInd w:val="0"/>
              <w:snapToGrid w:val="0"/>
              <w:spacing w:line="240" w:lineRule="auto"/>
              <w:ind w:firstLine="0" w:firstLineChars="0"/>
              <w:jc w:val="center"/>
              <w:rPr>
                <w:snapToGrid w:val="0"/>
                <w:sz w:val="21"/>
                <w:szCs w:val="24"/>
              </w:rPr>
            </w:pPr>
            <w:r>
              <w:rPr>
                <w:snapToGrid w:val="0"/>
                <w:sz w:val="21"/>
                <w:szCs w:val="24"/>
              </w:rPr>
              <w:t>采场宽度</w:t>
            </w:r>
          </w:p>
        </w:tc>
        <w:tc>
          <w:tcPr>
            <w:tcW w:w="506" w:type="pct"/>
            <w:vAlign w:val="center"/>
          </w:tcPr>
          <w:p w14:paraId="7DDB0173">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55D395E8">
            <w:pPr>
              <w:widowControl/>
              <w:adjustRightInd w:val="0"/>
              <w:snapToGrid w:val="0"/>
              <w:spacing w:line="240" w:lineRule="auto"/>
              <w:ind w:firstLine="0" w:firstLineChars="0"/>
              <w:jc w:val="center"/>
              <w:rPr>
                <w:snapToGrid w:val="0"/>
                <w:sz w:val="21"/>
                <w:szCs w:val="24"/>
              </w:rPr>
            </w:pPr>
            <w:r>
              <w:rPr>
                <w:snapToGrid w:val="0"/>
                <w:sz w:val="21"/>
                <w:szCs w:val="24"/>
              </w:rPr>
              <w:t>矿体厚度</w:t>
            </w:r>
          </w:p>
        </w:tc>
      </w:tr>
      <w:tr w14:paraId="52A9B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51ECC32C">
            <w:pPr>
              <w:widowControl/>
              <w:adjustRightInd w:val="0"/>
              <w:snapToGrid w:val="0"/>
              <w:spacing w:line="240" w:lineRule="auto"/>
              <w:ind w:firstLine="0" w:firstLineChars="0"/>
              <w:jc w:val="center"/>
              <w:rPr>
                <w:snapToGrid w:val="0"/>
                <w:sz w:val="21"/>
                <w:szCs w:val="24"/>
              </w:rPr>
            </w:pPr>
            <w:r>
              <w:rPr>
                <w:snapToGrid w:val="0"/>
                <w:sz w:val="21"/>
                <w:szCs w:val="24"/>
              </w:rPr>
              <w:t>7</w:t>
            </w:r>
          </w:p>
        </w:tc>
        <w:tc>
          <w:tcPr>
            <w:tcW w:w="1204" w:type="pct"/>
            <w:vAlign w:val="center"/>
          </w:tcPr>
          <w:p w14:paraId="03084BF9">
            <w:pPr>
              <w:widowControl/>
              <w:adjustRightInd w:val="0"/>
              <w:snapToGrid w:val="0"/>
              <w:spacing w:line="240" w:lineRule="auto"/>
              <w:ind w:firstLine="0" w:firstLineChars="0"/>
              <w:jc w:val="center"/>
              <w:rPr>
                <w:snapToGrid w:val="0"/>
                <w:sz w:val="21"/>
                <w:szCs w:val="24"/>
              </w:rPr>
            </w:pPr>
            <w:r>
              <w:rPr>
                <w:snapToGrid w:val="0"/>
                <w:sz w:val="21"/>
                <w:szCs w:val="24"/>
              </w:rPr>
              <w:t>矿房</w:t>
            </w:r>
            <w:r>
              <w:rPr>
                <w:rFonts w:hint="eastAsia"/>
                <w:snapToGrid w:val="0"/>
                <w:sz w:val="21"/>
                <w:szCs w:val="24"/>
              </w:rPr>
              <w:t>长</w:t>
            </w:r>
            <w:r>
              <w:rPr>
                <w:snapToGrid w:val="0"/>
                <w:sz w:val="21"/>
                <w:szCs w:val="24"/>
              </w:rPr>
              <w:t>度</w:t>
            </w:r>
          </w:p>
        </w:tc>
        <w:tc>
          <w:tcPr>
            <w:tcW w:w="506" w:type="pct"/>
            <w:vAlign w:val="center"/>
          </w:tcPr>
          <w:p w14:paraId="705752E4">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6113E0F3">
            <w:pPr>
              <w:widowControl/>
              <w:adjustRightInd w:val="0"/>
              <w:snapToGrid w:val="0"/>
              <w:spacing w:line="240" w:lineRule="auto"/>
              <w:ind w:firstLine="0" w:firstLineChars="0"/>
              <w:jc w:val="center"/>
              <w:rPr>
                <w:snapToGrid w:val="0"/>
                <w:sz w:val="21"/>
                <w:szCs w:val="24"/>
              </w:rPr>
            </w:pPr>
            <w:r>
              <w:rPr>
                <w:snapToGrid w:val="0"/>
                <w:sz w:val="21"/>
                <w:szCs w:val="24"/>
              </w:rPr>
              <w:t>40</w:t>
            </w:r>
          </w:p>
        </w:tc>
      </w:tr>
      <w:tr w14:paraId="03F34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6" w:type="pct"/>
            <w:vAlign w:val="center"/>
          </w:tcPr>
          <w:p w14:paraId="551A75C1">
            <w:pPr>
              <w:widowControl/>
              <w:adjustRightInd w:val="0"/>
              <w:snapToGrid w:val="0"/>
              <w:spacing w:line="240" w:lineRule="auto"/>
              <w:ind w:firstLine="0" w:firstLineChars="0"/>
              <w:jc w:val="center"/>
              <w:rPr>
                <w:snapToGrid w:val="0"/>
                <w:sz w:val="21"/>
                <w:szCs w:val="24"/>
              </w:rPr>
            </w:pPr>
            <w:r>
              <w:rPr>
                <w:snapToGrid w:val="0"/>
                <w:sz w:val="21"/>
                <w:szCs w:val="24"/>
              </w:rPr>
              <w:t>8</w:t>
            </w:r>
          </w:p>
        </w:tc>
        <w:tc>
          <w:tcPr>
            <w:tcW w:w="1204" w:type="pct"/>
            <w:vAlign w:val="center"/>
          </w:tcPr>
          <w:p w14:paraId="73244AD9">
            <w:pPr>
              <w:widowControl/>
              <w:adjustRightInd w:val="0"/>
              <w:snapToGrid w:val="0"/>
              <w:spacing w:line="240" w:lineRule="auto"/>
              <w:ind w:firstLine="0" w:firstLineChars="0"/>
              <w:jc w:val="center"/>
              <w:rPr>
                <w:snapToGrid w:val="0"/>
                <w:sz w:val="21"/>
                <w:szCs w:val="24"/>
              </w:rPr>
            </w:pPr>
            <w:r>
              <w:rPr>
                <w:snapToGrid w:val="0"/>
                <w:sz w:val="21"/>
                <w:szCs w:val="24"/>
              </w:rPr>
              <w:t>矿柱宽度</w:t>
            </w:r>
          </w:p>
        </w:tc>
        <w:tc>
          <w:tcPr>
            <w:tcW w:w="506" w:type="pct"/>
            <w:vAlign w:val="center"/>
          </w:tcPr>
          <w:p w14:paraId="52584996">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200BE8EB">
            <w:pPr>
              <w:widowControl/>
              <w:adjustRightInd w:val="0"/>
              <w:snapToGrid w:val="0"/>
              <w:spacing w:line="240" w:lineRule="auto"/>
              <w:ind w:firstLine="0" w:firstLineChars="0"/>
              <w:jc w:val="center"/>
              <w:rPr>
                <w:snapToGrid w:val="0"/>
                <w:sz w:val="21"/>
                <w:szCs w:val="24"/>
              </w:rPr>
            </w:pPr>
            <w:r>
              <w:rPr>
                <w:snapToGrid w:val="0"/>
                <w:sz w:val="21"/>
                <w:szCs w:val="24"/>
              </w:rPr>
              <w:t>5</w:t>
            </w:r>
          </w:p>
        </w:tc>
      </w:tr>
    </w:tbl>
    <w:p w14:paraId="244D23F9">
      <w:pPr>
        <w:adjustRightInd w:val="0"/>
        <w:snapToGrid w:val="0"/>
        <w:spacing w:line="360" w:lineRule="auto"/>
        <w:ind w:firstLine="562"/>
        <w:rPr>
          <w:rFonts w:asciiTheme="minorHAnsi" w:hAnsiTheme="minorHAnsi" w:eastAsiaTheme="minorEastAsia" w:cstheme="minorHAnsi"/>
          <w:b/>
          <w:kern w:val="0"/>
          <w:szCs w:val="28"/>
        </w:rPr>
      </w:pPr>
      <w:r>
        <w:rPr>
          <w:rFonts w:hint="eastAsia" w:asciiTheme="minorHAnsi" w:hAnsiTheme="minorHAnsi" w:eastAsiaTheme="minorEastAsia" w:cstheme="minorHAnsi"/>
          <w:b/>
          <w:kern w:val="0"/>
          <w:szCs w:val="28"/>
        </w:rPr>
        <w:t>（4）矿柱回收</w:t>
      </w:r>
    </w:p>
    <w:p w14:paraId="3E69BF0E">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留设的盘区间柱，待本阶段矿体回采完毕或整个一期矿体回采完毕后再进行回收。间柱回收考虑采用分段凿岩阶段空场法嗣后充填法，多个矿柱同时回采。阶段回采顺序由下至上，阶段内由上盘开始后退式回采，</w:t>
      </w:r>
      <w:r>
        <w:rPr>
          <w:rFonts w:asciiTheme="minorHAnsi" w:hAnsiTheme="minorHAnsi" w:eastAsiaTheme="minorEastAsia" w:cstheme="minorHAnsi"/>
          <w:kern w:val="0"/>
          <w:szCs w:val="28"/>
        </w:rPr>
        <w:t>1-2</w:t>
      </w:r>
      <w:r>
        <w:rPr>
          <w:rFonts w:hint="eastAsia" w:asciiTheme="minorHAnsi" w:hAnsiTheme="minorHAnsi" w:eastAsiaTheme="minorEastAsia" w:cstheme="minorHAnsi"/>
          <w:kern w:val="0"/>
          <w:szCs w:val="28"/>
        </w:rPr>
        <w:t>、2号矿体间柱单采场能力约1500t/d，5</w:t>
      </w:r>
      <w:r>
        <w:rPr>
          <w:rFonts w:asciiTheme="minorHAnsi" w:hAnsiTheme="minorHAnsi" w:eastAsiaTheme="minorEastAsia" w:cstheme="minorHAnsi"/>
          <w:kern w:val="0"/>
          <w:szCs w:val="28"/>
        </w:rPr>
        <w:t>-3</w:t>
      </w:r>
      <w:r>
        <w:rPr>
          <w:rFonts w:hint="eastAsia" w:asciiTheme="minorHAnsi" w:hAnsiTheme="minorHAnsi" w:eastAsiaTheme="minorEastAsia" w:cstheme="minorHAnsi"/>
          <w:kern w:val="0"/>
          <w:szCs w:val="28"/>
        </w:rPr>
        <w:t>、6</w:t>
      </w:r>
      <w:r>
        <w:rPr>
          <w:rFonts w:asciiTheme="minorHAnsi" w:hAnsiTheme="minorHAnsi" w:eastAsiaTheme="minorEastAsia" w:cstheme="minorHAnsi"/>
          <w:kern w:val="0"/>
          <w:szCs w:val="28"/>
        </w:rPr>
        <w:t>-2</w:t>
      </w:r>
      <w:r>
        <w:rPr>
          <w:rFonts w:hint="eastAsia" w:asciiTheme="minorHAnsi" w:hAnsiTheme="minorHAnsi" w:eastAsiaTheme="minorEastAsia" w:cstheme="minorHAnsi"/>
          <w:kern w:val="0"/>
          <w:szCs w:val="28"/>
        </w:rPr>
        <w:t>号矿体间柱单采场能力约为300t/d，2条1</w:t>
      </w:r>
      <w:r>
        <w:rPr>
          <w:rFonts w:asciiTheme="minorHAnsi" w:hAnsiTheme="minorHAnsi" w:eastAsiaTheme="minorEastAsia" w:cstheme="minorHAnsi"/>
          <w:kern w:val="0"/>
          <w:szCs w:val="28"/>
        </w:rPr>
        <w:t>-2</w:t>
      </w:r>
      <w:r>
        <w:rPr>
          <w:rFonts w:hint="eastAsia" w:asciiTheme="minorHAnsi" w:hAnsiTheme="minorHAnsi" w:eastAsiaTheme="minorEastAsia" w:cstheme="minorHAnsi"/>
          <w:kern w:val="0"/>
          <w:szCs w:val="28"/>
        </w:rPr>
        <w:t>、2号矿体间柱，2条5</w:t>
      </w:r>
      <w:r>
        <w:rPr>
          <w:rFonts w:asciiTheme="minorHAnsi" w:hAnsiTheme="minorHAnsi" w:eastAsiaTheme="minorEastAsia" w:cstheme="minorHAnsi"/>
          <w:kern w:val="0"/>
          <w:szCs w:val="28"/>
        </w:rPr>
        <w:t>-3</w:t>
      </w:r>
      <w:r>
        <w:rPr>
          <w:rFonts w:hint="eastAsia" w:asciiTheme="minorHAnsi" w:hAnsiTheme="minorHAnsi" w:eastAsiaTheme="minorEastAsia" w:cstheme="minorHAnsi"/>
          <w:kern w:val="0"/>
          <w:szCs w:val="28"/>
        </w:rPr>
        <w:t>、6</w:t>
      </w:r>
      <w:r>
        <w:rPr>
          <w:rFonts w:asciiTheme="minorHAnsi" w:hAnsiTheme="minorHAnsi" w:eastAsiaTheme="minorEastAsia" w:cstheme="minorHAnsi"/>
          <w:kern w:val="0"/>
          <w:szCs w:val="28"/>
        </w:rPr>
        <w:t>-2</w:t>
      </w:r>
      <w:r>
        <w:rPr>
          <w:rFonts w:hint="eastAsia" w:asciiTheme="minorHAnsi" w:hAnsiTheme="minorHAnsi" w:eastAsiaTheme="minorEastAsia" w:cstheme="minorHAnsi"/>
          <w:kern w:val="0"/>
          <w:szCs w:val="28"/>
        </w:rPr>
        <w:t>号矿体间柱一同回收，其生产能力约为120万t/a。采出的矿石通过溜井溜放到-505m运输水平，卸至主溜井破碎后通过主井提出地表。回采后的采空区进行充填。</w:t>
      </w:r>
    </w:p>
    <w:p w14:paraId="3F261393">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-100m以上的护顶矿柱，待矿山生产中后期，在综合研究矿山地压显现规律的基础上，对护顶矿柱的开采方案再进行专门论证，届时如条件许可，可采用上向水平分层充填法或上向进路充填法对护顶矿柱进行回收。</w:t>
      </w:r>
    </w:p>
    <w:p w14:paraId="2EC84B10">
      <w:pPr>
        <w:adjustRightInd w:val="0"/>
        <w:snapToGrid w:val="0"/>
        <w:spacing w:line="360" w:lineRule="auto"/>
        <w:ind w:firstLine="562"/>
        <w:rPr>
          <w:rFonts w:asciiTheme="minorHAnsi" w:hAnsiTheme="minorHAnsi" w:eastAsiaTheme="minorEastAsia" w:cstheme="minorHAnsi"/>
          <w:b/>
          <w:kern w:val="0"/>
          <w:szCs w:val="28"/>
        </w:rPr>
      </w:pPr>
      <w:r>
        <w:rPr>
          <w:rFonts w:hint="eastAsia" w:asciiTheme="minorHAnsi" w:hAnsiTheme="minorHAnsi" w:eastAsiaTheme="minorEastAsia" w:cstheme="minorHAnsi"/>
          <w:b/>
          <w:kern w:val="0"/>
          <w:szCs w:val="28"/>
        </w:rPr>
        <w:t>（5）充填系统</w:t>
      </w:r>
    </w:p>
    <w:p w14:paraId="743A85F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矿山一期采用阶段空场嗣后充填采矿法（占比51.6%）和分段空场嗣后充填采矿法（占比48.4%），采场采出矿石的废石混入率为19.49%。</w:t>
      </w:r>
    </w:p>
    <w:p w14:paraId="04338C7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设计采用全尾砂胶结充填，利用选矿厂产出的尾矿作为充填骨料（尾矿密度2.9t/m</w:t>
      </w:r>
      <w:r>
        <w:rPr>
          <w:rFonts w:hint="eastAsia" w:asciiTheme="minorHAnsi" w:hAnsiTheme="minorHAnsi" w:cstheme="minorHAnsi"/>
          <w:szCs w:val="28"/>
          <w:vertAlign w:val="superscript"/>
        </w:rPr>
        <w:t>3</w:t>
      </w:r>
      <w:r>
        <w:rPr>
          <w:rFonts w:hint="eastAsia" w:asciiTheme="minorHAnsi" w:hAnsiTheme="minorHAnsi" w:cstheme="minorHAnsi"/>
          <w:szCs w:val="28"/>
        </w:rPr>
        <w:t>），通过添加不同配比的胶固粉形成胶结充填料对采空区进行充填。在地表工业场地内建设一座充填站，担负全矿各水平采场的充填任务。</w:t>
      </w:r>
    </w:p>
    <w:p w14:paraId="48A14CD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 充填料浓度及配比</w:t>
      </w:r>
    </w:p>
    <w:p w14:paraId="6F0D74C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矿山前期已委托长沙矿山研究院开展充填材料的相关试验研究工作。设计取充填料浓度为65%，灰砂比1:6、1:10和1:20三种。待现场开展充填材料试验研究后，可结合配比及强度试验结果对其进行适当调整。</w:t>
      </w:r>
    </w:p>
    <w:p w14:paraId="7245B14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用阶段空场嗣后充填采矿法（占比51.6%）的采场结构参数（长×宽×高）：矿厚×25m×75m，分两步回采，一步采场顶部5m及底部10m采用灰砂比1:6的胶结充填料，中间部分采用灰砂比1:10的胶结充填料。二步采场顶部5m及底部10m采用灰砂比1:6的胶结充填料，中间部分采用灰砂比1:20的胶结充填料。</w:t>
      </w:r>
    </w:p>
    <w:p w14:paraId="76AE2F6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采用分段空场嗣后充填采矿法（占比48.4%）的采场结构参数（长×宽×高）：40×矿厚×75m，采场顶部2m采用灰砂比1:6的胶结充填料，剩余部分采用灰砂比1:20的胶结充填料。</w:t>
      </w:r>
    </w:p>
    <w:p w14:paraId="135C869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2）充填料制备</w:t>
      </w:r>
    </w:p>
    <w:p w14:paraId="5FA3128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在地表工业场地内建设一座充填站，担负全矿井下各水平采场的充填任务。充填制备系统主要由深锥浓密机、胶凝材料仓和搅拌系统等组成。站内设1台Φ25m深锥浓密机，配2座Φ8m钢结构胶凝材料仓（有效容积830m</w:t>
      </w:r>
      <w:r>
        <w:rPr>
          <w:rFonts w:hint="eastAsia" w:asciiTheme="minorHAnsi" w:hAnsiTheme="minorHAnsi" w:cstheme="minorHAnsi"/>
          <w:szCs w:val="28"/>
          <w:vertAlign w:val="superscript"/>
        </w:rPr>
        <w:t>3</w:t>
      </w:r>
      <w:r>
        <w:rPr>
          <w:rFonts w:hint="eastAsia" w:asciiTheme="minorHAnsi" w:hAnsiTheme="minorHAnsi" w:cstheme="minorHAnsi"/>
          <w:szCs w:val="28"/>
        </w:rPr>
        <w:t>）和3套两段式搅拌系统（2套工作，1套备用），一段搅拌选用Ø2600×3000高浓度搅拌槽，二段搅拌选用GJ503-V200型高效活化搅拌机，每套搅拌系统的充填制备能力为175m</w:t>
      </w:r>
      <w:r>
        <w:rPr>
          <w:rFonts w:hint="eastAsia" w:asciiTheme="minorHAnsi" w:hAnsiTheme="minorHAnsi" w:cstheme="minorHAnsi"/>
          <w:szCs w:val="28"/>
          <w:vertAlign w:val="superscript"/>
        </w:rPr>
        <w:t>3</w:t>
      </w:r>
      <w:r>
        <w:rPr>
          <w:rFonts w:hint="eastAsia" w:asciiTheme="minorHAnsi" w:hAnsiTheme="minorHAnsi" w:cstheme="minorHAnsi"/>
          <w:szCs w:val="28"/>
        </w:rPr>
        <w:t>/h～210m</w:t>
      </w:r>
      <w:r>
        <w:rPr>
          <w:rFonts w:hint="eastAsia" w:asciiTheme="minorHAnsi" w:hAnsiTheme="minorHAnsi" w:cstheme="minorHAnsi"/>
          <w:szCs w:val="28"/>
          <w:vertAlign w:val="superscript"/>
        </w:rPr>
        <w:t>3</w:t>
      </w:r>
      <w:r>
        <w:rPr>
          <w:rFonts w:hint="eastAsia" w:asciiTheme="minorHAnsi" w:hAnsiTheme="minorHAnsi" w:cstheme="minorHAnsi"/>
          <w:szCs w:val="28"/>
        </w:rPr>
        <w:t>/h。</w:t>
      </w:r>
    </w:p>
    <w:p w14:paraId="0E0BE66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矿厂尾矿浓缩池底流浓度为35%的尾矿浆输送至充填站深锥浓密机用于充填制备。深锥浓密机底流浓度为64%～65%，充填时通过底流泵输送至搅拌槽，当采场不充填时将高浓度尾砂通过管道输送至深锥内部，进行内部循环，溢流水（≤200PPM）一少部分用于充填制备和管道冲洗，其余排回选矿厂循环使用。</w:t>
      </w:r>
    </w:p>
    <w:p w14:paraId="7992807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自卸式散装粉体罐车将散装胶固粉运来后经胶固粉料仓上料管输送至胶固粉料仓内存储。料仓仓顶设袋式除尘器，防止胶固粉外溢，并将回收的胶固粉送回仓内。料仓底部的锥形料斗壁上设置声波助流设施，仓内胶固粉通过微粉秤计量后送入高浓度搅拌槽。</w:t>
      </w:r>
    </w:p>
    <w:p w14:paraId="0458266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充填灰砂比（胶固粉：尾砂）通过电子自动计量装置进行调节，可实施不同灰砂比的胶结充填。尾砂浆、胶固粉和调浓水按配比要求投加至高浓度搅拌槽，在搅拌槽内进行一段搅拌，然后给至高效活化搅拌机进行二段搅拌，制成混合均匀、流动性能更好的充填料，再通过管道输送至井下采空区进行充填。搅拌槽顶部设袋式除尘器，防止胶固粉外溢，并将回收的胶固粉送回搅拌槽内。</w:t>
      </w:r>
    </w:p>
    <w:p w14:paraId="44C64C4E">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此外，为了防止砂浆溢流、管道及地坪冲洗等需求，站内设一座事故处理池，容积108m</w:t>
      </w:r>
      <w:r>
        <w:rPr>
          <w:rFonts w:hint="eastAsia" w:asciiTheme="minorHAnsi" w:hAnsiTheme="minorHAnsi" w:cstheme="minorHAnsi"/>
          <w:szCs w:val="28"/>
          <w:vertAlign w:val="superscript"/>
        </w:rPr>
        <w:t>3</w:t>
      </w:r>
      <w:r>
        <w:rPr>
          <w:rFonts w:hint="eastAsia" w:asciiTheme="minorHAnsi" w:hAnsiTheme="minorHAnsi" w:cstheme="minorHAnsi"/>
          <w:szCs w:val="28"/>
        </w:rPr>
        <w:t>；选用1台ZJQ65D-30型带搅拌器潜水渣浆泵，将事故处理池内的砂浆泵送至深锥浓密机进料口前端的进料缓冲箱进行二次利用。</w:t>
      </w:r>
    </w:p>
    <w:p w14:paraId="066A3517">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3）充填料输送</w:t>
      </w:r>
    </w:p>
    <w:p w14:paraId="3383644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①充填钻孔及充填管道配置</w:t>
      </w:r>
    </w:p>
    <w:p w14:paraId="52AB0F7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充填站内设计4条充填钻孔，并在站外预留补打充填钻孔的场地，钻孔内套管用作充填料浆输送管，2条工作，2条备用。井下平巷内设置2根充填管道，同时工作。竖直钻孔内套管</w:t>
      </w:r>
      <w:r>
        <w:rPr>
          <w:rFonts w:hint="eastAsia"/>
          <w:bCs/>
          <w:szCs w:val="28"/>
        </w:rPr>
        <w:t>耐磨性强的双金属复合耐磨管</w:t>
      </w:r>
      <w:r>
        <w:rPr>
          <w:rFonts w:hint="eastAsia" w:asciiTheme="minorHAnsi" w:hAnsiTheme="minorHAnsi" w:cstheme="minorHAnsi"/>
          <w:szCs w:val="28"/>
        </w:rPr>
        <w:t>；-400m水平巷道内主充填管道选用规格为Φ219×18的16Mn无缝钢管和SSMPE-KCT 10/225矿用钢丝增强聚乙烯耐磨充填复合管。</w:t>
      </w:r>
    </w:p>
    <w:p w14:paraId="077C7AD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②充填输送倍线</w:t>
      </w:r>
    </w:p>
    <w:p w14:paraId="4D80FEDE">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各充填水平的最大充填倍线见表</w:t>
      </w:r>
      <w:r>
        <w:rPr>
          <w:rFonts w:asciiTheme="minorHAnsi" w:hAnsiTheme="minorHAnsi" w:cstheme="minorHAnsi"/>
          <w:szCs w:val="28"/>
        </w:rPr>
        <w:t>2.4-4</w:t>
      </w:r>
      <w:r>
        <w:rPr>
          <w:rFonts w:hint="eastAsia" w:asciiTheme="minorHAnsi" w:hAnsiTheme="minorHAnsi" w:cstheme="minorHAnsi"/>
          <w:szCs w:val="28"/>
        </w:rPr>
        <w:t>。</w:t>
      </w:r>
    </w:p>
    <w:p w14:paraId="68BE5B0B">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.4-4</w:t>
      </w:r>
      <w:r>
        <w:rPr>
          <w:rFonts w:hint="eastAsia" w:asciiTheme="minorHAnsi" w:hAnsiTheme="minorHAnsi" w:cstheme="minorHAnsi"/>
          <w:szCs w:val="28"/>
        </w:rPr>
        <w:t>各充填水平最大充填倍线</w:t>
      </w:r>
    </w:p>
    <w:tbl>
      <w:tblPr>
        <w:tblStyle w:val="54"/>
        <w:tblW w:w="90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3390"/>
        <w:gridCol w:w="979"/>
        <w:gridCol w:w="979"/>
        <w:gridCol w:w="979"/>
        <w:gridCol w:w="979"/>
        <w:gridCol w:w="983"/>
      </w:tblGrid>
      <w:tr w14:paraId="0128A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restart"/>
            <w:vAlign w:val="center"/>
          </w:tcPr>
          <w:p w14:paraId="69B7B160">
            <w:pPr>
              <w:pStyle w:val="191"/>
              <w:snapToGrid w:val="0"/>
              <w:spacing w:line="240" w:lineRule="auto"/>
              <w:ind w:firstLine="0" w:firstLineChars="0"/>
              <w:jc w:val="center"/>
              <w:rPr>
                <w:sz w:val="21"/>
              </w:rPr>
            </w:pPr>
            <w:r>
              <w:rPr>
                <w:rFonts w:hint="eastAsia"/>
                <w:sz w:val="21"/>
              </w:rPr>
              <w:t>序号</w:t>
            </w:r>
          </w:p>
        </w:tc>
        <w:tc>
          <w:tcPr>
            <w:tcW w:w="3390" w:type="dxa"/>
            <w:vMerge w:val="restart"/>
            <w:vAlign w:val="center"/>
          </w:tcPr>
          <w:p w14:paraId="471C9DCB">
            <w:pPr>
              <w:pStyle w:val="191"/>
              <w:snapToGrid w:val="0"/>
              <w:spacing w:line="240" w:lineRule="auto"/>
              <w:ind w:firstLine="0" w:firstLineChars="0"/>
              <w:jc w:val="center"/>
              <w:rPr>
                <w:sz w:val="21"/>
              </w:rPr>
            </w:pPr>
            <w:r>
              <w:rPr>
                <w:rFonts w:hint="eastAsia"/>
                <w:sz w:val="21"/>
              </w:rPr>
              <w:t>项目</w:t>
            </w:r>
          </w:p>
        </w:tc>
        <w:tc>
          <w:tcPr>
            <w:tcW w:w="4899" w:type="dxa"/>
            <w:gridSpan w:val="5"/>
            <w:vAlign w:val="center"/>
          </w:tcPr>
          <w:p w14:paraId="2FDE607F">
            <w:pPr>
              <w:pStyle w:val="191"/>
              <w:snapToGrid w:val="0"/>
              <w:spacing w:line="240" w:lineRule="auto"/>
              <w:ind w:firstLine="0" w:firstLineChars="0"/>
              <w:jc w:val="center"/>
              <w:rPr>
                <w:sz w:val="21"/>
              </w:rPr>
            </w:pPr>
            <w:r>
              <w:rPr>
                <w:rFonts w:hint="eastAsia"/>
                <w:sz w:val="21"/>
              </w:rPr>
              <w:t>充填水平</w:t>
            </w:r>
          </w:p>
        </w:tc>
      </w:tr>
      <w:tr w14:paraId="237A5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continue"/>
            <w:vAlign w:val="center"/>
          </w:tcPr>
          <w:p w14:paraId="0F0BDA85">
            <w:pPr>
              <w:pStyle w:val="191"/>
              <w:snapToGrid w:val="0"/>
              <w:spacing w:line="240" w:lineRule="auto"/>
              <w:ind w:firstLine="0" w:firstLineChars="0"/>
              <w:jc w:val="center"/>
              <w:rPr>
                <w:sz w:val="21"/>
              </w:rPr>
            </w:pPr>
          </w:p>
        </w:tc>
        <w:tc>
          <w:tcPr>
            <w:tcW w:w="3390" w:type="dxa"/>
            <w:vMerge w:val="continue"/>
            <w:vAlign w:val="center"/>
          </w:tcPr>
          <w:p w14:paraId="54CAD4FE">
            <w:pPr>
              <w:pStyle w:val="191"/>
              <w:snapToGrid w:val="0"/>
              <w:spacing w:line="240" w:lineRule="auto"/>
              <w:ind w:firstLine="0" w:firstLineChars="0"/>
              <w:jc w:val="center"/>
              <w:rPr>
                <w:sz w:val="21"/>
              </w:rPr>
            </w:pPr>
          </w:p>
        </w:tc>
        <w:tc>
          <w:tcPr>
            <w:tcW w:w="979" w:type="dxa"/>
            <w:vAlign w:val="center"/>
          </w:tcPr>
          <w:p w14:paraId="0459EDDB">
            <w:pPr>
              <w:pStyle w:val="191"/>
              <w:snapToGrid w:val="0"/>
              <w:spacing w:line="240" w:lineRule="auto"/>
              <w:ind w:firstLine="0" w:firstLineChars="0"/>
              <w:jc w:val="center"/>
              <w:rPr>
                <w:sz w:val="21"/>
              </w:rPr>
            </w:pPr>
            <w:r>
              <w:rPr>
                <w:sz w:val="21"/>
              </w:rPr>
              <w:t>-400m</w:t>
            </w:r>
          </w:p>
        </w:tc>
        <w:tc>
          <w:tcPr>
            <w:tcW w:w="979" w:type="dxa"/>
            <w:vAlign w:val="center"/>
          </w:tcPr>
          <w:p w14:paraId="090690A0">
            <w:pPr>
              <w:pStyle w:val="191"/>
              <w:snapToGrid w:val="0"/>
              <w:spacing w:line="240" w:lineRule="auto"/>
              <w:ind w:firstLine="0" w:firstLineChars="0"/>
              <w:jc w:val="center"/>
              <w:rPr>
                <w:sz w:val="21"/>
              </w:rPr>
            </w:pPr>
            <w:r>
              <w:rPr>
                <w:sz w:val="21"/>
              </w:rPr>
              <w:t>-325m</w:t>
            </w:r>
          </w:p>
        </w:tc>
        <w:tc>
          <w:tcPr>
            <w:tcW w:w="979" w:type="dxa"/>
            <w:vAlign w:val="center"/>
          </w:tcPr>
          <w:p w14:paraId="5BE70817">
            <w:pPr>
              <w:pStyle w:val="191"/>
              <w:snapToGrid w:val="0"/>
              <w:spacing w:line="240" w:lineRule="auto"/>
              <w:ind w:firstLine="0" w:firstLineChars="0"/>
              <w:jc w:val="center"/>
              <w:rPr>
                <w:sz w:val="21"/>
              </w:rPr>
            </w:pPr>
            <w:r>
              <w:rPr>
                <w:sz w:val="21"/>
              </w:rPr>
              <w:t>-250m</w:t>
            </w:r>
          </w:p>
        </w:tc>
        <w:tc>
          <w:tcPr>
            <w:tcW w:w="979" w:type="dxa"/>
            <w:vAlign w:val="center"/>
          </w:tcPr>
          <w:p w14:paraId="492E3C83">
            <w:pPr>
              <w:pStyle w:val="191"/>
              <w:snapToGrid w:val="0"/>
              <w:spacing w:line="240" w:lineRule="auto"/>
              <w:ind w:firstLine="0" w:firstLineChars="0"/>
              <w:jc w:val="center"/>
              <w:rPr>
                <w:sz w:val="21"/>
              </w:rPr>
            </w:pPr>
            <w:r>
              <w:rPr>
                <w:sz w:val="21"/>
              </w:rPr>
              <w:t>-175m</w:t>
            </w:r>
          </w:p>
        </w:tc>
        <w:tc>
          <w:tcPr>
            <w:tcW w:w="983" w:type="dxa"/>
            <w:vAlign w:val="center"/>
          </w:tcPr>
          <w:p w14:paraId="0DD4457C">
            <w:pPr>
              <w:pStyle w:val="191"/>
              <w:snapToGrid w:val="0"/>
              <w:spacing w:line="240" w:lineRule="auto"/>
              <w:ind w:firstLine="0" w:firstLineChars="0"/>
              <w:jc w:val="center"/>
              <w:rPr>
                <w:sz w:val="21"/>
              </w:rPr>
            </w:pPr>
            <w:r>
              <w:rPr>
                <w:sz w:val="21"/>
              </w:rPr>
              <w:t>-100m</w:t>
            </w:r>
          </w:p>
        </w:tc>
      </w:tr>
      <w:tr w14:paraId="7715C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28281716">
            <w:pPr>
              <w:pStyle w:val="191"/>
              <w:snapToGrid w:val="0"/>
              <w:spacing w:line="240" w:lineRule="auto"/>
              <w:ind w:firstLine="0" w:firstLineChars="0"/>
              <w:jc w:val="center"/>
              <w:rPr>
                <w:sz w:val="21"/>
              </w:rPr>
            </w:pPr>
            <w:r>
              <w:rPr>
                <w:sz w:val="21"/>
              </w:rPr>
              <w:t>1</w:t>
            </w:r>
          </w:p>
        </w:tc>
        <w:tc>
          <w:tcPr>
            <w:tcW w:w="3390" w:type="dxa"/>
            <w:vAlign w:val="center"/>
          </w:tcPr>
          <w:p w14:paraId="250A6B7B">
            <w:pPr>
              <w:pStyle w:val="191"/>
              <w:snapToGrid w:val="0"/>
              <w:spacing w:line="240" w:lineRule="auto"/>
              <w:ind w:firstLine="0" w:firstLineChars="0"/>
              <w:jc w:val="center"/>
              <w:rPr>
                <w:sz w:val="21"/>
              </w:rPr>
            </w:pPr>
            <w:r>
              <w:rPr>
                <w:rFonts w:hint="eastAsia"/>
                <w:sz w:val="21"/>
              </w:rPr>
              <w:t>充填站至采场的高差（</w:t>
            </w:r>
            <w:r>
              <w:rPr>
                <w:sz w:val="21"/>
              </w:rPr>
              <w:t>m</w:t>
            </w:r>
            <w:r>
              <w:rPr>
                <w:rFonts w:hint="eastAsia"/>
                <w:sz w:val="21"/>
              </w:rPr>
              <w:t>）</w:t>
            </w:r>
          </w:p>
        </w:tc>
        <w:tc>
          <w:tcPr>
            <w:tcW w:w="979" w:type="dxa"/>
            <w:vAlign w:val="center"/>
          </w:tcPr>
          <w:p w14:paraId="1BCA01E9">
            <w:pPr>
              <w:pStyle w:val="191"/>
              <w:snapToGrid w:val="0"/>
              <w:spacing w:line="240" w:lineRule="auto"/>
              <w:ind w:firstLine="0" w:firstLineChars="0"/>
              <w:jc w:val="center"/>
              <w:rPr>
                <w:sz w:val="21"/>
              </w:rPr>
            </w:pPr>
            <w:r>
              <w:rPr>
                <w:sz w:val="21"/>
              </w:rPr>
              <w:t>447</w:t>
            </w:r>
          </w:p>
        </w:tc>
        <w:tc>
          <w:tcPr>
            <w:tcW w:w="979" w:type="dxa"/>
            <w:vAlign w:val="center"/>
          </w:tcPr>
          <w:p w14:paraId="2FB81246">
            <w:pPr>
              <w:pStyle w:val="191"/>
              <w:snapToGrid w:val="0"/>
              <w:spacing w:line="240" w:lineRule="auto"/>
              <w:ind w:firstLine="0" w:firstLineChars="0"/>
              <w:jc w:val="center"/>
              <w:rPr>
                <w:sz w:val="21"/>
              </w:rPr>
            </w:pPr>
            <w:r>
              <w:rPr>
                <w:sz w:val="21"/>
              </w:rPr>
              <w:t>372</w:t>
            </w:r>
          </w:p>
        </w:tc>
        <w:tc>
          <w:tcPr>
            <w:tcW w:w="979" w:type="dxa"/>
            <w:vAlign w:val="center"/>
          </w:tcPr>
          <w:p w14:paraId="43A1DDF9">
            <w:pPr>
              <w:pStyle w:val="191"/>
              <w:snapToGrid w:val="0"/>
              <w:spacing w:line="240" w:lineRule="auto"/>
              <w:ind w:firstLine="0" w:firstLineChars="0"/>
              <w:jc w:val="center"/>
              <w:rPr>
                <w:sz w:val="21"/>
              </w:rPr>
            </w:pPr>
            <w:r>
              <w:rPr>
                <w:sz w:val="21"/>
              </w:rPr>
              <w:t>297</w:t>
            </w:r>
          </w:p>
        </w:tc>
        <w:tc>
          <w:tcPr>
            <w:tcW w:w="979" w:type="dxa"/>
            <w:vAlign w:val="center"/>
          </w:tcPr>
          <w:p w14:paraId="33CD6B6E">
            <w:pPr>
              <w:pStyle w:val="191"/>
              <w:snapToGrid w:val="0"/>
              <w:spacing w:line="240" w:lineRule="auto"/>
              <w:ind w:firstLine="0" w:firstLineChars="0"/>
              <w:jc w:val="center"/>
              <w:rPr>
                <w:sz w:val="21"/>
              </w:rPr>
            </w:pPr>
            <w:r>
              <w:rPr>
                <w:sz w:val="21"/>
              </w:rPr>
              <w:t>222</w:t>
            </w:r>
          </w:p>
        </w:tc>
        <w:tc>
          <w:tcPr>
            <w:tcW w:w="983" w:type="dxa"/>
            <w:vAlign w:val="center"/>
          </w:tcPr>
          <w:p w14:paraId="6A9F29DC">
            <w:pPr>
              <w:pStyle w:val="191"/>
              <w:snapToGrid w:val="0"/>
              <w:spacing w:line="240" w:lineRule="auto"/>
              <w:ind w:firstLine="0" w:firstLineChars="0"/>
              <w:jc w:val="center"/>
              <w:rPr>
                <w:sz w:val="21"/>
              </w:rPr>
            </w:pPr>
            <w:r>
              <w:rPr>
                <w:sz w:val="21"/>
              </w:rPr>
              <w:t>147</w:t>
            </w:r>
          </w:p>
        </w:tc>
      </w:tr>
      <w:tr w14:paraId="507DF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189AF6CC">
            <w:pPr>
              <w:pStyle w:val="191"/>
              <w:snapToGrid w:val="0"/>
              <w:spacing w:line="240" w:lineRule="auto"/>
              <w:ind w:firstLine="0" w:firstLineChars="0"/>
              <w:jc w:val="center"/>
              <w:rPr>
                <w:sz w:val="21"/>
              </w:rPr>
            </w:pPr>
            <w:r>
              <w:rPr>
                <w:rFonts w:hint="eastAsia"/>
                <w:sz w:val="21"/>
              </w:rPr>
              <w:t>2</w:t>
            </w:r>
          </w:p>
        </w:tc>
        <w:tc>
          <w:tcPr>
            <w:tcW w:w="3390" w:type="dxa"/>
            <w:vAlign w:val="center"/>
          </w:tcPr>
          <w:p w14:paraId="0BFAAE14">
            <w:pPr>
              <w:pStyle w:val="191"/>
              <w:snapToGrid w:val="0"/>
              <w:spacing w:line="240" w:lineRule="auto"/>
              <w:ind w:firstLine="0" w:firstLineChars="0"/>
              <w:jc w:val="center"/>
              <w:rPr>
                <w:sz w:val="21"/>
              </w:rPr>
            </w:pPr>
            <w:r>
              <w:rPr>
                <w:rFonts w:hint="eastAsia"/>
                <w:sz w:val="21"/>
              </w:rPr>
              <w:t>井下最大水平输送距离（</w:t>
            </w:r>
            <w:r>
              <w:rPr>
                <w:sz w:val="21"/>
              </w:rPr>
              <w:t>m</w:t>
            </w:r>
            <w:r>
              <w:rPr>
                <w:rFonts w:hint="eastAsia"/>
                <w:sz w:val="21"/>
              </w:rPr>
              <w:t>）</w:t>
            </w:r>
          </w:p>
        </w:tc>
        <w:tc>
          <w:tcPr>
            <w:tcW w:w="979" w:type="dxa"/>
            <w:vAlign w:val="center"/>
          </w:tcPr>
          <w:p w14:paraId="2AF4F10F">
            <w:pPr>
              <w:pStyle w:val="191"/>
              <w:snapToGrid w:val="0"/>
              <w:spacing w:line="240" w:lineRule="auto"/>
              <w:ind w:firstLine="0" w:firstLineChars="0"/>
              <w:jc w:val="center"/>
              <w:rPr>
                <w:sz w:val="21"/>
              </w:rPr>
            </w:pPr>
            <w:r>
              <w:rPr>
                <w:sz w:val="21"/>
              </w:rPr>
              <w:t>29</w:t>
            </w:r>
            <w:r>
              <w:rPr>
                <w:rFonts w:hint="eastAsia"/>
                <w:sz w:val="21"/>
              </w:rPr>
              <w:t>90</w:t>
            </w:r>
          </w:p>
        </w:tc>
        <w:tc>
          <w:tcPr>
            <w:tcW w:w="979" w:type="dxa"/>
            <w:vAlign w:val="center"/>
          </w:tcPr>
          <w:p w14:paraId="11D0A458">
            <w:pPr>
              <w:pStyle w:val="191"/>
              <w:snapToGrid w:val="0"/>
              <w:spacing w:line="240" w:lineRule="auto"/>
              <w:ind w:firstLine="0" w:firstLineChars="0"/>
              <w:jc w:val="center"/>
              <w:rPr>
                <w:sz w:val="21"/>
              </w:rPr>
            </w:pPr>
            <w:r>
              <w:rPr>
                <w:sz w:val="21"/>
              </w:rPr>
              <w:t>28</w:t>
            </w:r>
            <w:r>
              <w:rPr>
                <w:rFonts w:hint="eastAsia"/>
                <w:sz w:val="21"/>
              </w:rPr>
              <w:t>50</w:t>
            </w:r>
          </w:p>
        </w:tc>
        <w:tc>
          <w:tcPr>
            <w:tcW w:w="979" w:type="dxa"/>
            <w:vAlign w:val="center"/>
          </w:tcPr>
          <w:p w14:paraId="0C3D79EC">
            <w:pPr>
              <w:pStyle w:val="191"/>
              <w:snapToGrid w:val="0"/>
              <w:spacing w:line="240" w:lineRule="auto"/>
              <w:ind w:firstLine="0" w:firstLineChars="0"/>
              <w:jc w:val="center"/>
              <w:rPr>
                <w:sz w:val="21"/>
              </w:rPr>
            </w:pPr>
            <w:r>
              <w:rPr>
                <w:sz w:val="21"/>
              </w:rPr>
              <w:t>28</w:t>
            </w:r>
            <w:r>
              <w:rPr>
                <w:rFonts w:hint="eastAsia"/>
                <w:sz w:val="21"/>
              </w:rPr>
              <w:t>10</w:t>
            </w:r>
          </w:p>
        </w:tc>
        <w:tc>
          <w:tcPr>
            <w:tcW w:w="979" w:type="dxa"/>
            <w:vAlign w:val="center"/>
          </w:tcPr>
          <w:p w14:paraId="2D7AFDD2">
            <w:pPr>
              <w:pStyle w:val="191"/>
              <w:snapToGrid w:val="0"/>
              <w:spacing w:line="240" w:lineRule="auto"/>
              <w:ind w:firstLine="0" w:firstLineChars="0"/>
              <w:jc w:val="center"/>
              <w:rPr>
                <w:sz w:val="21"/>
              </w:rPr>
            </w:pPr>
            <w:r>
              <w:rPr>
                <w:sz w:val="21"/>
              </w:rPr>
              <w:t>27</w:t>
            </w:r>
            <w:r>
              <w:rPr>
                <w:rFonts w:hint="eastAsia"/>
                <w:sz w:val="21"/>
              </w:rPr>
              <w:t>55</w:t>
            </w:r>
          </w:p>
        </w:tc>
        <w:tc>
          <w:tcPr>
            <w:tcW w:w="983" w:type="dxa"/>
            <w:vAlign w:val="center"/>
          </w:tcPr>
          <w:p w14:paraId="626825C6">
            <w:pPr>
              <w:pStyle w:val="191"/>
              <w:snapToGrid w:val="0"/>
              <w:spacing w:line="240" w:lineRule="auto"/>
              <w:ind w:firstLine="0" w:firstLineChars="0"/>
              <w:jc w:val="center"/>
              <w:rPr>
                <w:sz w:val="21"/>
              </w:rPr>
            </w:pPr>
            <w:r>
              <w:rPr>
                <w:sz w:val="21"/>
              </w:rPr>
              <w:t>27</w:t>
            </w:r>
            <w:r>
              <w:rPr>
                <w:rFonts w:hint="eastAsia"/>
                <w:sz w:val="21"/>
              </w:rPr>
              <w:t>15</w:t>
            </w:r>
          </w:p>
        </w:tc>
      </w:tr>
      <w:tr w14:paraId="6E9A0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0B8D73F3">
            <w:pPr>
              <w:pStyle w:val="191"/>
              <w:snapToGrid w:val="0"/>
              <w:spacing w:line="240" w:lineRule="auto"/>
              <w:ind w:firstLine="0" w:firstLineChars="0"/>
              <w:jc w:val="center"/>
              <w:rPr>
                <w:sz w:val="21"/>
              </w:rPr>
            </w:pPr>
            <w:r>
              <w:rPr>
                <w:sz w:val="21"/>
              </w:rPr>
              <w:t>3</w:t>
            </w:r>
          </w:p>
        </w:tc>
        <w:tc>
          <w:tcPr>
            <w:tcW w:w="3390" w:type="dxa"/>
            <w:vAlign w:val="center"/>
          </w:tcPr>
          <w:p w14:paraId="4CA5E175">
            <w:pPr>
              <w:pStyle w:val="191"/>
              <w:snapToGrid w:val="0"/>
              <w:spacing w:line="240" w:lineRule="auto"/>
              <w:ind w:firstLine="0" w:firstLineChars="0"/>
              <w:jc w:val="center"/>
              <w:rPr>
                <w:sz w:val="21"/>
              </w:rPr>
            </w:pPr>
            <w:r>
              <w:rPr>
                <w:rFonts w:hint="eastAsia"/>
                <w:sz w:val="21"/>
              </w:rPr>
              <w:t>最大充填倍线</w:t>
            </w:r>
          </w:p>
        </w:tc>
        <w:tc>
          <w:tcPr>
            <w:tcW w:w="979" w:type="dxa"/>
            <w:vAlign w:val="center"/>
          </w:tcPr>
          <w:p w14:paraId="12C7177B">
            <w:pPr>
              <w:pStyle w:val="191"/>
              <w:snapToGrid w:val="0"/>
              <w:spacing w:line="240" w:lineRule="auto"/>
              <w:ind w:firstLine="0" w:firstLineChars="0"/>
              <w:jc w:val="center"/>
              <w:rPr>
                <w:sz w:val="21"/>
              </w:rPr>
            </w:pPr>
            <w:r>
              <w:rPr>
                <w:sz w:val="21"/>
              </w:rPr>
              <w:t>7.</w:t>
            </w:r>
            <w:r>
              <w:rPr>
                <w:rFonts w:hint="eastAsia"/>
                <w:sz w:val="21"/>
              </w:rPr>
              <w:t>69</w:t>
            </w:r>
          </w:p>
        </w:tc>
        <w:tc>
          <w:tcPr>
            <w:tcW w:w="979" w:type="dxa"/>
            <w:vAlign w:val="center"/>
          </w:tcPr>
          <w:p w14:paraId="7ADC7237">
            <w:pPr>
              <w:pStyle w:val="191"/>
              <w:snapToGrid w:val="0"/>
              <w:spacing w:line="240" w:lineRule="auto"/>
              <w:ind w:firstLine="0" w:firstLineChars="0"/>
              <w:jc w:val="center"/>
              <w:rPr>
                <w:sz w:val="21"/>
              </w:rPr>
            </w:pPr>
            <w:r>
              <w:rPr>
                <w:rFonts w:hint="eastAsia"/>
                <w:sz w:val="21"/>
              </w:rPr>
              <w:t>8.66</w:t>
            </w:r>
          </w:p>
        </w:tc>
        <w:tc>
          <w:tcPr>
            <w:tcW w:w="979" w:type="dxa"/>
            <w:vAlign w:val="center"/>
          </w:tcPr>
          <w:p w14:paraId="7616B272">
            <w:pPr>
              <w:pStyle w:val="191"/>
              <w:snapToGrid w:val="0"/>
              <w:spacing w:line="240" w:lineRule="auto"/>
              <w:ind w:firstLine="0" w:firstLineChars="0"/>
              <w:jc w:val="center"/>
              <w:rPr>
                <w:sz w:val="21"/>
              </w:rPr>
            </w:pPr>
            <w:r>
              <w:rPr>
                <w:sz w:val="21"/>
              </w:rPr>
              <w:t>10.</w:t>
            </w:r>
            <w:r>
              <w:rPr>
                <w:rFonts w:hint="eastAsia"/>
                <w:sz w:val="21"/>
              </w:rPr>
              <w:t>46</w:t>
            </w:r>
          </w:p>
        </w:tc>
        <w:tc>
          <w:tcPr>
            <w:tcW w:w="979" w:type="dxa"/>
            <w:vAlign w:val="center"/>
          </w:tcPr>
          <w:p w14:paraId="5FC8B307">
            <w:pPr>
              <w:pStyle w:val="191"/>
              <w:snapToGrid w:val="0"/>
              <w:spacing w:line="240" w:lineRule="auto"/>
              <w:ind w:firstLine="0" w:firstLineChars="0"/>
              <w:jc w:val="center"/>
              <w:rPr>
                <w:sz w:val="21"/>
              </w:rPr>
            </w:pPr>
            <w:r>
              <w:rPr>
                <w:sz w:val="21"/>
              </w:rPr>
              <w:t>13</w:t>
            </w:r>
            <w:r>
              <w:rPr>
                <w:rFonts w:hint="eastAsia"/>
                <w:sz w:val="21"/>
              </w:rPr>
              <w:t>.41</w:t>
            </w:r>
          </w:p>
        </w:tc>
        <w:tc>
          <w:tcPr>
            <w:tcW w:w="983" w:type="dxa"/>
            <w:vAlign w:val="center"/>
          </w:tcPr>
          <w:p w14:paraId="3188F7E0">
            <w:pPr>
              <w:pStyle w:val="191"/>
              <w:snapToGrid w:val="0"/>
              <w:spacing w:line="240" w:lineRule="auto"/>
              <w:ind w:firstLine="0" w:firstLineChars="0"/>
              <w:jc w:val="center"/>
              <w:rPr>
                <w:sz w:val="21"/>
              </w:rPr>
            </w:pPr>
            <w:r>
              <w:rPr>
                <w:sz w:val="21"/>
              </w:rPr>
              <w:t>19.</w:t>
            </w:r>
            <w:r>
              <w:rPr>
                <w:rFonts w:hint="eastAsia"/>
                <w:sz w:val="21"/>
              </w:rPr>
              <w:t>47</w:t>
            </w:r>
          </w:p>
        </w:tc>
      </w:tr>
    </w:tbl>
    <w:p w14:paraId="26383184">
      <w:pPr>
        <w:snapToGrid w:val="0"/>
        <w:spacing w:line="360" w:lineRule="auto"/>
        <w:ind w:firstLine="560"/>
        <w:rPr>
          <w:rFonts w:asciiTheme="minorHAnsi" w:hAnsiTheme="minorHAnsi" w:cstheme="minorHAnsi"/>
          <w:szCs w:val="28"/>
        </w:rPr>
      </w:pPr>
    </w:p>
    <w:p w14:paraId="54D04AF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各水平最大充填倍线在7.69~19.47之间，对于可以自流输送的区域优先采用自流输送，无法自流输送的区域采用充填工业泵加压输送。</w:t>
      </w:r>
    </w:p>
    <w:p w14:paraId="55D9313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在充填站内设3台充填工业泵，2台工作，1台备用，单台充填工业泵的实际输送量为175m</w:t>
      </w:r>
      <w:r>
        <w:rPr>
          <w:rFonts w:hint="eastAsia" w:asciiTheme="minorHAnsi" w:hAnsiTheme="minorHAnsi" w:cstheme="minorHAnsi"/>
          <w:szCs w:val="28"/>
          <w:vertAlign w:val="superscript"/>
        </w:rPr>
        <w:t>3</w:t>
      </w:r>
      <w:r>
        <w:rPr>
          <w:rFonts w:hint="eastAsia" w:asciiTheme="minorHAnsi" w:hAnsiTheme="minorHAnsi" w:cstheme="minorHAnsi"/>
          <w:szCs w:val="28"/>
        </w:rPr>
        <w:t>/h～210m</w:t>
      </w:r>
      <w:r>
        <w:rPr>
          <w:rFonts w:hint="eastAsia" w:asciiTheme="minorHAnsi" w:hAnsiTheme="minorHAnsi" w:cstheme="minorHAnsi"/>
          <w:szCs w:val="28"/>
          <w:vertAlign w:val="superscript"/>
        </w:rPr>
        <w:t>3</w:t>
      </w:r>
      <w:r>
        <w:rPr>
          <w:rFonts w:hint="eastAsia" w:asciiTheme="minorHAnsi" w:hAnsiTheme="minorHAnsi" w:cstheme="minorHAnsi"/>
          <w:szCs w:val="28"/>
        </w:rPr>
        <w:t>/h，液压站配电功率2×500kW，电压380V。</w:t>
      </w:r>
    </w:p>
    <w:p w14:paraId="553383B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（6）设备选型</w:t>
      </w:r>
    </w:p>
    <w:p w14:paraId="758E2FD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选用3台SCAMAC2000BREAKER移动式破碎锤，用于采场大块矿石的二次破碎；</w:t>
      </w:r>
    </w:p>
    <w:p w14:paraId="6ACE5C3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选用3台SCAMAC2000S撬毛台车，用于清理采场凿岩、出矿巷道内的浮石；</w:t>
      </w:r>
    </w:p>
    <w:p w14:paraId="09B58A3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选用3台FCB-5爆破器材运输车，用于运输井下所需爆破器材；</w:t>
      </w:r>
    </w:p>
    <w:p w14:paraId="14845C2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选用4台CY-3000湿式制动油罐车，用于井下设备加油；</w:t>
      </w:r>
    </w:p>
    <w:p w14:paraId="34CF83B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选用6台井下湿式制动载人运输车，用于井下人员运输；</w:t>
      </w:r>
    </w:p>
    <w:p w14:paraId="17FD6EA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选用6台井下材料车，用于井下材料运输；</w:t>
      </w:r>
    </w:p>
    <w:p w14:paraId="708BE99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选用3台CY-R120V自行式天井钻机。9台YSP-45凿岩机，用于掘进采场切割天井；</w:t>
      </w:r>
    </w:p>
    <w:p w14:paraId="30901FE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选用1台UQ-10井下自卸车，用于井下粉矿运输。</w:t>
      </w:r>
    </w:p>
    <w:p w14:paraId="53A9E3C1">
      <w:pPr>
        <w:adjustRightInd w:val="0"/>
        <w:snapToGrid w:val="0"/>
        <w:spacing w:line="360" w:lineRule="auto"/>
        <w:ind w:firstLine="0" w:firstLineChars="0"/>
        <w:rPr>
          <w:rFonts w:asciiTheme="minorHAnsi" w:hAnsiTheme="minorHAnsi" w:eastAsiaTheme="minorEastAsia" w:cstheme="minorHAnsi"/>
          <w:b/>
          <w:bCs/>
          <w:kern w:val="0"/>
          <w:szCs w:val="24"/>
        </w:rPr>
      </w:pPr>
      <w:r>
        <w:rPr>
          <w:rFonts w:hint="eastAsia" w:asciiTheme="minorHAnsi" w:hAnsiTheme="minorHAnsi" w:eastAsiaTheme="minorEastAsia" w:cstheme="minorHAnsi"/>
          <w:b/>
          <w:bCs/>
          <w:kern w:val="0"/>
          <w:szCs w:val="24"/>
        </w:rPr>
        <w:t>2</w:t>
      </w:r>
      <w:r>
        <w:rPr>
          <w:rFonts w:asciiTheme="minorHAnsi" w:hAnsiTheme="minorHAnsi" w:eastAsiaTheme="minorEastAsia" w:cstheme="minorHAnsi"/>
          <w:b/>
          <w:bCs/>
          <w:kern w:val="0"/>
          <w:szCs w:val="24"/>
        </w:rPr>
        <w:t>.4.5.2</w:t>
      </w:r>
      <w:r>
        <w:rPr>
          <w:rFonts w:hint="eastAsia" w:asciiTheme="minorHAnsi" w:hAnsiTheme="minorHAnsi" w:eastAsiaTheme="minorEastAsia" w:cstheme="minorHAnsi"/>
          <w:b/>
          <w:bCs/>
          <w:kern w:val="0"/>
          <w:szCs w:val="24"/>
        </w:rPr>
        <w:t>二期采矿工艺</w:t>
      </w:r>
    </w:p>
    <w:p w14:paraId="379357B4">
      <w:pPr>
        <w:adjustRightInd w:val="0"/>
        <w:snapToGrid w:val="0"/>
        <w:spacing w:line="360" w:lineRule="auto"/>
        <w:ind w:firstLine="562"/>
        <w:rPr>
          <w:rFonts w:asciiTheme="minorHAnsi" w:hAnsiTheme="minorHAnsi" w:eastAsiaTheme="minorEastAsia" w:cstheme="minorHAnsi"/>
          <w:b/>
          <w:bCs/>
          <w:kern w:val="0"/>
          <w:szCs w:val="24"/>
        </w:rPr>
      </w:pPr>
      <w:r>
        <w:rPr>
          <w:rFonts w:asciiTheme="minorHAnsi" w:hAnsiTheme="minorHAnsi" w:eastAsiaTheme="minorEastAsia" w:cstheme="minorHAnsi"/>
          <w:b/>
          <w:bCs/>
          <w:kern w:val="0"/>
          <w:szCs w:val="24"/>
        </w:rPr>
        <w:t>（1）采矿方法的选择</w:t>
      </w:r>
    </w:p>
    <w:p w14:paraId="239D397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1）彭集矿段</w:t>
      </w:r>
    </w:p>
    <w:p w14:paraId="61B2C9A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设计考虑采用沿走向布置的分段空场法剔除夹石分别单独开采。</w:t>
      </w:r>
    </w:p>
    <w:p w14:paraId="22EFA8D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2）冯家庄矿体</w:t>
      </w:r>
    </w:p>
    <w:p w14:paraId="5F2D4CB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设计考虑采用沿走向布置的分段空场法剔除夹石分别单独开采。</w:t>
      </w:r>
    </w:p>
    <w:p w14:paraId="7FDFDE55">
      <w:pPr>
        <w:snapToGrid w:val="0"/>
        <w:spacing w:line="360" w:lineRule="auto"/>
        <w:ind w:firstLine="560"/>
        <w:rPr>
          <w:rFonts w:asciiTheme="minorHAnsi" w:hAnsiTheme="minorHAnsi" w:cstheme="minorHAnsi"/>
          <w:szCs w:val="28"/>
        </w:rPr>
      </w:pPr>
      <w:r>
        <w:rPr>
          <w:rFonts w:cs="Times New Roman"/>
          <w:szCs w:val="28"/>
        </w:rPr>
        <w:t>为降低废石混入率，减少废石出井量。</w:t>
      </w:r>
      <w:r>
        <w:rPr>
          <w:rFonts w:hint="eastAsia" w:cs="Times New Roman"/>
          <w:szCs w:val="28"/>
        </w:rPr>
        <w:t>且条带内夹石厚度均大于5m，厚度较厚具备剔除条件，因此设计考虑条带内矿体均剔除夹石分采。</w:t>
      </w:r>
    </w:p>
    <w:p w14:paraId="67E612E7">
      <w:pPr>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（2）构成要素</w:t>
      </w:r>
    </w:p>
    <w:p w14:paraId="007007C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沿走向布置的分段空场法适用于二期彭集矿段和冯家庄矿段所有矿体。</w:t>
      </w:r>
    </w:p>
    <w:p w14:paraId="64E636C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沿矿体走向方向划分盘区，每个盘区内按采场长轴方向沿矿体走向划分采场和盘区间柱，每个盘区布置4个采场和1个盘区间柱，采场长45m，盘区间柱厚25m。每个盘区长200m，宽为矿体水平厚度，高75m。每个采场长45m，宽为矿体厚度，阶段高75m，分段高25m。采场又分为矿房和矿柱，矿房长40m，矿柱长5m。</w:t>
      </w:r>
    </w:p>
    <w:p w14:paraId="6ED13F72">
      <w:pPr>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（3）采掘工艺</w:t>
      </w:r>
    </w:p>
    <w:p w14:paraId="6C7BF01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1）沿走向布置的分段空场法</w:t>
      </w:r>
    </w:p>
    <w:p w14:paraId="69B5E5E3">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①采准切割</w:t>
      </w:r>
    </w:p>
    <w:p w14:paraId="02411F5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开采阶段高75m，分段高25m，顶部水平为充填水平，中部两个分段为凿岩分段，底部为凿岩、出矿水平。各分段水平脉外联络巷通过采区斜坡道相连通。</w:t>
      </w:r>
    </w:p>
    <w:p w14:paraId="175C195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充填回风水平主要采切工程有：脉外联络巷、充填联络巷、回风天井联络巷。</w:t>
      </w:r>
    </w:p>
    <w:p w14:paraId="4344ABB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凿岩分段主要采切工程有：脉外联络巷、凿岩联络巷、凿岩巷道。</w:t>
      </w:r>
    </w:p>
    <w:p w14:paraId="3C7C9A8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出矿水平主要采切工程有：脉外联络巷、出矿进路、拉底巷道、切割井、采区溜井、采区进风天井、采区回风天井等。</w:t>
      </w:r>
    </w:p>
    <w:p w14:paraId="1340B0A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采场底部出矿结构采用平底形式。在脉外联络巷向采场方向掘进出矿进路，出矿进路与出矿联络巷道垂直。</w:t>
      </w:r>
    </w:p>
    <w:p w14:paraId="33C552A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本阶段充填水平是在本阶段采矿结束转入上阶段生产后的出矿水平。上阶段底部结构的采准工作需要在本阶段盘区生产结束后进行，上阶段采场内的底部结构工程基本全部布置在本阶段的充填体之上。</w:t>
      </w:r>
    </w:p>
    <w:p w14:paraId="33FFB62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在矿体条带下盘布置采区溜井，每个盘区布置1条采区溜井，溜井间距为200m。</w:t>
      </w:r>
    </w:p>
    <w:p w14:paraId="73FC54A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在矿体下盘每两个盘区设1条采区进风天井，在矿体上盘每两个盘区布置1条采区回风天井，进回风天井对角错开布置。采区进回风天井连通各分段水平和回风水平。</w:t>
      </w:r>
    </w:p>
    <w:p w14:paraId="3247897E">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②回采</w:t>
      </w:r>
    </w:p>
    <w:p w14:paraId="7D727AE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盘区内采场间留设5m隔离矿柱，各采场可同时生产。</w:t>
      </w:r>
    </w:p>
    <w:p w14:paraId="2BE2628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采切工程结束后，采用Simba H1354中深孔凿岩台车（或Simba H1254中深孔凿岩台车）在各分段凿岩巷道中钻凿中深孔，在采场一侧采用切割天井施工切割槽，以切割槽为自由面侧向崩矿。每次爆破后出爆破量的1/3，剩余矿石留在采场支护侧帮。三个分段可同时回采，上分段超前下分段5~10m，待采场矿石全部爆破后，再高强度大量集中出矿，出矿设备采用4m</w:t>
      </w:r>
      <w:r>
        <w:rPr>
          <w:rFonts w:hint="eastAsia" w:asciiTheme="minorHAnsi" w:hAnsiTheme="minorHAnsi" w:cstheme="minorHAnsi"/>
          <w:szCs w:val="28"/>
          <w:vertAlign w:val="superscript"/>
        </w:rPr>
        <w:t>3</w:t>
      </w:r>
      <w:r>
        <w:rPr>
          <w:rFonts w:hint="eastAsia" w:asciiTheme="minorHAnsi" w:hAnsiTheme="minorHAnsi" w:cstheme="minorHAnsi"/>
          <w:szCs w:val="28"/>
        </w:rPr>
        <w:t>铲运机，出矿完毕立即进行充填。</w:t>
      </w:r>
    </w:p>
    <w:p w14:paraId="26EB019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③充填</w:t>
      </w:r>
    </w:p>
    <w:p w14:paraId="20A95700">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场回采结束后先进行充填准备工作，在采场中架设泄水笼，采用充填挡墙封闭采场底部出矿进路，充填挡墙可采用钢筋混凝土结构挡墙、砖砌挡墙或钢结构土工布挡墙等多种型式，现场须根据采场试验，在确保强度的情况下，选择安全可靠、施工方便的挡墙型式。并敷设泄水管。利用充填水平的脉外联络巷及采场联络巷（上阶段的出矿进路）作为充填巷道，采场充填管路固定在充填巷道上，从采场上部进行充填。</w:t>
      </w:r>
    </w:p>
    <w:p w14:paraId="1B7B5D9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充填效率按200m</w:t>
      </w:r>
      <w:r>
        <w:rPr>
          <w:rFonts w:hint="eastAsia" w:asciiTheme="minorHAnsi" w:hAnsiTheme="minorHAnsi" w:cstheme="minorHAnsi"/>
          <w:szCs w:val="28"/>
          <w:vertAlign w:val="superscript"/>
        </w:rPr>
        <w:t>3</w:t>
      </w:r>
      <w:r>
        <w:rPr>
          <w:rFonts w:hint="eastAsia" w:asciiTheme="minorHAnsi" w:hAnsiTheme="minorHAnsi" w:cstheme="minorHAnsi"/>
          <w:szCs w:val="28"/>
        </w:rPr>
        <w:t>/h考虑，沉缩比0.80。充填体滤水，顶部2m高度，底部3m高度，每充填1m高度滤水一次，每次滤水时间1天；剩余70m高度，每充填10m~15m高度滤水一次，每次滤水时间2天。</w:t>
      </w:r>
    </w:p>
    <w:p w14:paraId="66C315DE">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采场垂向充填料分布为：顶部2m厚需要充填灰砂比为1:6的胶结充填料（要求充填体28天强度大于3.0MPa），剩余73m充填灰砂比为1:20的胶结充填料（要求充填体28天强度大于0.6MPa）。</w:t>
      </w:r>
    </w:p>
    <w:p w14:paraId="4D8ABB33">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采场充填要根据充填料的泄水情况和沉积情况等，分多次充填，多次接顶，必须保证接顶充填质量。</w:t>
      </w:r>
    </w:p>
    <w:p w14:paraId="52671C5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采矿方法构成要素见表</w:t>
      </w:r>
      <w:r>
        <w:rPr>
          <w:rFonts w:asciiTheme="minorHAnsi" w:hAnsiTheme="minorHAnsi" w:cstheme="minorHAnsi"/>
          <w:szCs w:val="28"/>
        </w:rPr>
        <w:t>2.4-5</w:t>
      </w:r>
      <w:r>
        <w:rPr>
          <w:rFonts w:hint="eastAsia" w:asciiTheme="minorHAnsi" w:hAnsiTheme="minorHAnsi" w:cstheme="minorHAnsi"/>
          <w:szCs w:val="28"/>
        </w:rPr>
        <w:t>。</w:t>
      </w:r>
    </w:p>
    <w:p w14:paraId="58F5969C">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.4-5 沿走向布置的分段空</w:t>
      </w:r>
      <w:r>
        <w:rPr>
          <w:rFonts w:hint="eastAsia" w:asciiTheme="minorHAnsi" w:hAnsiTheme="minorHAnsi" w:cstheme="minorHAnsi"/>
          <w:szCs w:val="28"/>
        </w:rPr>
        <w:t>场</w:t>
      </w:r>
      <w:r>
        <w:rPr>
          <w:rFonts w:asciiTheme="minorHAnsi" w:hAnsiTheme="minorHAnsi" w:cstheme="minorHAnsi"/>
          <w:szCs w:val="28"/>
        </w:rPr>
        <w:t>法构成要素表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2291"/>
        <w:gridCol w:w="963"/>
        <w:gridCol w:w="5299"/>
      </w:tblGrid>
      <w:tr w14:paraId="7F5E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505" w:type="pct"/>
            <w:vAlign w:val="center"/>
          </w:tcPr>
          <w:p w14:paraId="609FBEA7">
            <w:pPr>
              <w:widowControl/>
              <w:adjustRightInd w:val="0"/>
              <w:snapToGrid w:val="0"/>
              <w:spacing w:line="240" w:lineRule="auto"/>
              <w:ind w:firstLine="0" w:firstLineChars="0"/>
              <w:jc w:val="center"/>
              <w:rPr>
                <w:snapToGrid w:val="0"/>
                <w:sz w:val="21"/>
                <w:szCs w:val="24"/>
              </w:rPr>
            </w:pPr>
            <w:r>
              <w:rPr>
                <w:snapToGrid w:val="0"/>
                <w:sz w:val="21"/>
                <w:szCs w:val="24"/>
              </w:rPr>
              <w:t>序号</w:t>
            </w:r>
          </w:p>
        </w:tc>
        <w:tc>
          <w:tcPr>
            <w:tcW w:w="1204" w:type="pct"/>
            <w:vAlign w:val="center"/>
          </w:tcPr>
          <w:p w14:paraId="6B6200A8">
            <w:pPr>
              <w:widowControl/>
              <w:adjustRightInd w:val="0"/>
              <w:snapToGrid w:val="0"/>
              <w:spacing w:line="240" w:lineRule="auto"/>
              <w:ind w:firstLine="0" w:firstLineChars="0"/>
              <w:jc w:val="center"/>
              <w:rPr>
                <w:snapToGrid w:val="0"/>
                <w:sz w:val="21"/>
                <w:szCs w:val="24"/>
              </w:rPr>
            </w:pPr>
            <w:r>
              <w:rPr>
                <w:snapToGrid w:val="0"/>
                <w:sz w:val="21"/>
                <w:szCs w:val="24"/>
              </w:rPr>
              <w:t>构成要素</w:t>
            </w:r>
          </w:p>
        </w:tc>
        <w:tc>
          <w:tcPr>
            <w:tcW w:w="506" w:type="pct"/>
            <w:vAlign w:val="center"/>
          </w:tcPr>
          <w:p w14:paraId="29C00DC4">
            <w:pPr>
              <w:widowControl/>
              <w:adjustRightInd w:val="0"/>
              <w:snapToGrid w:val="0"/>
              <w:spacing w:line="240" w:lineRule="auto"/>
              <w:ind w:firstLine="0" w:firstLineChars="0"/>
              <w:jc w:val="center"/>
              <w:rPr>
                <w:snapToGrid w:val="0"/>
                <w:sz w:val="21"/>
                <w:szCs w:val="24"/>
              </w:rPr>
            </w:pPr>
            <w:r>
              <w:rPr>
                <w:snapToGrid w:val="0"/>
                <w:sz w:val="21"/>
                <w:szCs w:val="24"/>
              </w:rPr>
              <w:t>单位</w:t>
            </w:r>
          </w:p>
        </w:tc>
        <w:tc>
          <w:tcPr>
            <w:tcW w:w="2784" w:type="pct"/>
            <w:vAlign w:val="center"/>
          </w:tcPr>
          <w:p w14:paraId="47DCDEDC">
            <w:pPr>
              <w:widowControl/>
              <w:adjustRightInd w:val="0"/>
              <w:snapToGrid w:val="0"/>
              <w:spacing w:line="240" w:lineRule="auto"/>
              <w:ind w:firstLine="0" w:firstLineChars="0"/>
              <w:jc w:val="center"/>
              <w:rPr>
                <w:snapToGrid w:val="0"/>
                <w:sz w:val="21"/>
                <w:szCs w:val="24"/>
              </w:rPr>
            </w:pPr>
            <w:r>
              <w:rPr>
                <w:snapToGrid w:val="0"/>
                <w:sz w:val="21"/>
                <w:szCs w:val="24"/>
              </w:rPr>
              <w:t>沿走向布置</w:t>
            </w:r>
            <w:r>
              <w:rPr>
                <w:rFonts w:hint="eastAsia"/>
                <w:snapToGrid w:val="0"/>
                <w:sz w:val="21"/>
                <w:szCs w:val="24"/>
              </w:rPr>
              <w:t>的</w:t>
            </w:r>
            <w:r>
              <w:rPr>
                <w:snapToGrid w:val="0"/>
                <w:sz w:val="21"/>
                <w:szCs w:val="24"/>
              </w:rPr>
              <w:t>分段空场法</w:t>
            </w:r>
          </w:p>
        </w:tc>
      </w:tr>
      <w:tr w14:paraId="2752C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67CBD280">
            <w:pPr>
              <w:widowControl/>
              <w:adjustRightInd w:val="0"/>
              <w:snapToGrid w:val="0"/>
              <w:spacing w:line="240" w:lineRule="auto"/>
              <w:ind w:firstLine="0" w:firstLineChars="0"/>
              <w:jc w:val="center"/>
              <w:rPr>
                <w:snapToGrid w:val="0"/>
                <w:sz w:val="21"/>
                <w:szCs w:val="24"/>
              </w:rPr>
            </w:pPr>
            <w:r>
              <w:rPr>
                <w:snapToGrid w:val="0"/>
                <w:sz w:val="21"/>
                <w:szCs w:val="24"/>
              </w:rPr>
              <w:t>1</w:t>
            </w:r>
          </w:p>
        </w:tc>
        <w:tc>
          <w:tcPr>
            <w:tcW w:w="1204" w:type="pct"/>
            <w:vAlign w:val="center"/>
          </w:tcPr>
          <w:p w14:paraId="115759FC">
            <w:pPr>
              <w:widowControl/>
              <w:adjustRightInd w:val="0"/>
              <w:snapToGrid w:val="0"/>
              <w:spacing w:line="240" w:lineRule="auto"/>
              <w:ind w:firstLine="0" w:firstLineChars="0"/>
              <w:jc w:val="center"/>
              <w:rPr>
                <w:snapToGrid w:val="0"/>
                <w:sz w:val="21"/>
                <w:szCs w:val="24"/>
              </w:rPr>
            </w:pPr>
            <w:r>
              <w:rPr>
                <w:snapToGrid w:val="0"/>
                <w:sz w:val="21"/>
                <w:szCs w:val="24"/>
              </w:rPr>
              <w:t>盘区长度</w:t>
            </w:r>
          </w:p>
        </w:tc>
        <w:tc>
          <w:tcPr>
            <w:tcW w:w="506" w:type="pct"/>
            <w:vAlign w:val="center"/>
          </w:tcPr>
          <w:p w14:paraId="5F23D816">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7D259F07">
            <w:pPr>
              <w:widowControl/>
              <w:adjustRightInd w:val="0"/>
              <w:snapToGrid w:val="0"/>
              <w:spacing w:line="240" w:lineRule="auto"/>
              <w:ind w:firstLine="0" w:firstLineChars="0"/>
              <w:jc w:val="center"/>
              <w:rPr>
                <w:snapToGrid w:val="0"/>
                <w:sz w:val="21"/>
                <w:szCs w:val="24"/>
              </w:rPr>
            </w:pPr>
            <w:r>
              <w:rPr>
                <w:snapToGrid w:val="0"/>
                <w:sz w:val="21"/>
                <w:szCs w:val="24"/>
              </w:rPr>
              <w:t>200</w:t>
            </w:r>
          </w:p>
        </w:tc>
      </w:tr>
      <w:tr w14:paraId="6EF61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2D355884">
            <w:pPr>
              <w:widowControl/>
              <w:adjustRightInd w:val="0"/>
              <w:snapToGrid w:val="0"/>
              <w:spacing w:line="240" w:lineRule="auto"/>
              <w:ind w:firstLine="0" w:firstLineChars="0"/>
              <w:jc w:val="center"/>
              <w:rPr>
                <w:snapToGrid w:val="0"/>
                <w:sz w:val="21"/>
                <w:szCs w:val="24"/>
              </w:rPr>
            </w:pPr>
            <w:r>
              <w:rPr>
                <w:snapToGrid w:val="0"/>
                <w:sz w:val="21"/>
                <w:szCs w:val="24"/>
              </w:rPr>
              <w:t>2</w:t>
            </w:r>
          </w:p>
        </w:tc>
        <w:tc>
          <w:tcPr>
            <w:tcW w:w="1204" w:type="pct"/>
            <w:vAlign w:val="center"/>
          </w:tcPr>
          <w:p w14:paraId="72917BBE">
            <w:pPr>
              <w:widowControl/>
              <w:adjustRightInd w:val="0"/>
              <w:snapToGrid w:val="0"/>
              <w:spacing w:line="240" w:lineRule="auto"/>
              <w:ind w:firstLine="0" w:firstLineChars="0"/>
              <w:jc w:val="center"/>
              <w:rPr>
                <w:snapToGrid w:val="0"/>
                <w:sz w:val="21"/>
                <w:szCs w:val="24"/>
              </w:rPr>
            </w:pPr>
            <w:r>
              <w:rPr>
                <w:snapToGrid w:val="0"/>
                <w:sz w:val="21"/>
                <w:szCs w:val="24"/>
              </w:rPr>
              <w:t>盘区宽度</w:t>
            </w:r>
          </w:p>
        </w:tc>
        <w:tc>
          <w:tcPr>
            <w:tcW w:w="506" w:type="pct"/>
            <w:vAlign w:val="center"/>
          </w:tcPr>
          <w:p w14:paraId="52452647">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41DA4E2E">
            <w:pPr>
              <w:widowControl/>
              <w:adjustRightInd w:val="0"/>
              <w:snapToGrid w:val="0"/>
              <w:spacing w:line="240" w:lineRule="auto"/>
              <w:ind w:firstLine="0" w:firstLineChars="0"/>
              <w:jc w:val="center"/>
              <w:rPr>
                <w:snapToGrid w:val="0"/>
                <w:sz w:val="21"/>
                <w:szCs w:val="24"/>
              </w:rPr>
            </w:pPr>
            <w:r>
              <w:rPr>
                <w:snapToGrid w:val="0"/>
                <w:sz w:val="21"/>
                <w:szCs w:val="24"/>
              </w:rPr>
              <w:t>矿体水平厚度</w:t>
            </w:r>
          </w:p>
        </w:tc>
      </w:tr>
      <w:tr w14:paraId="25164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71489959">
            <w:pPr>
              <w:widowControl/>
              <w:adjustRightInd w:val="0"/>
              <w:snapToGrid w:val="0"/>
              <w:spacing w:line="240" w:lineRule="auto"/>
              <w:ind w:firstLine="0" w:firstLineChars="0"/>
              <w:jc w:val="center"/>
              <w:rPr>
                <w:snapToGrid w:val="0"/>
                <w:sz w:val="21"/>
                <w:szCs w:val="24"/>
              </w:rPr>
            </w:pPr>
            <w:r>
              <w:rPr>
                <w:snapToGrid w:val="0"/>
                <w:sz w:val="21"/>
                <w:szCs w:val="24"/>
              </w:rPr>
              <w:t>3</w:t>
            </w:r>
          </w:p>
        </w:tc>
        <w:tc>
          <w:tcPr>
            <w:tcW w:w="1204" w:type="pct"/>
            <w:vAlign w:val="center"/>
          </w:tcPr>
          <w:p w14:paraId="092FECBD">
            <w:pPr>
              <w:widowControl/>
              <w:adjustRightInd w:val="0"/>
              <w:snapToGrid w:val="0"/>
              <w:spacing w:line="240" w:lineRule="auto"/>
              <w:ind w:firstLine="0" w:firstLineChars="0"/>
              <w:jc w:val="center"/>
              <w:rPr>
                <w:snapToGrid w:val="0"/>
                <w:sz w:val="21"/>
                <w:szCs w:val="24"/>
              </w:rPr>
            </w:pPr>
            <w:r>
              <w:rPr>
                <w:snapToGrid w:val="0"/>
                <w:sz w:val="21"/>
                <w:szCs w:val="24"/>
              </w:rPr>
              <w:t>阶段高度</w:t>
            </w:r>
          </w:p>
        </w:tc>
        <w:tc>
          <w:tcPr>
            <w:tcW w:w="506" w:type="pct"/>
            <w:vAlign w:val="center"/>
          </w:tcPr>
          <w:p w14:paraId="0E99B673">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39F91E90">
            <w:pPr>
              <w:widowControl/>
              <w:adjustRightInd w:val="0"/>
              <w:snapToGrid w:val="0"/>
              <w:spacing w:line="240" w:lineRule="auto"/>
              <w:ind w:firstLine="0" w:firstLineChars="0"/>
              <w:jc w:val="center"/>
              <w:rPr>
                <w:snapToGrid w:val="0"/>
                <w:sz w:val="21"/>
                <w:szCs w:val="24"/>
              </w:rPr>
            </w:pPr>
            <w:r>
              <w:rPr>
                <w:snapToGrid w:val="0"/>
                <w:sz w:val="21"/>
                <w:szCs w:val="24"/>
              </w:rPr>
              <w:t>75</w:t>
            </w:r>
          </w:p>
        </w:tc>
      </w:tr>
      <w:tr w14:paraId="6E6E4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63317EA6">
            <w:pPr>
              <w:widowControl/>
              <w:adjustRightInd w:val="0"/>
              <w:snapToGrid w:val="0"/>
              <w:spacing w:line="240" w:lineRule="auto"/>
              <w:ind w:firstLine="0" w:firstLineChars="0"/>
              <w:jc w:val="center"/>
              <w:rPr>
                <w:snapToGrid w:val="0"/>
                <w:sz w:val="21"/>
                <w:szCs w:val="24"/>
              </w:rPr>
            </w:pPr>
            <w:r>
              <w:rPr>
                <w:snapToGrid w:val="0"/>
                <w:sz w:val="21"/>
                <w:szCs w:val="24"/>
              </w:rPr>
              <w:t>4</w:t>
            </w:r>
          </w:p>
        </w:tc>
        <w:tc>
          <w:tcPr>
            <w:tcW w:w="1204" w:type="pct"/>
            <w:vAlign w:val="center"/>
          </w:tcPr>
          <w:p w14:paraId="7CD4A4B5">
            <w:pPr>
              <w:widowControl/>
              <w:adjustRightInd w:val="0"/>
              <w:snapToGrid w:val="0"/>
              <w:spacing w:line="240" w:lineRule="auto"/>
              <w:ind w:firstLine="0" w:firstLineChars="0"/>
              <w:jc w:val="center"/>
              <w:rPr>
                <w:snapToGrid w:val="0"/>
                <w:sz w:val="21"/>
                <w:szCs w:val="24"/>
              </w:rPr>
            </w:pPr>
            <w:r>
              <w:rPr>
                <w:snapToGrid w:val="0"/>
                <w:sz w:val="21"/>
                <w:szCs w:val="24"/>
              </w:rPr>
              <w:t>盘区间柱宽度</w:t>
            </w:r>
          </w:p>
        </w:tc>
        <w:tc>
          <w:tcPr>
            <w:tcW w:w="506" w:type="pct"/>
            <w:vAlign w:val="center"/>
          </w:tcPr>
          <w:p w14:paraId="04BF9E02">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461D55B8">
            <w:pPr>
              <w:widowControl/>
              <w:adjustRightInd w:val="0"/>
              <w:snapToGrid w:val="0"/>
              <w:spacing w:line="240" w:lineRule="auto"/>
              <w:ind w:firstLine="0" w:firstLineChars="0"/>
              <w:jc w:val="center"/>
              <w:rPr>
                <w:snapToGrid w:val="0"/>
                <w:sz w:val="21"/>
                <w:szCs w:val="24"/>
              </w:rPr>
            </w:pPr>
            <w:r>
              <w:rPr>
                <w:rFonts w:hint="eastAsia"/>
                <w:snapToGrid w:val="0"/>
                <w:sz w:val="21"/>
                <w:szCs w:val="24"/>
              </w:rPr>
              <w:t>25</w:t>
            </w:r>
          </w:p>
        </w:tc>
      </w:tr>
      <w:tr w14:paraId="2E37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17A72FC2">
            <w:pPr>
              <w:widowControl/>
              <w:adjustRightInd w:val="0"/>
              <w:snapToGrid w:val="0"/>
              <w:spacing w:line="240" w:lineRule="auto"/>
              <w:ind w:firstLine="0" w:firstLineChars="0"/>
              <w:jc w:val="center"/>
              <w:rPr>
                <w:snapToGrid w:val="0"/>
                <w:sz w:val="21"/>
                <w:szCs w:val="24"/>
              </w:rPr>
            </w:pPr>
            <w:r>
              <w:rPr>
                <w:snapToGrid w:val="0"/>
                <w:sz w:val="21"/>
                <w:szCs w:val="24"/>
              </w:rPr>
              <w:t>5</w:t>
            </w:r>
          </w:p>
        </w:tc>
        <w:tc>
          <w:tcPr>
            <w:tcW w:w="1204" w:type="pct"/>
            <w:vAlign w:val="center"/>
          </w:tcPr>
          <w:p w14:paraId="03DFEE16">
            <w:pPr>
              <w:widowControl/>
              <w:adjustRightInd w:val="0"/>
              <w:snapToGrid w:val="0"/>
              <w:spacing w:line="240" w:lineRule="auto"/>
              <w:ind w:firstLine="0" w:firstLineChars="0"/>
              <w:jc w:val="center"/>
              <w:rPr>
                <w:snapToGrid w:val="0"/>
                <w:sz w:val="21"/>
                <w:szCs w:val="24"/>
              </w:rPr>
            </w:pPr>
            <w:r>
              <w:rPr>
                <w:snapToGrid w:val="0"/>
                <w:sz w:val="21"/>
                <w:szCs w:val="24"/>
              </w:rPr>
              <w:t>采场长度</w:t>
            </w:r>
          </w:p>
        </w:tc>
        <w:tc>
          <w:tcPr>
            <w:tcW w:w="506" w:type="pct"/>
            <w:vAlign w:val="center"/>
          </w:tcPr>
          <w:p w14:paraId="40BD75D8">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3F5EAD9F">
            <w:pPr>
              <w:widowControl/>
              <w:adjustRightInd w:val="0"/>
              <w:snapToGrid w:val="0"/>
              <w:spacing w:line="240" w:lineRule="auto"/>
              <w:ind w:firstLine="0" w:firstLineChars="0"/>
              <w:jc w:val="center"/>
              <w:rPr>
                <w:snapToGrid w:val="0"/>
                <w:sz w:val="21"/>
                <w:szCs w:val="24"/>
              </w:rPr>
            </w:pPr>
            <w:r>
              <w:rPr>
                <w:snapToGrid w:val="0"/>
                <w:sz w:val="21"/>
                <w:szCs w:val="24"/>
              </w:rPr>
              <w:t>45</w:t>
            </w:r>
          </w:p>
        </w:tc>
      </w:tr>
      <w:tr w14:paraId="0C094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200BD7F6">
            <w:pPr>
              <w:widowControl/>
              <w:adjustRightInd w:val="0"/>
              <w:snapToGrid w:val="0"/>
              <w:spacing w:line="240" w:lineRule="auto"/>
              <w:ind w:firstLine="0" w:firstLineChars="0"/>
              <w:jc w:val="center"/>
              <w:rPr>
                <w:snapToGrid w:val="0"/>
                <w:sz w:val="21"/>
                <w:szCs w:val="24"/>
              </w:rPr>
            </w:pPr>
            <w:r>
              <w:rPr>
                <w:snapToGrid w:val="0"/>
                <w:sz w:val="21"/>
                <w:szCs w:val="24"/>
              </w:rPr>
              <w:t>6</w:t>
            </w:r>
          </w:p>
        </w:tc>
        <w:tc>
          <w:tcPr>
            <w:tcW w:w="1204" w:type="pct"/>
            <w:vAlign w:val="center"/>
          </w:tcPr>
          <w:p w14:paraId="0168B284">
            <w:pPr>
              <w:widowControl/>
              <w:adjustRightInd w:val="0"/>
              <w:snapToGrid w:val="0"/>
              <w:spacing w:line="240" w:lineRule="auto"/>
              <w:ind w:firstLine="0" w:firstLineChars="0"/>
              <w:jc w:val="center"/>
              <w:rPr>
                <w:snapToGrid w:val="0"/>
                <w:sz w:val="21"/>
                <w:szCs w:val="24"/>
              </w:rPr>
            </w:pPr>
            <w:r>
              <w:rPr>
                <w:snapToGrid w:val="0"/>
                <w:sz w:val="21"/>
                <w:szCs w:val="24"/>
              </w:rPr>
              <w:t>采场宽度</w:t>
            </w:r>
          </w:p>
        </w:tc>
        <w:tc>
          <w:tcPr>
            <w:tcW w:w="506" w:type="pct"/>
            <w:vAlign w:val="center"/>
          </w:tcPr>
          <w:p w14:paraId="289523A2">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7C84C1BC">
            <w:pPr>
              <w:widowControl/>
              <w:adjustRightInd w:val="0"/>
              <w:snapToGrid w:val="0"/>
              <w:spacing w:line="240" w:lineRule="auto"/>
              <w:ind w:firstLine="0" w:firstLineChars="0"/>
              <w:jc w:val="center"/>
              <w:rPr>
                <w:snapToGrid w:val="0"/>
                <w:sz w:val="21"/>
                <w:szCs w:val="24"/>
              </w:rPr>
            </w:pPr>
            <w:r>
              <w:rPr>
                <w:snapToGrid w:val="0"/>
                <w:sz w:val="21"/>
                <w:szCs w:val="24"/>
              </w:rPr>
              <w:t>矿体厚度</w:t>
            </w:r>
          </w:p>
        </w:tc>
      </w:tr>
      <w:tr w14:paraId="73863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5A909E24">
            <w:pPr>
              <w:widowControl/>
              <w:adjustRightInd w:val="0"/>
              <w:snapToGrid w:val="0"/>
              <w:spacing w:line="240" w:lineRule="auto"/>
              <w:ind w:firstLine="0" w:firstLineChars="0"/>
              <w:jc w:val="center"/>
              <w:rPr>
                <w:snapToGrid w:val="0"/>
                <w:sz w:val="21"/>
                <w:szCs w:val="24"/>
              </w:rPr>
            </w:pPr>
            <w:r>
              <w:rPr>
                <w:snapToGrid w:val="0"/>
                <w:sz w:val="21"/>
                <w:szCs w:val="24"/>
              </w:rPr>
              <w:t>7</w:t>
            </w:r>
          </w:p>
        </w:tc>
        <w:tc>
          <w:tcPr>
            <w:tcW w:w="1204" w:type="pct"/>
            <w:vAlign w:val="center"/>
          </w:tcPr>
          <w:p w14:paraId="790FBCAB">
            <w:pPr>
              <w:widowControl/>
              <w:adjustRightInd w:val="0"/>
              <w:snapToGrid w:val="0"/>
              <w:spacing w:line="240" w:lineRule="auto"/>
              <w:ind w:firstLine="0" w:firstLineChars="0"/>
              <w:jc w:val="center"/>
              <w:rPr>
                <w:snapToGrid w:val="0"/>
                <w:sz w:val="21"/>
                <w:szCs w:val="24"/>
              </w:rPr>
            </w:pPr>
            <w:r>
              <w:rPr>
                <w:snapToGrid w:val="0"/>
                <w:sz w:val="21"/>
                <w:szCs w:val="24"/>
              </w:rPr>
              <w:t>矿房</w:t>
            </w:r>
            <w:r>
              <w:rPr>
                <w:rFonts w:hint="eastAsia"/>
                <w:snapToGrid w:val="0"/>
                <w:sz w:val="21"/>
                <w:szCs w:val="24"/>
              </w:rPr>
              <w:t>长</w:t>
            </w:r>
            <w:r>
              <w:rPr>
                <w:snapToGrid w:val="0"/>
                <w:sz w:val="21"/>
                <w:szCs w:val="24"/>
              </w:rPr>
              <w:t>度</w:t>
            </w:r>
          </w:p>
        </w:tc>
        <w:tc>
          <w:tcPr>
            <w:tcW w:w="506" w:type="pct"/>
            <w:vAlign w:val="center"/>
          </w:tcPr>
          <w:p w14:paraId="6BC5D40B">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1F64A7CE">
            <w:pPr>
              <w:widowControl/>
              <w:adjustRightInd w:val="0"/>
              <w:snapToGrid w:val="0"/>
              <w:spacing w:line="240" w:lineRule="auto"/>
              <w:ind w:firstLine="0" w:firstLineChars="0"/>
              <w:jc w:val="center"/>
              <w:rPr>
                <w:snapToGrid w:val="0"/>
                <w:sz w:val="21"/>
                <w:szCs w:val="24"/>
              </w:rPr>
            </w:pPr>
            <w:r>
              <w:rPr>
                <w:snapToGrid w:val="0"/>
                <w:sz w:val="21"/>
                <w:szCs w:val="24"/>
              </w:rPr>
              <w:t>40</w:t>
            </w:r>
          </w:p>
        </w:tc>
      </w:tr>
      <w:tr w14:paraId="721D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5" w:type="pct"/>
            <w:vAlign w:val="center"/>
          </w:tcPr>
          <w:p w14:paraId="7FC87948">
            <w:pPr>
              <w:widowControl/>
              <w:adjustRightInd w:val="0"/>
              <w:snapToGrid w:val="0"/>
              <w:spacing w:line="240" w:lineRule="auto"/>
              <w:ind w:firstLine="0" w:firstLineChars="0"/>
              <w:jc w:val="center"/>
              <w:rPr>
                <w:snapToGrid w:val="0"/>
                <w:sz w:val="21"/>
                <w:szCs w:val="24"/>
              </w:rPr>
            </w:pPr>
            <w:r>
              <w:rPr>
                <w:snapToGrid w:val="0"/>
                <w:sz w:val="21"/>
                <w:szCs w:val="24"/>
              </w:rPr>
              <w:t>8</w:t>
            </w:r>
          </w:p>
        </w:tc>
        <w:tc>
          <w:tcPr>
            <w:tcW w:w="1204" w:type="pct"/>
            <w:vAlign w:val="center"/>
          </w:tcPr>
          <w:p w14:paraId="48E1CA26">
            <w:pPr>
              <w:widowControl/>
              <w:adjustRightInd w:val="0"/>
              <w:snapToGrid w:val="0"/>
              <w:spacing w:line="240" w:lineRule="auto"/>
              <w:ind w:firstLine="0" w:firstLineChars="0"/>
              <w:jc w:val="center"/>
              <w:rPr>
                <w:snapToGrid w:val="0"/>
                <w:sz w:val="21"/>
                <w:szCs w:val="24"/>
              </w:rPr>
            </w:pPr>
            <w:r>
              <w:rPr>
                <w:snapToGrid w:val="0"/>
                <w:sz w:val="21"/>
                <w:szCs w:val="24"/>
              </w:rPr>
              <w:t>矿柱宽度</w:t>
            </w:r>
          </w:p>
        </w:tc>
        <w:tc>
          <w:tcPr>
            <w:tcW w:w="506" w:type="pct"/>
            <w:vAlign w:val="center"/>
          </w:tcPr>
          <w:p w14:paraId="1914EB8C">
            <w:pPr>
              <w:widowControl/>
              <w:adjustRightInd w:val="0"/>
              <w:snapToGrid w:val="0"/>
              <w:spacing w:line="240" w:lineRule="auto"/>
              <w:ind w:firstLine="0" w:firstLineChars="0"/>
              <w:jc w:val="center"/>
              <w:rPr>
                <w:snapToGrid w:val="0"/>
                <w:sz w:val="21"/>
                <w:szCs w:val="24"/>
              </w:rPr>
            </w:pPr>
            <w:r>
              <w:rPr>
                <w:snapToGrid w:val="0"/>
                <w:sz w:val="21"/>
                <w:szCs w:val="24"/>
              </w:rPr>
              <w:t>m</w:t>
            </w:r>
          </w:p>
        </w:tc>
        <w:tc>
          <w:tcPr>
            <w:tcW w:w="2784" w:type="pct"/>
            <w:vAlign w:val="center"/>
          </w:tcPr>
          <w:p w14:paraId="529D283C">
            <w:pPr>
              <w:widowControl/>
              <w:adjustRightInd w:val="0"/>
              <w:snapToGrid w:val="0"/>
              <w:spacing w:line="240" w:lineRule="auto"/>
              <w:ind w:firstLine="0" w:firstLineChars="0"/>
              <w:jc w:val="center"/>
              <w:rPr>
                <w:snapToGrid w:val="0"/>
                <w:sz w:val="21"/>
                <w:szCs w:val="24"/>
              </w:rPr>
            </w:pPr>
            <w:r>
              <w:rPr>
                <w:snapToGrid w:val="0"/>
                <w:sz w:val="21"/>
                <w:szCs w:val="24"/>
              </w:rPr>
              <w:t>5</w:t>
            </w:r>
          </w:p>
        </w:tc>
      </w:tr>
    </w:tbl>
    <w:p w14:paraId="0364786D">
      <w:pPr>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w:t>
      </w:r>
      <w:r>
        <w:rPr>
          <w:rFonts w:asciiTheme="minorHAnsi" w:hAnsiTheme="minorHAnsi" w:cstheme="minorHAnsi"/>
          <w:b/>
          <w:szCs w:val="28"/>
        </w:rPr>
        <w:t>4</w:t>
      </w:r>
      <w:r>
        <w:rPr>
          <w:rFonts w:hint="eastAsia" w:asciiTheme="minorHAnsi" w:hAnsiTheme="minorHAnsi" w:cstheme="minorHAnsi"/>
          <w:b/>
          <w:szCs w:val="28"/>
        </w:rPr>
        <w:t>）矿柱回收</w:t>
      </w:r>
    </w:p>
    <w:p w14:paraId="406CB1D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留设的盘区间柱，待本阶段矿体回采完毕或整个一期矿体回采完毕后再进行回收。间柱回收考虑采用分段凿岩阶段空场法嗣后充填法，多个矿柱同时回采。阶段回采顺序由下至上，阶段内由上盘开始后退式回采，1、2号矿体间柱单采场能力约1500t/d，5、6号矿体间柱单采场能力约为300t/d，1条1、2号矿体间柱，1条5、6号矿体间柱一同回收，其生产能力约为60万t/a。采出的矿石通过溜井溜放到-835m运输水平，卸至主溜井破碎后通过胶带斜井、主井提出地表。回采后的采空区进行充填。</w:t>
      </w:r>
    </w:p>
    <w:p w14:paraId="2F227BD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-475m~-505m之间的水平隔离矿柱，待矿山二期生产后期，在综合研究矿山地压显现规律的基础上，对水平隔离矿柱的开采方案再进行专门论证，届时如条件许可，可采用上向水平分层充填法或上向进路充填法对护顶矿柱进行回收。</w:t>
      </w:r>
    </w:p>
    <w:p w14:paraId="52AC8A5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（5）充填系统</w:t>
      </w:r>
    </w:p>
    <w:p w14:paraId="70C06E2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开采彭集矿段-505m~-805m之间矿体和冯家庄矿段-100m~-475m之间矿体，二期投产后与一期同时生产，采用阶段空场嗣后充填采矿法和分段空场嗣后充填采矿法；一期生产结束后，二期单独生产采用分段空场嗣后充填采矿法，彭集深部采场采出矿石的废石混入率为13.98%，冯家庄矿段采场采区矿石的废石混入率为7%。矿岩物理性质和矿山工作制度均与一期相同。</w:t>
      </w:r>
    </w:p>
    <w:p w14:paraId="214F80B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设计采用全尾砂胶结充填，利用选矿厂产出的尾矿作为充填骨料（尾矿密度2.9t/m</w:t>
      </w:r>
      <w:r>
        <w:rPr>
          <w:rFonts w:asciiTheme="minorHAnsi" w:hAnsiTheme="minorHAnsi" w:cstheme="minorHAnsi"/>
          <w:szCs w:val="28"/>
          <w:vertAlign w:val="superscript"/>
        </w:rPr>
        <w:t>3</w:t>
      </w:r>
      <w:r>
        <w:rPr>
          <w:rFonts w:hint="eastAsia" w:asciiTheme="minorHAnsi" w:hAnsiTheme="minorHAnsi" w:cstheme="minorHAnsi"/>
          <w:szCs w:val="28"/>
        </w:rPr>
        <w:t>），通过添加不同配比的胶固粉形成胶结充填料对采空区进行充填。利用一期已建成的充填站，担负全矿各水平采场的充填任务。</w:t>
      </w:r>
    </w:p>
    <w:p w14:paraId="76F90E4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投产后与一期同时生产，充填料浆浓度、灰砂比、采场不同灰砂比的分布情况、充填材料消耗量和日充填时间等均与一期相同。二期单独生产时，采用分段空场嗣后充填采矿法，采场结构参数（长×宽×高）：40×矿厚×75m，采场顶部2m采用灰砂比1:6的胶结充填料，剩余部分采用灰砂比1:20的胶结充填料。</w:t>
      </w:r>
    </w:p>
    <w:p w14:paraId="6004E24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1）充填站配置</w:t>
      </w:r>
    </w:p>
    <w:p w14:paraId="3669CBB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继续利用一期已建成的充填站和相关设施，担负全矿井下各水平采场的充填任务。二期投产后与一期同时生产，充填系统各设备的工作台数均与一期相同。二期单独生产时，1套搅拌系统负责彭集深部的充填任务，1套搅拌系统负责冯家庄矿段的充填任务，另1套搅拌系统备用，处理能力不变。</w:t>
      </w:r>
    </w:p>
    <w:p w14:paraId="13B8B9A5">
      <w:pPr>
        <w:snapToGrid w:val="0"/>
        <w:spacing w:line="360" w:lineRule="auto"/>
        <w:ind w:firstLine="560"/>
        <w:rPr>
          <w:rFonts w:asciiTheme="minorHAnsi" w:hAnsiTheme="minorHAnsi" w:cstheme="minorHAnsi"/>
          <w:szCs w:val="28"/>
        </w:rPr>
      </w:pPr>
      <w:r>
        <w:rPr>
          <w:rFonts w:asciiTheme="minorHAnsi" w:hAnsiTheme="minorHAnsi" w:cstheme="minorHAnsi"/>
          <w:szCs w:val="28"/>
        </w:rPr>
        <w:t>2</w:t>
      </w:r>
      <w:r>
        <w:rPr>
          <w:rFonts w:hint="eastAsia" w:asciiTheme="minorHAnsi" w:hAnsiTheme="minorHAnsi" w:cstheme="minorHAnsi"/>
          <w:szCs w:val="28"/>
        </w:rPr>
        <w:t>）充填料输送</w:t>
      </w:r>
    </w:p>
    <w:p w14:paraId="30B6AF1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①充填钻孔及充填管道配置</w:t>
      </w:r>
    </w:p>
    <w:p w14:paraId="6B677EA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为满足彭集深部矿体的充填需要，二期在充填站外新建2条充填钻孔，钻孔内套管用作充填料浆输送管，1条工作，1条备用；井下平巷内设置1根充填管道，料浆输送量为175m</w:t>
      </w:r>
      <w:r>
        <w:rPr>
          <w:rFonts w:hint="eastAsia" w:asciiTheme="minorHAnsi" w:hAnsiTheme="minorHAnsi" w:cstheme="minorHAnsi"/>
          <w:szCs w:val="28"/>
          <w:vertAlign w:val="superscript"/>
        </w:rPr>
        <w:t>3</w:t>
      </w:r>
      <w:r>
        <w:rPr>
          <w:rFonts w:hint="eastAsia" w:asciiTheme="minorHAnsi" w:hAnsiTheme="minorHAnsi" w:cstheme="minorHAnsi"/>
          <w:szCs w:val="28"/>
        </w:rPr>
        <w:t>/h~210m</w:t>
      </w:r>
      <w:r>
        <w:rPr>
          <w:rFonts w:hint="eastAsia" w:asciiTheme="minorHAnsi" w:hAnsiTheme="minorHAnsi" w:cstheme="minorHAnsi"/>
          <w:szCs w:val="28"/>
          <w:vertAlign w:val="superscript"/>
        </w:rPr>
        <w:t>3</w:t>
      </w:r>
      <w:r>
        <w:rPr>
          <w:rFonts w:hint="eastAsia" w:asciiTheme="minorHAnsi" w:hAnsiTheme="minorHAnsi" w:cstheme="minorHAnsi"/>
          <w:szCs w:val="28"/>
        </w:rPr>
        <w:t>/h。竖直钻孔内套管选用Φ219×28双金属耐磨复合管，内径163mm，料浆流速为2.33m/s~2.80m/s；水平巷道内主充填管道选用规格为Φ219×22的16Mn无缝钢管和SSMPE-KCT 10/225矿用钢丝增强聚乙烯耐磨充填复合管，内径分别为175mm和183mm，料浆流速分别为2.02m/s~2.43m/s和1.85m/s~2.22m/s。</w:t>
      </w:r>
    </w:p>
    <w:p w14:paraId="7C73F967">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为满足冯家庄矿段矿体的充填需要，二期在充填站至冯家庄副井工业场地之间埋地敷设2条充填管道，1条工作，1条备用；在冯家庄副井工业场地内新建2条充填钻孔，钻孔内套管用作充填料浆输送管，1条工作，1条备用；井下平巷内设置1根充填管道，料浆输送量为175m</w:t>
      </w:r>
      <w:r>
        <w:rPr>
          <w:rFonts w:hint="eastAsia" w:asciiTheme="minorHAnsi" w:hAnsiTheme="minorHAnsi" w:cstheme="minorHAnsi"/>
          <w:szCs w:val="28"/>
          <w:vertAlign w:val="superscript"/>
        </w:rPr>
        <w:t>3</w:t>
      </w:r>
      <w:r>
        <w:rPr>
          <w:rFonts w:hint="eastAsia" w:asciiTheme="minorHAnsi" w:hAnsiTheme="minorHAnsi" w:cstheme="minorHAnsi"/>
          <w:szCs w:val="28"/>
        </w:rPr>
        <w:t>/h~210m</w:t>
      </w:r>
      <w:r>
        <w:rPr>
          <w:rFonts w:hint="eastAsia" w:asciiTheme="minorHAnsi" w:hAnsiTheme="minorHAnsi" w:cstheme="minorHAnsi"/>
          <w:szCs w:val="28"/>
          <w:vertAlign w:val="superscript"/>
        </w:rPr>
        <w:t>3</w:t>
      </w:r>
      <w:r>
        <w:rPr>
          <w:rFonts w:hint="eastAsia" w:asciiTheme="minorHAnsi" w:hAnsiTheme="minorHAnsi" w:cstheme="minorHAnsi"/>
          <w:szCs w:val="28"/>
        </w:rPr>
        <w:t>/h。埋地充填管道选用Φ219×28的双金属耐磨复合管和SSMPE-KCT 10/225矿用钢丝增强聚乙烯耐磨充填复合管，内径分别为163mm和183mm，料浆流速分别为2.33m/s~2.80m/s和1.85m/s~2.22m/s；竖直钻孔内套管选用Φ219×24双金属耐磨复合管，内径171mm，充填料浆流速为2.12m/s~2.54m/s；水平巷道内主充填管道选用规格为Φ219×18的16Mn无缝钢管和SSMPE-KCT 10/225矿用钢丝增强聚乙烯耐磨充填复合管，内径为183mm，充填料浆流速为1.85m/s~2.22m/s。</w:t>
      </w:r>
    </w:p>
    <w:p w14:paraId="0833F21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②充填输送倍线</w:t>
      </w:r>
    </w:p>
    <w:p w14:paraId="53C7B66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二期彭集深部各充填水平的最大充填倍线见表</w:t>
      </w:r>
      <w:r>
        <w:rPr>
          <w:rFonts w:asciiTheme="minorHAnsi" w:hAnsiTheme="minorHAnsi" w:cstheme="minorHAnsi"/>
          <w:szCs w:val="28"/>
        </w:rPr>
        <w:t>2.4-6</w:t>
      </w:r>
      <w:r>
        <w:rPr>
          <w:rFonts w:hint="eastAsia" w:asciiTheme="minorHAnsi" w:hAnsiTheme="minorHAnsi" w:cstheme="minorHAnsi"/>
          <w:szCs w:val="28"/>
        </w:rPr>
        <w:t>，二期冯家庄矿段各充填水平的最大充填倍线见表</w:t>
      </w:r>
      <w:r>
        <w:rPr>
          <w:rFonts w:asciiTheme="minorHAnsi" w:hAnsiTheme="minorHAnsi" w:cstheme="minorHAnsi"/>
          <w:szCs w:val="28"/>
        </w:rPr>
        <w:t>2.4-7</w:t>
      </w:r>
      <w:r>
        <w:rPr>
          <w:rFonts w:hint="eastAsia" w:asciiTheme="minorHAnsi" w:hAnsiTheme="minorHAnsi" w:cstheme="minorHAnsi"/>
          <w:szCs w:val="28"/>
        </w:rPr>
        <w:t>。</w:t>
      </w:r>
    </w:p>
    <w:p w14:paraId="760A4547">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.4-6</w:t>
      </w:r>
      <w:r>
        <w:rPr>
          <w:rFonts w:hint="eastAsia" w:asciiTheme="minorHAnsi" w:hAnsiTheme="minorHAnsi" w:cstheme="minorHAnsi"/>
          <w:szCs w:val="28"/>
        </w:rPr>
        <w:t>二期彭集深部各充填水平最大充填倍线</w:t>
      </w:r>
    </w:p>
    <w:tbl>
      <w:tblPr>
        <w:tblStyle w:val="54"/>
        <w:tblW w:w="90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3403"/>
        <w:gridCol w:w="1221"/>
        <w:gridCol w:w="1221"/>
        <w:gridCol w:w="1221"/>
        <w:gridCol w:w="1223"/>
      </w:tblGrid>
      <w:tr w14:paraId="67B88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restart"/>
            <w:vAlign w:val="center"/>
          </w:tcPr>
          <w:p w14:paraId="0310AE8E">
            <w:pPr>
              <w:pStyle w:val="191"/>
              <w:snapToGrid w:val="0"/>
              <w:spacing w:line="240" w:lineRule="auto"/>
              <w:ind w:firstLine="0" w:firstLineChars="0"/>
              <w:jc w:val="center"/>
              <w:rPr>
                <w:sz w:val="21"/>
              </w:rPr>
            </w:pPr>
            <w:r>
              <w:rPr>
                <w:rFonts w:hint="eastAsia"/>
                <w:sz w:val="21"/>
              </w:rPr>
              <w:t>序号</w:t>
            </w:r>
          </w:p>
        </w:tc>
        <w:tc>
          <w:tcPr>
            <w:tcW w:w="3403" w:type="dxa"/>
            <w:vMerge w:val="restart"/>
            <w:vAlign w:val="center"/>
          </w:tcPr>
          <w:p w14:paraId="32053782">
            <w:pPr>
              <w:pStyle w:val="191"/>
              <w:snapToGrid w:val="0"/>
              <w:spacing w:line="240" w:lineRule="auto"/>
              <w:ind w:firstLine="0" w:firstLineChars="0"/>
              <w:jc w:val="center"/>
              <w:rPr>
                <w:sz w:val="21"/>
              </w:rPr>
            </w:pPr>
            <w:r>
              <w:rPr>
                <w:rFonts w:hint="eastAsia"/>
                <w:sz w:val="21"/>
              </w:rPr>
              <w:t>项目</w:t>
            </w:r>
          </w:p>
        </w:tc>
        <w:tc>
          <w:tcPr>
            <w:tcW w:w="4886" w:type="dxa"/>
            <w:gridSpan w:val="4"/>
            <w:vAlign w:val="center"/>
          </w:tcPr>
          <w:p w14:paraId="0D2F395E">
            <w:pPr>
              <w:pStyle w:val="191"/>
              <w:snapToGrid w:val="0"/>
              <w:spacing w:line="240" w:lineRule="auto"/>
              <w:ind w:firstLine="0" w:firstLineChars="0"/>
              <w:jc w:val="center"/>
              <w:rPr>
                <w:sz w:val="21"/>
              </w:rPr>
            </w:pPr>
            <w:r>
              <w:rPr>
                <w:rFonts w:hint="eastAsia"/>
                <w:sz w:val="21"/>
              </w:rPr>
              <w:t>充填水平</w:t>
            </w:r>
          </w:p>
        </w:tc>
      </w:tr>
      <w:tr w14:paraId="371BD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continue"/>
            <w:vAlign w:val="center"/>
          </w:tcPr>
          <w:p w14:paraId="2DE11AA6">
            <w:pPr>
              <w:pStyle w:val="191"/>
              <w:snapToGrid w:val="0"/>
              <w:spacing w:line="240" w:lineRule="auto"/>
              <w:ind w:firstLine="0" w:firstLineChars="0"/>
              <w:jc w:val="center"/>
              <w:rPr>
                <w:sz w:val="21"/>
              </w:rPr>
            </w:pPr>
          </w:p>
        </w:tc>
        <w:tc>
          <w:tcPr>
            <w:tcW w:w="3403" w:type="dxa"/>
            <w:vMerge w:val="continue"/>
            <w:vAlign w:val="center"/>
          </w:tcPr>
          <w:p w14:paraId="2FC822EE">
            <w:pPr>
              <w:pStyle w:val="191"/>
              <w:snapToGrid w:val="0"/>
              <w:spacing w:line="240" w:lineRule="auto"/>
              <w:ind w:firstLine="0" w:firstLineChars="0"/>
              <w:jc w:val="center"/>
              <w:rPr>
                <w:sz w:val="21"/>
              </w:rPr>
            </w:pPr>
          </w:p>
        </w:tc>
        <w:tc>
          <w:tcPr>
            <w:tcW w:w="1221" w:type="dxa"/>
            <w:vAlign w:val="center"/>
          </w:tcPr>
          <w:p w14:paraId="2BF0C906">
            <w:pPr>
              <w:pStyle w:val="191"/>
              <w:snapToGrid w:val="0"/>
              <w:spacing w:line="240" w:lineRule="auto"/>
              <w:ind w:firstLine="0" w:firstLineChars="0"/>
              <w:jc w:val="center"/>
              <w:rPr>
                <w:sz w:val="21"/>
              </w:rPr>
            </w:pPr>
            <w:r>
              <w:rPr>
                <w:sz w:val="21"/>
              </w:rPr>
              <w:t>-</w:t>
            </w:r>
            <w:r>
              <w:rPr>
                <w:rFonts w:hint="eastAsia"/>
                <w:sz w:val="21"/>
              </w:rPr>
              <w:t>730</w:t>
            </w:r>
            <w:r>
              <w:rPr>
                <w:sz w:val="21"/>
              </w:rPr>
              <w:t>m</w:t>
            </w:r>
          </w:p>
        </w:tc>
        <w:tc>
          <w:tcPr>
            <w:tcW w:w="1221" w:type="dxa"/>
            <w:vAlign w:val="center"/>
          </w:tcPr>
          <w:p w14:paraId="4F5CA65F">
            <w:pPr>
              <w:pStyle w:val="191"/>
              <w:snapToGrid w:val="0"/>
              <w:spacing w:line="240" w:lineRule="auto"/>
              <w:ind w:firstLine="0" w:firstLineChars="0"/>
              <w:jc w:val="center"/>
              <w:rPr>
                <w:sz w:val="21"/>
              </w:rPr>
            </w:pPr>
            <w:r>
              <w:rPr>
                <w:sz w:val="21"/>
              </w:rPr>
              <w:t>-</w:t>
            </w:r>
            <w:r>
              <w:rPr>
                <w:rFonts w:hint="eastAsia"/>
                <w:sz w:val="21"/>
              </w:rPr>
              <w:t>655</w:t>
            </w:r>
            <w:r>
              <w:rPr>
                <w:sz w:val="21"/>
              </w:rPr>
              <w:t>m</w:t>
            </w:r>
          </w:p>
        </w:tc>
        <w:tc>
          <w:tcPr>
            <w:tcW w:w="1221" w:type="dxa"/>
            <w:vAlign w:val="center"/>
          </w:tcPr>
          <w:p w14:paraId="30677762">
            <w:pPr>
              <w:pStyle w:val="191"/>
              <w:snapToGrid w:val="0"/>
              <w:spacing w:line="240" w:lineRule="auto"/>
              <w:ind w:firstLine="0" w:firstLineChars="0"/>
              <w:jc w:val="center"/>
              <w:rPr>
                <w:sz w:val="21"/>
              </w:rPr>
            </w:pPr>
            <w:r>
              <w:rPr>
                <w:sz w:val="21"/>
              </w:rPr>
              <w:t>-</w:t>
            </w:r>
            <w:r>
              <w:rPr>
                <w:rFonts w:hint="eastAsia"/>
                <w:sz w:val="21"/>
              </w:rPr>
              <w:t>580</w:t>
            </w:r>
            <w:r>
              <w:rPr>
                <w:sz w:val="21"/>
              </w:rPr>
              <w:t>m</w:t>
            </w:r>
          </w:p>
        </w:tc>
        <w:tc>
          <w:tcPr>
            <w:tcW w:w="1223" w:type="dxa"/>
            <w:vAlign w:val="center"/>
          </w:tcPr>
          <w:p w14:paraId="0C5BC186">
            <w:pPr>
              <w:pStyle w:val="191"/>
              <w:snapToGrid w:val="0"/>
              <w:spacing w:line="240" w:lineRule="auto"/>
              <w:ind w:firstLine="0" w:firstLineChars="0"/>
              <w:jc w:val="center"/>
              <w:rPr>
                <w:sz w:val="21"/>
              </w:rPr>
            </w:pPr>
            <w:r>
              <w:rPr>
                <w:sz w:val="21"/>
              </w:rPr>
              <w:t>-</w:t>
            </w:r>
            <w:r>
              <w:rPr>
                <w:rFonts w:hint="eastAsia"/>
                <w:sz w:val="21"/>
              </w:rPr>
              <w:t>505</w:t>
            </w:r>
            <w:r>
              <w:rPr>
                <w:sz w:val="21"/>
              </w:rPr>
              <w:t>m</w:t>
            </w:r>
          </w:p>
        </w:tc>
      </w:tr>
      <w:tr w14:paraId="53E9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427E14DC">
            <w:pPr>
              <w:pStyle w:val="191"/>
              <w:snapToGrid w:val="0"/>
              <w:spacing w:line="240" w:lineRule="auto"/>
              <w:ind w:firstLine="0" w:firstLineChars="0"/>
              <w:jc w:val="center"/>
              <w:rPr>
                <w:sz w:val="21"/>
              </w:rPr>
            </w:pPr>
            <w:r>
              <w:rPr>
                <w:sz w:val="21"/>
              </w:rPr>
              <w:t>1</w:t>
            </w:r>
          </w:p>
        </w:tc>
        <w:tc>
          <w:tcPr>
            <w:tcW w:w="3403" w:type="dxa"/>
            <w:vAlign w:val="center"/>
          </w:tcPr>
          <w:p w14:paraId="79F321E5">
            <w:pPr>
              <w:pStyle w:val="191"/>
              <w:snapToGrid w:val="0"/>
              <w:spacing w:line="240" w:lineRule="auto"/>
              <w:ind w:firstLine="0" w:firstLineChars="0"/>
              <w:jc w:val="center"/>
              <w:rPr>
                <w:sz w:val="21"/>
              </w:rPr>
            </w:pPr>
            <w:r>
              <w:rPr>
                <w:rFonts w:hint="eastAsia"/>
                <w:sz w:val="21"/>
              </w:rPr>
              <w:t>充填站至采场的高差（</w:t>
            </w:r>
            <w:r>
              <w:rPr>
                <w:sz w:val="21"/>
              </w:rPr>
              <w:t>m</w:t>
            </w:r>
            <w:r>
              <w:rPr>
                <w:rFonts w:hint="eastAsia"/>
                <w:sz w:val="21"/>
              </w:rPr>
              <w:t>）</w:t>
            </w:r>
          </w:p>
        </w:tc>
        <w:tc>
          <w:tcPr>
            <w:tcW w:w="1221" w:type="dxa"/>
            <w:vAlign w:val="center"/>
          </w:tcPr>
          <w:p w14:paraId="7F68568F">
            <w:pPr>
              <w:pStyle w:val="191"/>
              <w:snapToGrid w:val="0"/>
              <w:spacing w:line="240" w:lineRule="auto"/>
              <w:ind w:firstLine="0" w:firstLineChars="0"/>
              <w:jc w:val="center"/>
              <w:rPr>
                <w:sz w:val="21"/>
              </w:rPr>
            </w:pPr>
            <w:r>
              <w:rPr>
                <w:rFonts w:hint="eastAsia"/>
                <w:sz w:val="21"/>
              </w:rPr>
              <w:t>777</w:t>
            </w:r>
          </w:p>
        </w:tc>
        <w:tc>
          <w:tcPr>
            <w:tcW w:w="1221" w:type="dxa"/>
            <w:vAlign w:val="center"/>
          </w:tcPr>
          <w:p w14:paraId="60CD9C44">
            <w:pPr>
              <w:pStyle w:val="191"/>
              <w:snapToGrid w:val="0"/>
              <w:spacing w:line="240" w:lineRule="auto"/>
              <w:ind w:firstLine="0" w:firstLineChars="0"/>
              <w:jc w:val="center"/>
              <w:rPr>
                <w:sz w:val="21"/>
              </w:rPr>
            </w:pPr>
            <w:r>
              <w:rPr>
                <w:rFonts w:hint="eastAsia"/>
                <w:sz w:val="21"/>
              </w:rPr>
              <w:t>702</w:t>
            </w:r>
          </w:p>
        </w:tc>
        <w:tc>
          <w:tcPr>
            <w:tcW w:w="1221" w:type="dxa"/>
            <w:vAlign w:val="center"/>
          </w:tcPr>
          <w:p w14:paraId="4AF0C155">
            <w:pPr>
              <w:pStyle w:val="191"/>
              <w:snapToGrid w:val="0"/>
              <w:spacing w:line="240" w:lineRule="auto"/>
              <w:ind w:firstLine="0" w:firstLineChars="0"/>
              <w:jc w:val="center"/>
              <w:rPr>
                <w:sz w:val="21"/>
              </w:rPr>
            </w:pPr>
            <w:r>
              <w:rPr>
                <w:rFonts w:hint="eastAsia"/>
                <w:sz w:val="21"/>
              </w:rPr>
              <w:t>627</w:t>
            </w:r>
          </w:p>
        </w:tc>
        <w:tc>
          <w:tcPr>
            <w:tcW w:w="1223" w:type="dxa"/>
            <w:vAlign w:val="center"/>
          </w:tcPr>
          <w:p w14:paraId="1135B18C">
            <w:pPr>
              <w:pStyle w:val="191"/>
              <w:snapToGrid w:val="0"/>
              <w:spacing w:line="240" w:lineRule="auto"/>
              <w:ind w:firstLine="0" w:firstLineChars="0"/>
              <w:jc w:val="center"/>
              <w:rPr>
                <w:sz w:val="21"/>
              </w:rPr>
            </w:pPr>
            <w:r>
              <w:rPr>
                <w:rFonts w:hint="eastAsia"/>
                <w:sz w:val="21"/>
              </w:rPr>
              <w:t>552</w:t>
            </w:r>
          </w:p>
        </w:tc>
      </w:tr>
      <w:tr w14:paraId="301D1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2EFB8184">
            <w:pPr>
              <w:pStyle w:val="191"/>
              <w:snapToGrid w:val="0"/>
              <w:spacing w:line="240" w:lineRule="auto"/>
              <w:ind w:firstLine="0" w:firstLineChars="0"/>
              <w:jc w:val="center"/>
              <w:rPr>
                <w:sz w:val="21"/>
              </w:rPr>
            </w:pPr>
            <w:r>
              <w:rPr>
                <w:rFonts w:hint="eastAsia"/>
                <w:sz w:val="21"/>
              </w:rPr>
              <w:t>2</w:t>
            </w:r>
          </w:p>
        </w:tc>
        <w:tc>
          <w:tcPr>
            <w:tcW w:w="3403" w:type="dxa"/>
            <w:vAlign w:val="center"/>
          </w:tcPr>
          <w:p w14:paraId="01A46851">
            <w:pPr>
              <w:pStyle w:val="191"/>
              <w:snapToGrid w:val="0"/>
              <w:spacing w:line="240" w:lineRule="auto"/>
              <w:ind w:firstLine="0" w:firstLineChars="0"/>
              <w:jc w:val="center"/>
              <w:rPr>
                <w:sz w:val="21"/>
              </w:rPr>
            </w:pPr>
            <w:r>
              <w:rPr>
                <w:rFonts w:hint="eastAsia"/>
                <w:sz w:val="21"/>
              </w:rPr>
              <w:t>井下最大水平输送距离（</w:t>
            </w:r>
            <w:r>
              <w:rPr>
                <w:sz w:val="21"/>
              </w:rPr>
              <w:t>m</w:t>
            </w:r>
            <w:r>
              <w:rPr>
                <w:rFonts w:hint="eastAsia"/>
                <w:sz w:val="21"/>
              </w:rPr>
              <w:t>）</w:t>
            </w:r>
          </w:p>
        </w:tc>
        <w:tc>
          <w:tcPr>
            <w:tcW w:w="1221" w:type="dxa"/>
            <w:vAlign w:val="center"/>
          </w:tcPr>
          <w:p w14:paraId="1B42AA38">
            <w:pPr>
              <w:pStyle w:val="191"/>
              <w:snapToGrid w:val="0"/>
              <w:spacing w:line="240" w:lineRule="auto"/>
              <w:ind w:firstLine="0" w:firstLineChars="0"/>
              <w:jc w:val="center"/>
              <w:rPr>
                <w:sz w:val="21"/>
              </w:rPr>
            </w:pPr>
            <w:r>
              <w:rPr>
                <w:rFonts w:hint="eastAsia"/>
                <w:sz w:val="21"/>
              </w:rPr>
              <w:t>1730</w:t>
            </w:r>
          </w:p>
        </w:tc>
        <w:tc>
          <w:tcPr>
            <w:tcW w:w="1221" w:type="dxa"/>
            <w:vAlign w:val="center"/>
          </w:tcPr>
          <w:p w14:paraId="6788E210">
            <w:pPr>
              <w:pStyle w:val="191"/>
              <w:snapToGrid w:val="0"/>
              <w:spacing w:line="240" w:lineRule="auto"/>
              <w:ind w:firstLine="0" w:firstLineChars="0"/>
              <w:jc w:val="center"/>
              <w:rPr>
                <w:sz w:val="21"/>
              </w:rPr>
            </w:pPr>
            <w:r>
              <w:rPr>
                <w:rFonts w:hint="eastAsia"/>
                <w:sz w:val="21"/>
              </w:rPr>
              <w:t>3140</w:t>
            </w:r>
          </w:p>
        </w:tc>
        <w:tc>
          <w:tcPr>
            <w:tcW w:w="1221" w:type="dxa"/>
            <w:vAlign w:val="center"/>
          </w:tcPr>
          <w:p w14:paraId="09555C3D">
            <w:pPr>
              <w:pStyle w:val="191"/>
              <w:snapToGrid w:val="0"/>
              <w:spacing w:line="240" w:lineRule="auto"/>
              <w:ind w:firstLine="0" w:firstLineChars="0"/>
              <w:jc w:val="center"/>
              <w:rPr>
                <w:sz w:val="21"/>
              </w:rPr>
            </w:pPr>
            <w:r>
              <w:rPr>
                <w:rFonts w:hint="eastAsia"/>
                <w:sz w:val="21"/>
              </w:rPr>
              <w:t>3110</w:t>
            </w:r>
          </w:p>
        </w:tc>
        <w:tc>
          <w:tcPr>
            <w:tcW w:w="1223" w:type="dxa"/>
            <w:vAlign w:val="center"/>
          </w:tcPr>
          <w:p w14:paraId="2AC058D8">
            <w:pPr>
              <w:pStyle w:val="191"/>
              <w:snapToGrid w:val="0"/>
              <w:spacing w:line="240" w:lineRule="auto"/>
              <w:ind w:firstLine="0" w:firstLineChars="0"/>
              <w:jc w:val="center"/>
              <w:rPr>
                <w:sz w:val="21"/>
              </w:rPr>
            </w:pPr>
            <w:r>
              <w:rPr>
                <w:rFonts w:hint="eastAsia"/>
                <w:sz w:val="21"/>
              </w:rPr>
              <w:t>2955</w:t>
            </w:r>
          </w:p>
        </w:tc>
      </w:tr>
      <w:tr w14:paraId="3963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662D0DE9">
            <w:pPr>
              <w:pStyle w:val="191"/>
              <w:snapToGrid w:val="0"/>
              <w:spacing w:line="240" w:lineRule="auto"/>
              <w:ind w:firstLine="0" w:firstLineChars="0"/>
              <w:jc w:val="center"/>
              <w:rPr>
                <w:sz w:val="21"/>
              </w:rPr>
            </w:pPr>
            <w:r>
              <w:rPr>
                <w:sz w:val="21"/>
              </w:rPr>
              <w:t>3</w:t>
            </w:r>
          </w:p>
        </w:tc>
        <w:tc>
          <w:tcPr>
            <w:tcW w:w="3403" w:type="dxa"/>
            <w:vAlign w:val="center"/>
          </w:tcPr>
          <w:p w14:paraId="697B8F2A">
            <w:pPr>
              <w:pStyle w:val="191"/>
              <w:snapToGrid w:val="0"/>
              <w:spacing w:line="240" w:lineRule="auto"/>
              <w:ind w:firstLine="0" w:firstLineChars="0"/>
              <w:jc w:val="center"/>
              <w:rPr>
                <w:sz w:val="21"/>
              </w:rPr>
            </w:pPr>
            <w:r>
              <w:rPr>
                <w:rFonts w:hint="eastAsia"/>
                <w:sz w:val="21"/>
              </w:rPr>
              <w:t>最大充填倍线</w:t>
            </w:r>
          </w:p>
        </w:tc>
        <w:tc>
          <w:tcPr>
            <w:tcW w:w="1221" w:type="dxa"/>
            <w:vAlign w:val="center"/>
          </w:tcPr>
          <w:p w14:paraId="44303133">
            <w:pPr>
              <w:pStyle w:val="191"/>
              <w:snapToGrid w:val="0"/>
              <w:spacing w:line="240" w:lineRule="auto"/>
              <w:ind w:firstLine="0" w:firstLineChars="0"/>
              <w:jc w:val="center"/>
              <w:rPr>
                <w:sz w:val="21"/>
              </w:rPr>
            </w:pPr>
            <w:r>
              <w:rPr>
                <w:rFonts w:hint="eastAsia"/>
                <w:sz w:val="21"/>
              </w:rPr>
              <w:t>3.23</w:t>
            </w:r>
          </w:p>
        </w:tc>
        <w:tc>
          <w:tcPr>
            <w:tcW w:w="1221" w:type="dxa"/>
            <w:vAlign w:val="center"/>
          </w:tcPr>
          <w:p w14:paraId="07DC3D6F">
            <w:pPr>
              <w:pStyle w:val="191"/>
              <w:snapToGrid w:val="0"/>
              <w:spacing w:line="240" w:lineRule="auto"/>
              <w:ind w:firstLine="0" w:firstLineChars="0"/>
              <w:jc w:val="center"/>
              <w:rPr>
                <w:sz w:val="21"/>
              </w:rPr>
            </w:pPr>
            <w:r>
              <w:rPr>
                <w:rFonts w:hint="eastAsia"/>
                <w:sz w:val="21"/>
              </w:rPr>
              <w:t>5.47</w:t>
            </w:r>
          </w:p>
        </w:tc>
        <w:tc>
          <w:tcPr>
            <w:tcW w:w="1221" w:type="dxa"/>
            <w:vAlign w:val="center"/>
          </w:tcPr>
          <w:p w14:paraId="272D7EE0">
            <w:pPr>
              <w:pStyle w:val="191"/>
              <w:snapToGrid w:val="0"/>
              <w:spacing w:line="240" w:lineRule="auto"/>
              <w:ind w:firstLine="0" w:firstLineChars="0"/>
              <w:jc w:val="center"/>
              <w:rPr>
                <w:sz w:val="21"/>
              </w:rPr>
            </w:pPr>
            <w:r>
              <w:rPr>
                <w:rFonts w:hint="eastAsia"/>
                <w:sz w:val="21"/>
              </w:rPr>
              <w:t>5.96</w:t>
            </w:r>
          </w:p>
        </w:tc>
        <w:tc>
          <w:tcPr>
            <w:tcW w:w="1223" w:type="dxa"/>
            <w:vAlign w:val="center"/>
          </w:tcPr>
          <w:p w14:paraId="17693005">
            <w:pPr>
              <w:pStyle w:val="191"/>
              <w:snapToGrid w:val="0"/>
              <w:spacing w:line="240" w:lineRule="auto"/>
              <w:ind w:firstLine="0" w:firstLineChars="0"/>
              <w:jc w:val="center"/>
              <w:rPr>
                <w:sz w:val="21"/>
              </w:rPr>
            </w:pPr>
            <w:r>
              <w:rPr>
                <w:rFonts w:hint="eastAsia"/>
                <w:sz w:val="21"/>
              </w:rPr>
              <w:t>6.35</w:t>
            </w:r>
          </w:p>
        </w:tc>
      </w:tr>
    </w:tbl>
    <w:p w14:paraId="47642DCF">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 xml:space="preserve">.4-7 </w:t>
      </w:r>
      <w:r>
        <w:rPr>
          <w:rFonts w:hint="eastAsia" w:asciiTheme="minorHAnsi" w:hAnsiTheme="minorHAnsi" w:cstheme="minorHAnsi"/>
          <w:szCs w:val="28"/>
        </w:rPr>
        <w:t>二期冯家庄矿段各充填水平最大充填倍线</w:t>
      </w:r>
    </w:p>
    <w:tbl>
      <w:tblPr>
        <w:tblStyle w:val="54"/>
        <w:tblW w:w="90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3390"/>
        <w:gridCol w:w="979"/>
        <w:gridCol w:w="979"/>
        <w:gridCol w:w="979"/>
        <w:gridCol w:w="979"/>
        <w:gridCol w:w="983"/>
      </w:tblGrid>
      <w:tr w14:paraId="215C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restart"/>
            <w:vAlign w:val="center"/>
          </w:tcPr>
          <w:p w14:paraId="693E266E">
            <w:pPr>
              <w:pStyle w:val="191"/>
              <w:snapToGrid w:val="0"/>
              <w:spacing w:line="240" w:lineRule="auto"/>
              <w:ind w:firstLine="0" w:firstLineChars="0"/>
              <w:jc w:val="center"/>
              <w:rPr>
                <w:sz w:val="21"/>
              </w:rPr>
            </w:pPr>
            <w:r>
              <w:rPr>
                <w:rFonts w:hint="eastAsia"/>
                <w:sz w:val="21"/>
              </w:rPr>
              <w:t>序号</w:t>
            </w:r>
          </w:p>
        </w:tc>
        <w:tc>
          <w:tcPr>
            <w:tcW w:w="3390" w:type="dxa"/>
            <w:vMerge w:val="restart"/>
            <w:vAlign w:val="center"/>
          </w:tcPr>
          <w:p w14:paraId="105527B3">
            <w:pPr>
              <w:pStyle w:val="191"/>
              <w:snapToGrid w:val="0"/>
              <w:spacing w:line="240" w:lineRule="auto"/>
              <w:ind w:firstLine="0" w:firstLineChars="0"/>
              <w:jc w:val="center"/>
              <w:rPr>
                <w:sz w:val="21"/>
              </w:rPr>
            </w:pPr>
            <w:r>
              <w:rPr>
                <w:rFonts w:hint="eastAsia"/>
                <w:sz w:val="21"/>
              </w:rPr>
              <w:t>项目</w:t>
            </w:r>
          </w:p>
        </w:tc>
        <w:tc>
          <w:tcPr>
            <w:tcW w:w="4899" w:type="dxa"/>
            <w:gridSpan w:val="5"/>
            <w:vAlign w:val="center"/>
          </w:tcPr>
          <w:p w14:paraId="2DE0BA6C">
            <w:pPr>
              <w:pStyle w:val="191"/>
              <w:snapToGrid w:val="0"/>
              <w:spacing w:line="240" w:lineRule="auto"/>
              <w:ind w:firstLine="0" w:firstLineChars="0"/>
              <w:jc w:val="center"/>
              <w:rPr>
                <w:sz w:val="21"/>
              </w:rPr>
            </w:pPr>
            <w:r>
              <w:rPr>
                <w:rFonts w:hint="eastAsia"/>
                <w:sz w:val="21"/>
              </w:rPr>
              <w:t>充填水平</w:t>
            </w:r>
          </w:p>
        </w:tc>
      </w:tr>
      <w:tr w14:paraId="6C16E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Merge w:val="continue"/>
            <w:vAlign w:val="center"/>
          </w:tcPr>
          <w:p w14:paraId="75466125">
            <w:pPr>
              <w:pStyle w:val="191"/>
              <w:snapToGrid w:val="0"/>
              <w:spacing w:line="240" w:lineRule="auto"/>
              <w:ind w:firstLine="0" w:firstLineChars="0"/>
              <w:jc w:val="center"/>
              <w:rPr>
                <w:sz w:val="21"/>
              </w:rPr>
            </w:pPr>
          </w:p>
        </w:tc>
        <w:tc>
          <w:tcPr>
            <w:tcW w:w="3390" w:type="dxa"/>
            <w:vMerge w:val="continue"/>
            <w:vAlign w:val="center"/>
          </w:tcPr>
          <w:p w14:paraId="2809C340">
            <w:pPr>
              <w:pStyle w:val="191"/>
              <w:snapToGrid w:val="0"/>
              <w:spacing w:line="240" w:lineRule="auto"/>
              <w:ind w:firstLine="0" w:firstLineChars="0"/>
              <w:jc w:val="center"/>
              <w:rPr>
                <w:sz w:val="21"/>
              </w:rPr>
            </w:pPr>
          </w:p>
        </w:tc>
        <w:tc>
          <w:tcPr>
            <w:tcW w:w="979" w:type="dxa"/>
            <w:vAlign w:val="center"/>
          </w:tcPr>
          <w:p w14:paraId="19943D01">
            <w:pPr>
              <w:pStyle w:val="191"/>
              <w:snapToGrid w:val="0"/>
              <w:spacing w:line="240" w:lineRule="auto"/>
              <w:ind w:firstLine="0" w:firstLineChars="0"/>
              <w:jc w:val="center"/>
              <w:rPr>
                <w:sz w:val="21"/>
              </w:rPr>
            </w:pPr>
            <w:r>
              <w:rPr>
                <w:sz w:val="21"/>
              </w:rPr>
              <w:t>-400m</w:t>
            </w:r>
          </w:p>
        </w:tc>
        <w:tc>
          <w:tcPr>
            <w:tcW w:w="979" w:type="dxa"/>
            <w:vAlign w:val="center"/>
          </w:tcPr>
          <w:p w14:paraId="66F4FF2A">
            <w:pPr>
              <w:pStyle w:val="191"/>
              <w:snapToGrid w:val="0"/>
              <w:spacing w:line="240" w:lineRule="auto"/>
              <w:ind w:firstLine="0" w:firstLineChars="0"/>
              <w:jc w:val="center"/>
              <w:rPr>
                <w:sz w:val="21"/>
              </w:rPr>
            </w:pPr>
            <w:r>
              <w:rPr>
                <w:sz w:val="21"/>
              </w:rPr>
              <w:t>-325m</w:t>
            </w:r>
          </w:p>
        </w:tc>
        <w:tc>
          <w:tcPr>
            <w:tcW w:w="979" w:type="dxa"/>
            <w:vAlign w:val="center"/>
          </w:tcPr>
          <w:p w14:paraId="5FEDEA1D">
            <w:pPr>
              <w:pStyle w:val="191"/>
              <w:snapToGrid w:val="0"/>
              <w:spacing w:line="240" w:lineRule="auto"/>
              <w:ind w:firstLine="0" w:firstLineChars="0"/>
              <w:jc w:val="center"/>
              <w:rPr>
                <w:sz w:val="21"/>
              </w:rPr>
            </w:pPr>
            <w:r>
              <w:rPr>
                <w:sz w:val="21"/>
              </w:rPr>
              <w:t>-250m</w:t>
            </w:r>
          </w:p>
        </w:tc>
        <w:tc>
          <w:tcPr>
            <w:tcW w:w="979" w:type="dxa"/>
            <w:vAlign w:val="center"/>
          </w:tcPr>
          <w:p w14:paraId="453B3E0A">
            <w:pPr>
              <w:pStyle w:val="191"/>
              <w:snapToGrid w:val="0"/>
              <w:spacing w:line="240" w:lineRule="auto"/>
              <w:ind w:firstLine="0" w:firstLineChars="0"/>
              <w:jc w:val="center"/>
              <w:rPr>
                <w:sz w:val="21"/>
              </w:rPr>
            </w:pPr>
            <w:r>
              <w:rPr>
                <w:sz w:val="21"/>
              </w:rPr>
              <w:t>-175m</w:t>
            </w:r>
          </w:p>
        </w:tc>
        <w:tc>
          <w:tcPr>
            <w:tcW w:w="983" w:type="dxa"/>
            <w:vAlign w:val="center"/>
          </w:tcPr>
          <w:p w14:paraId="0CC7E7DE">
            <w:pPr>
              <w:pStyle w:val="191"/>
              <w:snapToGrid w:val="0"/>
              <w:spacing w:line="240" w:lineRule="auto"/>
              <w:ind w:firstLine="0" w:firstLineChars="0"/>
              <w:jc w:val="center"/>
              <w:rPr>
                <w:sz w:val="21"/>
              </w:rPr>
            </w:pPr>
            <w:r>
              <w:rPr>
                <w:sz w:val="21"/>
              </w:rPr>
              <w:t>-100m</w:t>
            </w:r>
          </w:p>
        </w:tc>
      </w:tr>
      <w:tr w14:paraId="69978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45D4ABA2">
            <w:pPr>
              <w:pStyle w:val="191"/>
              <w:snapToGrid w:val="0"/>
              <w:spacing w:line="240" w:lineRule="auto"/>
              <w:ind w:firstLine="0" w:firstLineChars="0"/>
              <w:jc w:val="center"/>
              <w:rPr>
                <w:sz w:val="21"/>
              </w:rPr>
            </w:pPr>
            <w:r>
              <w:rPr>
                <w:sz w:val="21"/>
              </w:rPr>
              <w:t>1</w:t>
            </w:r>
          </w:p>
        </w:tc>
        <w:tc>
          <w:tcPr>
            <w:tcW w:w="3390" w:type="dxa"/>
            <w:vAlign w:val="center"/>
          </w:tcPr>
          <w:p w14:paraId="0AC937C0">
            <w:pPr>
              <w:pStyle w:val="191"/>
              <w:snapToGrid w:val="0"/>
              <w:spacing w:line="240" w:lineRule="auto"/>
              <w:ind w:firstLine="0" w:firstLineChars="0"/>
              <w:jc w:val="center"/>
              <w:rPr>
                <w:sz w:val="21"/>
              </w:rPr>
            </w:pPr>
            <w:r>
              <w:rPr>
                <w:rFonts w:hint="eastAsia"/>
                <w:sz w:val="21"/>
              </w:rPr>
              <w:t>充填站至采场的高差（</w:t>
            </w:r>
            <w:r>
              <w:rPr>
                <w:sz w:val="21"/>
              </w:rPr>
              <w:t>m</w:t>
            </w:r>
            <w:r>
              <w:rPr>
                <w:rFonts w:hint="eastAsia"/>
                <w:sz w:val="21"/>
              </w:rPr>
              <w:t>）</w:t>
            </w:r>
          </w:p>
        </w:tc>
        <w:tc>
          <w:tcPr>
            <w:tcW w:w="979" w:type="dxa"/>
            <w:vAlign w:val="center"/>
          </w:tcPr>
          <w:p w14:paraId="646C88AE">
            <w:pPr>
              <w:pStyle w:val="191"/>
              <w:snapToGrid w:val="0"/>
              <w:spacing w:line="240" w:lineRule="auto"/>
              <w:ind w:firstLine="0" w:firstLineChars="0"/>
              <w:jc w:val="center"/>
              <w:rPr>
                <w:sz w:val="21"/>
              </w:rPr>
            </w:pPr>
            <w:r>
              <w:rPr>
                <w:sz w:val="21"/>
              </w:rPr>
              <w:t>447</w:t>
            </w:r>
          </w:p>
        </w:tc>
        <w:tc>
          <w:tcPr>
            <w:tcW w:w="979" w:type="dxa"/>
            <w:vAlign w:val="center"/>
          </w:tcPr>
          <w:p w14:paraId="32C46370">
            <w:pPr>
              <w:pStyle w:val="191"/>
              <w:snapToGrid w:val="0"/>
              <w:spacing w:line="240" w:lineRule="auto"/>
              <w:ind w:firstLine="0" w:firstLineChars="0"/>
              <w:jc w:val="center"/>
              <w:rPr>
                <w:sz w:val="21"/>
              </w:rPr>
            </w:pPr>
            <w:r>
              <w:rPr>
                <w:sz w:val="21"/>
              </w:rPr>
              <w:t>372</w:t>
            </w:r>
          </w:p>
        </w:tc>
        <w:tc>
          <w:tcPr>
            <w:tcW w:w="979" w:type="dxa"/>
            <w:vAlign w:val="center"/>
          </w:tcPr>
          <w:p w14:paraId="33278C91">
            <w:pPr>
              <w:pStyle w:val="191"/>
              <w:snapToGrid w:val="0"/>
              <w:spacing w:line="240" w:lineRule="auto"/>
              <w:ind w:firstLine="0" w:firstLineChars="0"/>
              <w:jc w:val="center"/>
              <w:rPr>
                <w:sz w:val="21"/>
              </w:rPr>
            </w:pPr>
            <w:r>
              <w:rPr>
                <w:sz w:val="21"/>
              </w:rPr>
              <w:t>297</w:t>
            </w:r>
          </w:p>
        </w:tc>
        <w:tc>
          <w:tcPr>
            <w:tcW w:w="979" w:type="dxa"/>
            <w:vAlign w:val="center"/>
          </w:tcPr>
          <w:p w14:paraId="0F485817">
            <w:pPr>
              <w:pStyle w:val="191"/>
              <w:snapToGrid w:val="0"/>
              <w:spacing w:line="240" w:lineRule="auto"/>
              <w:ind w:firstLine="0" w:firstLineChars="0"/>
              <w:jc w:val="center"/>
              <w:rPr>
                <w:sz w:val="21"/>
              </w:rPr>
            </w:pPr>
            <w:r>
              <w:rPr>
                <w:sz w:val="21"/>
              </w:rPr>
              <w:t>222</w:t>
            </w:r>
          </w:p>
        </w:tc>
        <w:tc>
          <w:tcPr>
            <w:tcW w:w="983" w:type="dxa"/>
            <w:vAlign w:val="center"/>
          </w:tcPr>
          <w:p w14:paraId="656833C9">
            <w:pPr>
              <w:pStyle w:val="191"/>
              <w:snapToGrid w:val="0"/>
              <w:spacing w:line="240" w:lineRule="auto"/>
              <w:ind w:firstLine="0" w:firstLineChars="0"/>
              <w:jc w:val="center"/>
              <w:rPr>
                <w:sz w:val="21"/>
              </w:rPr>
            </w:pPr>
            <w:r>
              <w:rPr>
                <w:sz w:val="21"/>
              </w:rPr>
              <w:t>147</w:t>
            </w:r>
          </w:p>
        </w:tc>
      </w:tr>
      <w:tr w14:paraId="6D7B7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741C6C13">
            <w:pPr>
              <w:pStyle w:val="191"/>
              <w:snapToGrid w:val="0"/>
              <w:spacing w:line="240" w:lineRule="auto"/>
              <w:ind w:firstLine="0" w:firstLineChars="0"/>
              <w:jc w:val="center"/>
              <w:rPr>
                <w:sz w:val="21"/>
              </w:rPr>
            </w:pPr>
            <w:r>
              <w:rPr>
                <w:rFonts w:hint="eastAsia"/>
                <w:sz w:val="21"/>
              </w:rPr>
              <w:t>2</w:t>
            </w:r>
          </w:p>
        </w:tc>
        <w:tc>
          <w:tcPr>
            <w:tcW w:w="3390" w:type="dxa"/>
            <w:vAlign w:val="center"/>
          </w:tcPr>
          <w:p w14:paraId="016B042D">
            <w:pPr>
              <w:pStyle w:val="191"/>
              <w:snapToGrid w:val="0"/>
              <w:spacing w:line="240" w:lineRule="auto"/>
              <w:ind w:firstLine="0" w:firstLineChars="0"/>
              <w:jc w:val="center"/>
              <w:rPr>
                <w:sz w:val="21"/>
              </w:rPr>
            </w:pPr>
            <w:r>
              <w:rPr>
                <w:rFonts w:hint="eastAsia"/>
                <w:sz w:val="21"/>
              </w:rPr>
              <w:t>地表水平输送距离（m）</w:t>
            </w:r>
          </w:p>
        </w:tc>
        <w:tc>
          <w:tcPr>
            <w:tcW w:w="4899" w:type="dxa"/>
            <w:gridSpan w:val="5"/>
            <w:vAlign w:val="center"/>
          </w:tcPr>
          <w:p w14:paraId="018BDBCA">
            <w:pPr>
              <w:pStyle w:val="191"/>
              <w:snapToGrid w:val="0"/>
              <w:spacing w:line="240" w:lineRule="auto"/>
              <w:ind w:firstLine="0" w:firstLineChars="0"/>
              <w:jc w:val="center"/>
              <w:rPr>
                <w:sz w:val="21"/>
              </w:rPr>
            </w:pPr>
            <w:r>
              <w:rPr>
                <w:rFonts w:hint="eastAsia"/>
                <w:sz w:val="21"/>
              </w:rPr>
              <w:t>3300</w:t>
            </w:r>
          </w:p>
        </w:tc>
      </w:tr>
      <w:tr w14:paraId="59B4E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33EA64B1">
            <w:pPr>
              <w:pStyle w:val="191"/>
              <w:snapToGrid w:val="0"/>
              <w:spacing w:line="240" w:lineRule="auto"/>
              <w:ind w:firstLine="0" w:firstLineChars="0"/>
              <w:jc w:val="center"/>
              <w:rPr>
                <w:sz w:val="21"/>
              </w:rPr>
            </w:pPr>
            <w:r>
              <w:rPr>
                <w:rFonts w:hint="eastAsia"/>
                <w:sz w:val="21"/>
              </w:rPr>
              <w:t>3</w:t>
            </w:r>
          </w:p>
        </w:tc>
        <w:tc>
          <w:tcPr>
            <w:tcW w:w="3390" w:type="dxa"/>
            <w:vAlign w:val="center"/>
          </w:tcPr>
          <w:p w14:paraId="4225BABC">
            <w:pPr>
              <w:pStyle w:val="191"/>
              <w:snapToGrid w:val="0"/>
              <w:spacing w:line="240" w:lineRule="auto"/>
              <w:ind w:firstLine="0" w:firstLineChars="0"/>
              <w:jc w:val="center"/>
              <w:rPr>
                <w:sz w:val="21"/>
              </w:rPr>
            </w:pPr>
            <w:r>
              <w:rPr>
                <w:rFonts w:hint="eastAsia"/>
                <w:sz w:val="21"/>
              </w:rPr>
              <w:t>井下最大水平输送距离（</w:t>
            </w:r>
            <w:r>
              <w:rPr>
                <w:sz w:val="21"/>
              </w:rPr>
              <w:t>m</w:t>
            </w:r>
            <w:r>
              <w:rPr>
                <w:rFonts w:hint="eastAsia"/>
                <w:sz w:val="21"/>
              </w:rPr>
              <w:t>）</w:t>
            </w:r>
          </w:p>
        </w:tc>
        <w:tc>
          <w:tcPr>
            <w:tcW w:w="979" w:type="dxa"/>
            <w:vAlign w:val="center"/>
          </w:tcPr>
          <w:p w14:paraId="3C798F5F">
            <w:pPr>
              <w:pStyle w:val="191"/>
              <w:snapToGrid w:val="0"/>
              <w:spacing w:line="240" w:lineRule="auto"/>
              <w:ind w:firstLine="0" w:firstLineChars="0"/>
              <w:jc w:val="center"/>
              <w:rPr>
                <w:sz w:val="21"/>
              </w:rPr>
            </w:pPr>
            <w:r>
              <w:rPr>
                <w:rFonts w:hint="eastAsia"/>
                <w:sz w:val="21"/>
              </w:rPr>
              <w:t>970</w:t>
            </w:r>
          </w:p>
        </w:tc>
        <w:tc>
          <w:tcPr>
            <w:tcW w:w="979" w:type="dxa"/>
            <w:vAlign w:val="center"/>
          </w:tcPr>
          <w:p w14:paraId="1E7DF785">
            <w:pPr>
              <w:pStyle w:val="191"/>
              <w:snapToGrid w:val="0"/>
              <w:spacing w:line="240" w:lineRule="auto"/>
              <w:ind w:firstLine="0" w:firstLineChars="0"/>
              <w:jc w:val="center"/>
              <w:rPr>
                <w:sz w:val="21"/>
              </w:rPr>
            </w:pPr>
            <w:r>
              <w:rPr>
                <w:rFonts w:hint="eastAsia"/>
                <w:sz w:val="21"/>
              </w:rPr>
              <w:t>920</w:t>
            </w:r>
          </w:p>
        </w:tc>
        <w:tc>
          <w:tcPr>
            <w:tcW w:w="979" w:type="dxa"/>
            <w:vAlign w:val="center"/>
          </w:tcPr>
          <w:p w14:paraId="618D7225">
            <w:pPr>
              <w:pStyle w:val="191"/>
              <w:snapToGrid w:val="0"/>
              <w:spacing w:line="240" w:lineRule="auto"/>
              <w:ind w:firstLine="0" w:firstLineChars="0"/>
              <w:jc w:val="center"/>
              <w:rPr>
                <w:sz w:val="21"/>
              </w:rPr>
            </w:pPr>
            <w:r>
              <w:rPr>
                <w:rFonts w:hint="eastAsia"/>
                <w:sz w:val="21"/>
              </w:rPr>
              <w:t>890</w:t>
            </w:r>
          </w:p>
        </w:tc>
        <w:tc>
          <w:tcPr>
            <w:tcW w:w="979" w:type="dxa"/>
            <w:vAlign w:val="center"/>
          </w:tcPr>
          <w:p w14:paraId="0A60E490">
            <w:pPr>
              <w:pStyle w:val="191"/>
              <w:snapToGrid w:val="0"/>
              <w:spacing w:line="240" w:lineRule="auto"/>
              <w:ind w:firstLine="0" w:firstLineChars="0"/>
              <w:jc w:val="center"/>
              <w:rPr>
                <w:sz w:val="21"/>
              </w:rPr>
            </w:pPr>
            <w:r>
              <w:rPr>
                <w:rFonts w:hint="eastAsia"/>
                <w:sz w:val="21"/>
              </w:rPr>
              <w:t>820</w:t>
            </w:r>
          </w:p>
        </w:tc>
        <w:tc>
          <w:tcPr>
            <w:tcW w:w="983" w:type="dxa"/>
            <w:vAlign w:val="center"/>
          </w:tcPr>
          <w:p w14:paraId="422D2A1A">
            <w:pPr>
              <w:pStyle w:val="191"/>
              <w:snapToGrid w:val="0"/>
              <w:spacing w:line="240" w:lineRule="auto"/>
              <w:ind w:firstLine="0" w:firstLineChars="0"/>
              <w:jc w:val="center"/>
              <w:rPr>
                <w:sz w:val="21"/>
              </w:rPr>
            </w:pPr>
            <w:r>
              <w:rPr>
                <w:rFonts w:hint="eastAsia"/>
                <w:sz w:val="21"/>
              </w:rPr>
              <w:t>730</w:t>
            </w:r>
          </w:p>
        </w:tc>
      </w:tr>
      <w:tr w14:paraId="0AD06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5" w:type="dxa"/>
            <w:vAlign w:val="center"/>
          </w:tcPr>
          <w:p w14:paraId="0D028198">
            <w:pPr>
              <w:pStyle w:val="191"/>
              <w:snapToGrid w:val="0"/>
              <w:spacing w:line="240" w:lineRule="auto"/>
              <w:ind w:firstLine="0" w:firstLineChars="0"/>
              <w:jc w:val="center"/>
              <w:rPr>
                <w:sz w:val="21"/>
              </w:rPr>
            </w:pPr>
            <w:r>
              <w:rPr>
                <w:rFonts w:hint="eastAsia"/>
                <w:sz w:val="21"/>
              </w:rPr>
              <w:t>4</w:t>
            </w:r>
          </w:p>
        </w:tc>
        <w:tc>
          <w:tcPr>
            <w:tcW w:w="3390" w:type="dxa"/>
            <w:vAlign w:val="center"/>
          </w:tcPr>
          <w:p w14:paraId="34326D46">
            <w:pPr>
              <w:pStyle w:val="191"/>
              <w:snapToGrid w:val="0"/>
              <w:spacing w:line="240" w:lineRule="auto"/>
              <w:ind w:firstLine="0" w:firstLineChars="0"/>
              <w:jc w:val="center"/>
              <w:rPr>
                <w:sz w:val="21"/>
              </w:rPr>
            </w:pPr>
            <w:r>
              <w:rPr>
                <w:rFonts w:hint="eastAsia"/>
                <w:sz w:val="21"/>
              </w:rPr>
              <w:t>最大充填倍线</w:t>
            </w:r>
          </w:p>
        </w:tc>
        <w:tc>
          <w:tcPr>
            <w:tcW w:w="979" w:type="dxa"/>
            <w:vAlign w:val="center"/>
          </w:tcPr>
          <w:p w14:paraId="0D96F418">
            <w:pPr>
              <w:pStyle w:val="191"/>
              <w:snapToGrid w:val="0"/>
              <w:spacing w:line="240" w:lineRule="auto"/>
              <w:ind w:firstLine="0" w:firstLineChars="0"/>
              <w:jc w:val="center"/>
              <w:rPr>
                <w:sz w:val="21"/>
              </w:rPr>
            </w:pPr>
            <w:r>
              <w:rPr>
                <w:rFonts w:hint="eastAsia"/>
                <w:sz w:val="21"/>
              </w:rPr>
              <w:t>10.55</w:t>
            </w:r>
          </w:p>
        </w:tc>
        <w:tc>
          <w:tcPr>
            <w:tcW w:w="979" w:type="dxa"/>
            <w:vAlign w:val="center"/>
          </w:tcPr>
          <w:p w14:paraId="731EF224">
            <w:pPr>
              <w:pStyle w:val="191"/>
              <w:snapToGrid w:val="0"/>
              <w:spacing w:line="240" w:lineRule="auto"/>
              <w:ind w:firstLine="0" w:firstLineChars="0"/>
              <w:jc w:val="center"/>
              <w:rPr>
                <w:sz w:val="21"/>
              </w:rPr>
            </w:pPr>
            <w:r>
              <w:rPr>
                <w:rFonts w:hint="eastAsia"/>
                <w:sz w:val="21"/>
              </w:rPr>
              <w:t>12.34</w:t>
            </w:r>
          </w:p>
        </w:tc>
        <w:tc>
          <w:tcPr>
            <w:tcW w:w="979" w:type="dxa"/>
            <w:vAlign w:val="center"/>
          </w:tcPr>
          <w:p w14:paraId="053C3C7A">
            <w:pPr>
              <w:pStyle w:val="191"/>
              <w:snapToGrid w:val="0"/>
              <w:spacing w:line="240" w:lineRule="auto"/>
              <w:ind w:firstLine="0" w:firstLineChars="0"/>
              <w:jc w:val="center"/>
              <w:rPr>
                <w:sz w:val="21"/>
              </w:rPr>
            </w:pPr>
            <w:r>
              <w:rPr>
                <w:rFonts w:hint="eastAsia"/>
                <w:sz w:val="21"/>
              </w:rPr>
              <w:t>15.11</w:t>
            </w:r>
          </w:p>
        </w:tc>
        <w:tc>
          <w:tcPr>
            <w:tcW w:w="979" w:type="dxa"/>
            <w:vAlign w:val="center"/>
          </w:tcPr>
          <w:p w14:paraId="72E8CF49">
            <w:pPr>
              <w:pStyle w:val="191"/>
              <w:snapToGrid w:val="0"/>
              <w:spacing w:line="240" w:lineRule="auto"/>
              <w:ind w:firstLine="0" w:firstLineChars="0"/>
              <w:jc w:val="center"/>
              <w:rPr>
                <w:sz w:val="21"/>
              </w:rPr>
            </w:pPr>
            <w:r>
              <w:rPr>
                <w:rFonts w:hint="eastAsia"/>
                <w:sz w:val="21"/>
              </w:rPr>
              <w:t>19.56</w:t>
            </w:r>
          </w:p>
        </w:tc>
        <w:tc>
          <w:tcPr>
            <w:tcW w:w="983" w:type="dxa"/>
            <w:vAlign w:val="center"/>
          </w:tcPr>
          <w:p w14:paraId="686521D9">
            <w:pPr>
              <w:pStyle w:val="191"/>
              <w:snapToGrid w:val="0"/>
              <w:spacing w:line="240" w:lineRule="auto"/>
              <w:ind w:firstLine="0" w:firstLineChars="0"/>
              <w:jc w:val="center"/>
              <w:rPr>
                <w:sz w:val="21"/>
              </w:rPr>
            </w:pPr>
            <w:r>
              <w:rPr>
                <w:rFonts w:hint="eastAsia"/>
                <w:sz w:val="21"/>
              </w:rPr>
              <w:t>28.41</w:t>
            </w:r>
          </w:p>
        </w:tc>
      </w:tr>
    </w:tbl>
    <w:p w14:paraId="30809A0A">
      <w:pPr>
        <w:snapToGrid w:val="0"/>
        <w:spacing w:line="360" w:lineRule="auto"/>
        <w:ind w:firstLine="560"/>
        <w:rPr>
          <w:rFonts w:asciiTheme="minorHAnsi" w:hAnsiTheme="minorHAnsi" w:cstheme="minorHAnsi"/>
          <w:szCs w:val="28"/>
        </w:rPr>
      </w:pPr>
    </w:p>
    <w:p w14:paraId="33AFB81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彭集深部各水平最大充填倍线在3.23~6.35之间，均可实现自流输送。冯家庄矿段各水平最大充填倍线在10.55~28.41之间，无法实现自流输送，继续利用地表一期已安装的3台充填工业泵，1台工作，2台备用，对充填料浆进行加压输送。单台充填工业泵的实际输送量为175m</w:t>
      </w:r>
      <w:r>
        <w:rPr>
          <w:rFonts w:hint="eastAsia" w:asciiTheme="minorHAnsi" w:hAnsiTheme="minorHAnsi" w:cstheme="minorHAnsi"/>
          <w:szCs w:val="28"/>
          <w:vertAlign w:val="superscript"/>
        </w:rPr>
        <w:t>3</w:t>
      </w:r>
      <w:r>
        <w:rPr>
          <w:rFonts w:hint="eastAsia" w:asciiTheme="minorHAnsi" w:hAnsiTheme="minorHAnsi" w:cstheme="minorHAnsi"/>
          <w:szCs w:val="28"/>
        </w:rPr>
        <w:t>/h～210m</w:t>
      </w:r>
      <w:r>
        <w:rPr>
          <w:rFonts w:hint="eastAsia" w:asciiTheme="minorHAnsi" w:hAnsiTheme="minorHAnsi" w:cstheme="minorHAnsi"/>
          <w:szCs w:val="28"/>
          <w:vertAlign w:val="superscript"/>
        </w:rPr>
        <w:t>3</w:t>
      </w:r>
      <w:r>
        <w:rPr>
          <w:rFonts w:hint="eastAsia" w:asciiTheme="minorHAnsi" w:hAnsiTheme="minorHAnsi" w:cstheme="minorHAnsi"/>
          <w:szCs w:val="28"/>
        </w:rPr>
        <w:t>/h，液压站配电功率2×500kW，电压380V。</w:t>
      </w:r>
    </w:p>
    <w:p w14:paraId="3F317DF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（6）设备选型</w:t>
      </w:r>
    </w:p>
    <w:p w14:paraId="5FE63D97">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选用2台SCAMAC2000BREAKER移动式破碎锤，用于采场大块矿石的二次破碎；</w:t>
      </w:r>
    </w:p>
    <w:p w14:paraId="1ED5AB1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选用2台SCAMAC2000S撬毛台车，用于清理采场凿岩、出矿巷道内的浮石；</w:t>
      </w:r>
    </w:p>
    <w:p w14:paraId="0612488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选用2台FCB-5爆破器材运输车，用于运输井下所需爆破器材；</w:t>
      </w:r>
    </w:p>
    <w:p w14:paraId="067570D0">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选用2台CY-3000湿式制动油罐车，用于井下设备加油；</w:t>
      </w:r>
    </w:p>
    <w:p w14:paraId="6275822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选用2台井下湿式制动载人运输车，用于井下人员运输；</w:t>
      </w:r>
    </w:p>
    <w:p w14:paraId="510EDA8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选用2台井下材料车，用于井下材料运输；</w:t>
      </w:r>
    </w:p>
    <w:p w14:paraId="2F8AC1A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选用2台CY-R120V自行式天井钻机。3台YSP-45凿岩机，用于掘进采场切割天井。</w:t>
      </w:r>
    </w:p>
    <w:p w14:paraId="12650490">
      <w:pPr>
        <w:pStyle w:val="5"/>
        <w:spacing w:after="190" w:line="360" w:lineRule="auto"/>
        <w:rPr>
          <w:rFonts w:asciiTheme="minorHAnsi" w:hAnsiTheme="minorHAnsi" w:cstheme="minorHAnsi"/>
        </w:rPr>
      </w:pPr>
      <w:bookmarkStart w:id="76" w:name="_Hlk172278824"/>
      <w:r>
        <w:rPr>
          <w:rFonts w:asciiTheme="minorHAnsi" w:hAnsiTheme="minorHAnsi" w:cstheme="minorHAnsi"/>
        </w:rPr>
        <w:t>2.4.6通风系统</w:t>
      </w:r>
    </w:p>
    <w:p w14:paraId="299D10D8">
      <w:pPr>
        <w:widowControl/>
        <w:snapToGrid w:val="0"/>
        <w:spacing w:line="360" w:lineRule="auto"/>
        <w:ind w:firstLine="0" w:firstLineChars="0"/>
        <w:rPr>
          <w:rFonts w:asciiTheme="minorHAnsi" w:hAnsiTheme="minorHAnsi" w:cstheme="minorHAnsi"/>
          <w:b/>
          <w:bCs/>
          <w:szCs w:val="21"/>
        </w:rPr>
      </w:pPr>
      <w:r>
        <w:rPr>
          <w:rFonts w:hint="eastAsia" w:asciiTheme="minorHAnsi" w:hAnsiTheme="minorHAnsi" w:cstheme="minorHAnsi"/>
          <w:b/>
          <w:bCs/>
          <w:szCs w:val="21"/>
        </w:rPr>
        <w:t>2</w:t>
      </w:r>
      <w:r>
        <w:rPr>
          <w:rFonts w:asciiTheme="minorHAnsi" w:hAnsiTheme="minorHAnsi" w:cstheme="minorHAnsi"/>
          <w:b/>
          <w:bCs/>
          <w:szCs w:val="21"/>
        </w:rPr>
        <w:t>.4.6.1</w:t>
      </w:r>
      <w:r>
        <w:rPr>
          <w:rFonts w:hint="eastAsia" w:asciiTheme="minorHAnsi" w:hAnsiTheme="minorHAnsi" w:cstheme="minorHAnsi"/>
          <w:b/>
          <w:bCs/>
          <w:szCs w:val="21"/>
        </w:rPr>
        <w:t>一期通风</w:t>
      </w:r>
    </w:p>
    <w:p w14:paraId="486CC6BA">
      <w:pPr>
        <w:widowControl/>
        <w:snapToGrid w:val="0"/>
        <w:spacing w:line="360" w:lineRule="auto"/>
        <w:ind w:firstLine="562"/>
        <w:rPr>
          <w:rFonts w:asciiTheme="minorHAnsi" w:hAnsiTheme="minorHAnsi" w:cstheme="minorHAnsi"/>
          <w:b/>
          <w:bCs/>
          <w:szCs w:val="21"/>
        </w:rPr>
      </w:pPr>
      <w:r>
        <w:rPr>
          <w:rFonts w:asciiTheme="minorHAnsi" w:hAnsiTheme="minorHAnsi" w:cstheme="minorHAnsi"/>
          <w:b/>
          <w:bCs/>
          <w:szCs w:val="21"/>
        </w:rPr>
        <w:t>（1）通风方式</w:t>
      </w:r>
    </w:p>
    <w:p w14:paraId="2994DC3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根据彭集矿段一期开采规划，矿井通风系统对应分为两个阶段，即投产规模达到500×1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t/a生产阶段和达产规模800×1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w:t>
      </w:r>
    </w:p>
    <w:p w14:paraId="0DE85D4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1）投产规模500×1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w:t>
      </w:r>
    </w:p>
    <w:p w14:paraId="264ED74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根据矿体的开拓系统和采场结构以及通风风路，采用多级机站压入、抽出结合的通风方式，两翼对角式通风系统。</w:t>
      </w:r>
    </w:p>
    <w:p w14:paraId="39A606B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进风井筒：副井、进风井</w:t>
      </w:r>
    </w:p>
    <w:p w14:paraId="315BF28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回风井口：1号回风井、2号回风井</w:t>
      </w:r>
    </w:p>
    <w:p w14:paraId="2F749F7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通风区域内包括生产盘区、运输水平、溜破系统、爆破器材分库等通风区。</w:t>
      </w:r>
    </w:p>
    <w:p w14:paraId="281600A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①生产盘区通风系统</w:t>
      </w:r>
    </w:p>
    <w:p w14:paraId="6F22F20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新鲜风流从副井、进风井进入-475m出矿进风水平，经下盘脉外联络巷、采区进风天井进入各分段水平工作面，冲刷工作面后的污风经采区回风天井回到-250m回风水平，通过1号回风井、2号回风井排出地表。</w:t>
      </w:r>
    </w:p>
    <w:p w14:paraId="2AAB288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②阶段运输水平通风系统</w:t>
      </w:r>
    </w:p>
    <w:p w14:paraId="033F330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新鲜风流从副井进入-505m运输水平，由副井石门、下盘沿脉运输巷道、穿脉运输巷道、进入工作面，冲刷工作面后的污风经上盘沿脉运输巷道、采区回风天井回到-250m回风水平，通过1号回风井、2号回风井排出地表。</w:t>
      </w:r>
    </w:p>
    <w:p w14:paraId="2A95D89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③溜破系统通风系统</w:t>
      </w:r>
    </w:p>
    <w:p w14:paraId="51A3813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新鲜风流从副井进入溜破系统破碎硐室、皮带道硐室和粉矿清理硐室。冲刷工作面后，经除尘净化后排入-505m运输水平，最后同运输水平污风一同排出地表。</w:t>
      </w:r>
    </w:p>
    <w:p w14:paraId="08A0C95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④爆破器材分库通风系统</w:t>
      </w:r>
    </w:p>
    <w:p w14:paraId="1B59B8F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20t井下爆破器材分库位于-400m水平下盘脉外联络巷东侧，1号回风井石门南侧，设专用回风联络巷与1号回风井石门相连。新鲜风流由-475m出矿进风水平，经采区进风天井进入-400m充填水平，经-400m水平下盘脉外联络巷进入爆破器材分库，污风经专用回风联络巷进入1号回风井石门，由1号回风井排出地表。</w:t>
      </w:r>
    </w:p>
    <w:p w14:paraId="5C19E72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投产规模500×1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t/a生产阶段通风系统见图</w:t>
      </w:r>
      <w:r>
        <w:rPr>
          <w:rFonts w:asciiTheme="minorHAnsi" w:hAnsiTheme="minorHAnsi" w:cstheme="minorHAnsi"/>
          <w:szCs w:val="28"/>
        </w:rPr>
        <w:t>2.4-5</w:t>
      </w:r>
      <w:r>
        <w:rPr>
          <w:rFonts w:hint="eastAsia" w:asciiTheme="minorHAnsi" w:hAnsiTheme="minorHAnsi" w:cstheme="minorHAnsi"/>
          <w:szCs w:val="28"/>
        </w:rPr>
        <w:t>。</w:t>
      </w:r>
    </w:p>
    <w:p w14:paraId="241D03DD">
      <w:pPr>
        <w:adjustRightInd w:val="0"/>
        <w:snapToGrid w:val="0"/>
        <w:spacing w:line="360" w:lineRule="auto"/>
        <w:ind w:firstLine="0" w:firstLineChars="0"/>
        <w:rPr>
          <w:rFonts w:asciiTheme="minorHAnsi" w:hAnsiTheme="minorHAnsi" w:cstheme="minorHAnsi"/>
          <w:szCs w:val="28"/>
        </w:rPr>
      </w:pPr>
      <w:r>
        <w:drawing>
          <wp:inline distT="0" distB="0" distL="0" distR="0">
            <wp:extent cx="5904230" cy="3659505"/>
            <wp:effectExtent l="0" t="0" r="127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04230" cy="3659850"/>
                    </a:xfrm>
                    <a:prstGeom prst="rect">
                      <a:avLst/>
                    </a:prstGeom>
                    <a:noFill/>
                    <a:ln>
                      <a:noFill/>
                    </a:ln>
                  </pic:spPr>
                </pic:pic>
              </a:graphicData>
            </a:graphic>
          </wp:inline>
        </w:drawing>
      </w:r>
    </w:p>
    <w:p w14:paraId="4B9C8975">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2.4-5</w:t>
      </w:r>
      <w:r>
        <w:rPr>
          <w:rFonts w:hint="eastAsia" w:asciiTheme="minorHAnsi" w:hAnsiTheme="minorHAnsi" w:cstheme="minorHAnsi"/>
          <w:szCs w:val="28"/>
        </w:rPr>
        <w:t xml:space="preserve">  投产500×1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t/a生产阶段通风系统图</w:t>
      </w:r>
    </w:p>
    <w:p w14:paraId="68C65E18">
      <w:pPr>
        <w:snapToGrid w:val="0"/>
        <w:spacing w:line="360" w:lineRule="auto"/>
        <w:ind w:firstLine="560"/>
        <w:rPr>
          <w:rFonts w:asciiTheme="minorHAnsi" w:hAnsiTheme="minorHAnsi" w:cstheme="minorHAnsi"/>
          <w:szCs w:val="28"/>
        </w:rPr>
      </w:pPr>
      <w:r>
        <w:rPr>
          <w:rFonts w:asciiTheme="minorHAnsi" w:hAnsiTheme="minorHAnsi" w:cstheme="minorHAnsi"/>
          <w:szCs w:val="28"/>
        </w:rPr>
        <w:t>2</w:t>
      </w:r>
      <w:r>
        <w:rPr>
          <w:rFonts w:hint="eastAsia" w:asciiTheme="minorHAnsi" w:hAnsiTheme="minorHAnsi" w:cstheme="minorHAnsi"/>
          <w:szCs w:val="28"/>
        </w:rPr>
        <w:t>） 达产规模800×1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w:t>
      </w:r>
    </w:p>
    <w:p w14:paraId="1D14BA2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当矿山达产800×1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t/a生产阶段时，较投产规模500×1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t/a生产阶段，其通风系统及通风方式不变，只是在投产基础上向南增加了通风区域，-250m回风水平2号回风井北回风石门处风机由关闭状态转为开启状态，副井风量由35m</w:t>
      </w:r>
      <w:r>
        <w:rPr>
          <w:rFonts w:hint="eastAsia" w:asciiTheme="minorHAnsi" w:hAnsiTheme="minorHAnsi" w:cstheme="minorHAnsi"/>
          <w:szCs w:val="28"/>
          <w:vertAlign w:val="superscript"/>
        </w:rPr>
        <w:t>3</w:t>
      </w:r>
      <w:r>
        <w:rPr>
          <w:rFonts w:hint="eastAsia" w:asciiTheme="minorHAnsi" w:hAnsiTheme="minorHAnsi" w:cstheme="minorHAnsi"/>
          <w:szCs w:val="28"/>
        </w:rPr>
        <w:t>/s增加到190m</w:t>
      </w:r>
      <w:r>
        <w:rPr>
          <w:rFonts w:hint="eastAsia" w:asciiTheme="minorHAnsi" w:hAnsiTheme="minorHAnsi" w:cstheme="minorHAnsi"/>
          <w:szCs w:val="28"/>
          <w:vertAlign w:val="superscript"/>
        </w:rPr>
        <w:t>3</w:t>
      </w:r>
      <w:r>
        <w:rPr>
          <w:rFonts w:hint="eastAsia" w:asciiTheme="minorHAnsi" w:hAnsiTheme="minorHAnsi" w:cstheme="minorHAnsi"/>
          <w:szCs w:val="28"/>
        </w:rPr>
        <w:t>/s。</w:t>
      </w:r>
    </w:p>
    <w:p w14:paraId="3F353DA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①生产盘区通风系统</w:t>
      </w:r>
    </w:p>
    <w:p w14:paraId="788C372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新鲜风流从副井、进风井进入-475m出矿进风水平，经下盘脉外联络巷、采区进风天井进入各分段水平工作面，冲刷工作面后的污风经采区回风天井回到-250m回风水平，通过1号、2号回风井排出地表。</w:t>
      </w:r>
    </w:p>
    <w:p w14:paraId="362D493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②阶段运输水平通风系统</w:t>
      </w:r>
    </w:p>
    <w:p w14:paraId="025F49C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新鲜风流从副井进入-505m运输水平，由副井石门、下盘沿脉运输巷道、穿脉运输巷道、进入工作面，冲刷工作面后的污风经上盘沿脉运输巷道、采区回风天井回到-250m回风水平，通过1号、2号回风井排出地表。</w:t>
      </w:r>
    </w:p>
    <w:p w14:paraId="1C9D4B7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达产规模800×1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t/a生产阶段通风系统见图</w:t>
      </w:r>
      <w:r>
        <w:rPr>
          <w:rFonts w:asciiTheme="minorHAnsi" w:hAnsiTheme="minorHAnsi" w:cstheme="minorHAnsi"/>
          <w:szCs w:val="28"/>
        </w:rPr>
        <w:t>2.4-6</w:t>
      </w:r>
      <w:r>
        <w:rPr>
          <w:rFonts w:hint="eastAsia" w:asciiTheme="minorHAnsi" w:hAnsiTheme="minorHAnsi" w:cstheme="minorHAnsi"/>
          <w:szCs w:val="28"/>
        </w:rPr>
        <w:t>。</w:t>
      </w:r>
    </w:p>
    <w:p w14:paraId="65FF1CE9">
      <w:pPr>
        <w:snapToGrid w:val="0"/>
        <w:spacing w:line="360" w:lineRule="auto"/>
        <w:ind w:firstLine="0" w:firstLineChars="0"/>
        <w:jc w:val="center"/>
        <w:rPr>
          <w:rFonts w:asciiTheme="minorHAnsi" w:hAnsiTheme="minorHAnsi" w:cstheme="minorHAnsi"/>
          <w:szCs w:val="28"/>
        </w:rPr>
      </w:pPr>
      <w:r>
        <w:drawing>
          <wp:inline distT="0" distB="0" distL="0" distR="0">
            <wp:extent cx="5904230" cy="3544570"/>
            <wp:effectExtent l="0" t="0" r="127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04230" cy="3544667"/>
                    </a:xfrm>
                    <a:prstGeom prst="rect">
                      <a:avLst/>
                    </a:prstGeom>
                    <a:noFill/>
                    <a:ln>
                      <a:noFill/>
                    </a:ln>
                    <a:effectLst/>
                  </pic:spPr>
                </pic:pic>
              </a:graphicData>
            </a:graphic>
          </wp:inline>
        </w:drawing>
      </w:r>
    </w:p>
    <w:p w14:paraId="4438581F">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2.4-6</w:t>
      </w:r>
      <w:r>
        <w:rPr>
          <w:rFonts w:hint="eastAsia" w:asciiTheme="minorHAnsi" w:hAnsiTheme="minorHAnsi" w:cstheme="minorHAnsi"/>
          <w:szCs w:val="28"/>
        </w:rPr>
        <w:t xml:space="preserve">  达产</w:t>
      </w:r>
      <w:r>
        <w:rPr>
          <w:rFonts w:asciiTheme="minorHAnsi" w:hAnsiTheme="minorHAnsi" w:cstheme="minorHAnsi"/>
          <w:szCs w:val="28"/>
        </w:rPr>
        <w:t>8</w:t>
      </w:r>
      <w:r>
        <w:rPr>
          <w:rFonts w:hint="eastAsia" w:asciiTheme="minorHAnsi" w:hAnsiTheme="minorHAnsi" w:cstheme="minorHAnsi"/>
          <w:szCs w:val="28"/>
        </w:rPr>
        <w:t>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t/a生产阶段通风系统图</w:t>
      </w:r>
    </w:p>
    <w:p w14:paraId="0877DCAD">
      <w:pPr>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（2）矿井总需风量</w:t>
      </w:r>
    </w:p>
    <w:p w14:paraId="795992EA">
      <w:pPr>
        <w:snapToGrid w:val="0"/>
        <w:spacing w:line="360" w:lineRule="auto"/>
        <w:ind w:firstLine="560"/>
        <w:rPr>
          <w:rFonts w:asciiTheme="minorHAnsi" w:hAnsiTheme="minorHAnsi" w:cstheme="minorHAnsi"/>
          <w:bCs/>
          <w:szCs w:val="28"/>
        </w:rPr>
      </w:pPr>
      <w:r>
        <w:rPr>
          <w:rFonts w:hint="eastAsia" w:asciiTheme="minorHAnsi" w:hAnsiTheme="minorHAnsi" w:cstheme="minorHAnsi"/>
          <w:szCs w:val="28"/>
        </w:rPr>
        <w:t>达产</w:t>
      </w:r>
      <w:r>
        <w:rPr>
          <w:rFonts w:asciiTheme="minorHAnsi" w:hAnsiTheme="minorHAnsi" w:cstheme="minorHAnsi"/>
          <w:szCs w:val="28"/>
        </w:rPr>
        <w:t>8</w:t>
      </w:r>
      <w:r>
        <w:rPr>
          <w:rFonts w:hint="eastAsia" w:asciiTheme="minorHAnsi" w:hAnsiTheme="minorHAnsi" w:cstheme="minorHAnsi"/>
          <w:szCs w:val="28"/>
        </w:rPr>
        <w:t>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t/a规模</w:t>
      </w:r>
      <w:r>
        <w:rPr>
          <w:rFonts w:asciiTheme="minorHAnsi" w:hAnsiTheme="minorHAnsi" w:cstheme="minorHAnsi"/>
          <w:szCs w:val="28"/>
        </w:rPr>
        <w:t>矿井总风量为670</w:t>
      </w:r>
      <w:r>
        <w:rPr>
          <w:rFonts w:asciiTheme="minorHAnsi" w:hAnsiTheme="minorHAnsi" w:cstheme="minorHAnsi"/>
          <w:bCs/>
          <w:szCs w:val="28"/>
        </w:rPr>
        <w:t>m</w:t>
      </w:r>
      <w:r>
        <w:rPr>
          <w:rFonts w:asciiTheme="minorHAnsi" w:hAnsiTheme="minorHAnsi" w:cstheme="minorHAnsi"/>
          <w:bCs/>
          <w:szCs w:val="28"/>
          <w:vertAlign w:val="superscript"/>
        </w:rPr>
        <w:t>3</w:t>
      </w:r>
      <w:r>
        <w:rPr>
          <w:rFonts w:asciiTheme="minorHAnsi" w:hAnsiTheme="minorHAnsi" w:cstheme="minorHAnsi"/>
          <w:bCs/>
          <w:szCs w:val="28"/>
        </w:rPr>
        <w:t>/s。</w:t>
      </w:r>
    </w:p>
    <w:p w14:paraId="449FBE1B">
      <w:pPr>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（3）</w:t>
      </w:r>
      <w:r>
        <w:rPr>
          <w:rFonts w:hint="eastAsia" w:asciiTheme="minorHAnsi" w:hAnsiTheme="minorHAnsi" w:cstheme="minorHAnsi"/>
          <w:b/>
          <w:bCs/>
          <w:szCs w:val="28"/>
        </w:rPr>
        <w:t>机站设置及风机选型</w:t>
      </w:r>
    </w:p>
    <w:p w14:paraId="7ADC605A">
      <w:pPr>
        <w:snapToGrid w:val="0"/>
        <w:spacing w:line="360" w:lineRule="auto"/>
        <w:ind w:firstLine="560"/>
        <w:rPr>
          <w:szCs w:val="28"/>
        </w:rPr>
      </w:pPr>
      <w:r>
        <w:rPr>
          <w:szCs w:val="28"/>
        </w:rPr>
        <w:t>综合考虑</w:t>
      </w:r>
      <w:r>
        <w:rPr>
          <w:rFonts w:hint="eastAsia"/>
          <w:szCs w:val="28"/>
        </w:rPr>
        <w:t>矿山不同生产时期</w:t>
      </w:r>
      <w:r>
        <w:rPr>
          <w:szCs w:val="28"/>
        </w:rPr>
        <w:t>通风</w:t>
      </w:r>
      <w:r>
        <w:rPr>
          <w:rFonts w:hint="eastAsia"/>
          <w:szCs w:val="28"/>
        </w:rPr>
        <w:t>系统，以及</w:t>
      </w:r>
      <w:r>
        <w:rPr>
          <w:szCs w:val="28"/>
        </w:rPr>
        <w:t>各风机站风机的风量与风压情况，对风机进行选型。</w:t>
      </w:r>
    </w:p>
    <w:p w14:paraId="65FAF6F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1）投产规模500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4"/>
        </w:rPr>
        <w:t>t/a生产阶段</w:t>
      </w:r>
    </w:p>
    <w:p w14:paraId="44F7403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投产规模500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4"/>
        </w:rPr>
        <w:t>t/a生产阶段，共设7个机站，各风机站编号，位置及风机选型见表</w:t>
      </w:r>
      <w:r>
        <w:rPr>
          <w:rFonts w:asciiTheme="minorHAnsi" w:hAnsiTheme="minorHAnsi" w:cstheme="minorHAnsi"/>
          <w:szCs w:val="24"/>
        </w:rPr>
        <w:t>2.4-8</w:t>
      </w:r>
      <w:r>
        <w:rPr>
          <w:rFonts w:hint="eastAsia" w:asciiTheme="minorHAnsi" w:hAnsiTheme="minorHAnsi" w:cstheme="minorHAnsi"/>
          <w:szCs w:val="24"/>
        </w:rPr>
        <w:t>。</w:t>
      </w:r>
    </w:p>
    <w:p w14:paraId="6EF061C8">
      <w:pPr>
        <w:snapToGrid w:val="0"/>
        <w:spacing w:line="360" w:lineRule="auto"/>
        <w:ind w:firstLine="560"/>
        <w:jc w:val="center"/>
        <w:rPr>
          <w:rFonts w:asciiTheme="minorHAnsi" w:hAnsiTheme="minorHAnsi" w:cstheme="minorHAnsi"/>
          <w:szCs w:val="24"/>
        </w:rPr>
      </w:pPr>
      <w:r>
        <w:rPr>
          <w:rFonts w:hint="eastAsia" w:asciiTheme="minorHAnsi" w:hAnsiTheme="minorHAnsi" w:cstheme="minorHAnsi"/>
          <w:szCs w:val="24"/>
        </w:rPr>
        <w:t>表2</w:t>
      </w:r>
      <w:r>
        <w:rPr>
          <w:rFonts w:asciiTheme="minorHAnsi" w:hAnsiTheme="minorHAnsi" w:cstheme="minorHAnsi"/>
          <w:szCs w:val="24"/>
        </w:rPr>
        <w:t>.4-8</w:t>
      </w:r>
      <w:r>
        <w:rPr>
          <w:rFonts w:hint="eastAsia" w:asciiTheme="minorHAnsi" w:hAnsiTheme="minorHAnsi" w:cstheme="minorHAnsi"/>
          <w:szCs w:val="24"/>
        </w:rPr>
        <w:t>投产规模500万t/a生产阶段风机选型表</w:t>
      </w:r>
    </w:p>
    <w:tbl>
      <w:tblPr>
        <w:tblStyle w:val="54"/>
        <w:tblW w:w="4997"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653"/>
        <w:gridCol w:w="1753"/>
        <w:gridCol w:w="910"/>
        <w:gridCol w:w="1107"/>
        <w:gridCol w:w="1398"/>
        <w:gridCol w:w="1125"/>
        <w:gridCol w:w="1539"/>
        <w:gridCol w:w="1023"/>
      </w:tblGrid>
      <w:tr w14:paraId="5CAE59C1">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16E4306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机站</w:t>
            </w:r>
          </w:p>
          <w:p w14:paraId="4B22A41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编号</w:t>
            </w:r>
          </w:p>
        </w:tc>
        <w:tc>
          <w:tcPr>
            <w:tcW w:w="920" w:type="pct"/>
            <w:vAlign w:val="center"/>
          </w:tcPr>
          <w:p w14:paraId="0AFD955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风机站</w:t>
            </w:r>
          </w:p>
          <w:p w14:paraId="3D57110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位置</w:t>
            </w:r>
          </w:p>
        </w:tc>
        <w:tc>
          <w:tcPr>
            <w:tcW w:w="478" w:type="pct"/>
            <w:vAlign w:val="center"/>
          </w:tcPr>
          <w:p w14:paraId="5035455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风量</w:t>
            </w:r>
          </w:p>
          <w:p w14:paraId="26B2B20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（m</w:t>
            </w:r>
            <w:r>
              <w:rPr>
                <w:rFonts w:cs="Times New Roman"/>
                <w:w w:val="90"/>
                <w:sz w:val="21"/>
                <w:szCs w:val="21"/>
                <w:vertAlign w:val="superscript"/>
              </w:rPr>
              <w:t>3/</w:t>
            </w:r>
            <w:r>
              <w:rPr>
                <w:rFonts w:cs="Times New Roman"/>
                <w:w w:val="90"/>
                <w:sz w:val="21"/>
                <w:szCs w:val="21"/>
              </w:rPr>
              <w:t>s）</w:t>
            </w:r>
          </w:p>
        </w:tc>
        <w:tc>
          <w:tcPr>
            <w:tcW w:w="582" w:type="pct"/>
            <w:vAlign w:val="center"/>
          </w:tcPr>
          <w:p w14:paraId="306403E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风阻</w:t>
            </w:r>
          </w:p>
          <w:p w14:paraId="07F623C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（Pa）</w:t>
            </w:r>
          </w:p>
        </w:tc>
        <w:tc>
          <w:tcPr>
            <w:tcW w:w="735" w:type="pct"/>
            <w:vAlign w:val="center"/>
          </w:tcPr>
          <w:p w14:paraId="08C6B2D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w:t>
            </w:r>
          </w:p>
          <w:p w14:paraId="49C7315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型号</w:t>
            </w:r>
          </w:p>
        </w:tc>
        <w:tc>
          <w:tcPr>
            <w:tcW w:w="592" w:type="pct"/>
            <w:vAlign w:val="center"/>
          </w:tcPr>
          <w:p w14:paraId="79BC33D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数量</w:t>
            </w:r>
          </w:p>
          <w:p w14:paraId="441D8E2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（台）</w:t>
            </w:r>
          </w:p>
        </w:tc>
        <w:tc>
          <w:tcPr>
            <w:tcW w:w="809" w:type="pct"/>
            <w:vAlign w:val="center"/>
          </w:tcPr>
          <w:p w14:paraId="3CE3604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单台功率</w:t>
            </w:r>
          </w:p>
          <w:p w14:paraId="79F19C7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（kW）</w:t>
            </w:r>
          </w:p>
        </w:tc>
        <w:tc>
          <w:tcPr>
            <w:tcW w:w="538" w:type="pct"/>
            <w:vAlign w:val="center"/>
          </w:tcPr>
          <w:p w14:paraId="6651DC9F">
            <w:pPr>
              <w:widowControl/>
              <w:spacing w:line="280" w:lineRule="exact"/>
              <w:ind w:firstLine="0" w:firstLineChars="0"/>
              <w:jc w:val="center"/>
              <w:rPr>
                <w:rFonts w:cs="Times New Roman"/>
                <w:spacing w:val="-20"/>
                <w:w w:val="90"/>
                <w:sz w:val="24"/>
                <w:szCs w:val="24"/>
              </w:rPr>
            </w:pPr>
            <w:r>
              <w:rPr>
                <w:rFonts w:hint="eastAsia" w:cs="Times New Roman"/>
                <w:spacing w:val="-20"/>
                <w:w w:val="90"/>
                <w:sz w:val="24"/>
                <w:szCs w:val="24"/>
              </w:rPr>
              <w:t>叶片</w:t>
            </w:r>
          </w:p>
          <w:p w14:paraId="2D483B32">
            <w:pPr>
              <w:widowControl/>
              <w:spacing w:line="280" w:lineRule="exact"/>
              <w:ind w:firstLine="0" w:firstLineChars="0"/>
              <w:jc w:val="center"/>
              <w:rPr>
                <w:rFonts w:cs="Times New Roman"/>
                <w:spacing w:val="-20"/>
                <w:w w:val="90"/>
                <w:sz w:val="24"/>
                <w:szCs w:val="24"/>
              </w:rPr>
            </w:pPr>
            <w:r>
              <w:rPr>
                <w:rFonts w:hint="eastAsia" w:cs="Times New Roman"/>
                <w:spacing w:val="-20"/>
                <w:w w:val="90"/>
                <w:sz w:val="24"/>
                <w:szCs w:val="24"/>
              </w:rPr>
              <w:t>角度</w:t>
            </w:r>
          </w:p>
          <w:p w14:paraId="18FC9D91">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w:t>
            </w:r>
          </w:p>
        </w:tc>
      </w:tr>
      <w:tr w14:paraId="50C2096C">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27B62E6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920" w:type="pct"/>
            <w:vAlign w:val="center"/>
          </w:tcPr>
          <w:p w14:paraId="5545660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-250m水平1号回风井北石门</w:t>
            </w:r>
          </w:p>
        </w:tc>
        <w:tc>
          <w:tcPr>
            <w:tcW w:w="478" w:type="pct"/>
            <w:vAlign w:val="center"/>
          </w:tcPr>
          <w:p w14:paraId="6267D71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582" w:type="pct"/>
            <w:vAlign w:val="center"/>
          </w:tcPr>
          <w:p w14:paraId="44B337D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1516.2</w:t>
            </w:r>
          </w:p>
        </w:tc>
        <w:tc>
          <w:tcPr>
            <w:tcW w:w="735" w:type="pct"/>
            <w:vAlign w:val="center"/>
          </w:tcPr>
          <w:p w14:paraId="2A720C9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2" w:type="pct"/>
            <w:vAlign w:val="center"/>
          </w:tcPr>
          <w:p w14:paraId="7459123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181D4F6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538" w:type="pct"/>
            <w:vAlign w:val="center"/>
          </w:tcPr>
          <w:p w14:paraId="377CFB50">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49</w:t>
            </w:r>
          </w:p>
        </w:tc>
      </w:tr>
      <w:tr w14:paraId="6AADBCE9">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3EF05A8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w:t>
            </w:r>
          </w:p>
        </w:tc>
        <w:tc>
          <w:tcPr>
            <w:tcW w:w="920" w:type="pct"/>
            <w:vAlign w:val="center"/>
          </w:tcPr>
          <w:p w14:paraId="4AFB8AA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-250m水平1号回风井南石门</w:t>
            </w:r>
          </w:p>
        </w:tc>
        <w:tc>
          <w:tcPr>
            <w:tcW w:w="478" w:type="pct"/>
            <w:vAlign w:val="center"/>
          </w:tcPr>
          <w:p w14:paraId="2F029BA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582" w:type="pct"/>
            <w:vAlign w:val="center"/>
          </w:tcPr>
          <w:p w14:paraId="1219587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1573.8</w:t>
            </w:r>
          </w:p>
        </w:tc>
        <w:tc>
          <w:tcPr>
            <w:tcW w:w="735" w:type="pct"/>
            <w:vAlign w:val="center"/>
          </w:tcPr>
          <w:p w14:paraId="7163931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2" w:type="pct"/>
            <w:vAlign w:val="center"/>
          </w:tcPr>
          <w:p w14:paraId="140DB1B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6C68934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538" w:type="pct"/>
            <w:vAlign w:val="center"/>
          </w:tcPr>
          <w:p w14:paraId="02E6C8B0">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49</w:t>
            </w:r>
          </w:p>
        </w:tc>
      </w:tr>
      <w:tr w14:paraId="61C626BD">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2635209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w:t>
            </w:r>
          </w:p>
        </w:tc>
        <w:tc>
          <w:tcPr>
            <w:tcW w:w="920" w:type="pct"/>
            <w:vAlign w:val="center"/>
          </w:tcPr>
          <w:p w14:paraId="5F3051E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5BC3710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回风井北石门</w:t>
            </w:r>
          </w:p>
        </w:tc>
        <w:tc>
          <w:tcPr>
            <w:tcW w:w="478" w:type="pct"/>
            <w:vAlign w:val="center"/>
          </w:tcPr>
          <w:p w14:paraId="73D3C60C">
            <w:pPr>
              <w:widowControl/>
              <w:adjustRightInd w:val="0"/>
              <w:snapToGrid w:val="0"/>
              <w:spacing w:line="240" w:lineRule="auto"/>
              <w:ind w:firstLine="0" w:firstLineChars="0"/>
              <w:jc w:val="center"/>
              <w:rPr>
                <w:rFonts w:cs="Times New Roman"/>
                <w:w w:val="90"/>
                <w:sz w:val="21"/>
                <w:szCs w:val="21"/>
              </w:rPr>
            </w:pPr>
          </w:p>
        </w:tc>
        <w:tc>
          <w:tcPr>
            <w:tcW w:w="582" w:type="pct"/>
            <w:vAlign w:val="center"/>
          </w:tcPr>
          <w:p w14:paraId="1E61B685">
            <w:pPr>
              <w:widowControl/>
              <w:adjustRightInd w:val="0"/>
              <w:snapToGrid w:val="0"/>
              <w:spacing w:line="240" w:lineRule="auto"/>
              <w:ind w:firstLine="0" w:firstLineChars="0"/>
              <w:jc w:val="center"/>
              <w:rPr>
                <w:rFonts w:cs="Times New Roman"/>
                <w:w w:val="90"/>
                <w:sz w:val="21"/>
                <w:szCs w:val="21"/>
              </w:rPr>
            </w:pPr>
          </w:p>
        </w:tc>
        <w:tc>
          <w:tcPr>
            <w:tcW w:w="735" w:type="pct"/>
            <w:vAlign w:val="center"/>
          </w:tcPr>
          <w:p w14:paraId="25A3BF0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2" w:type="pct"/>
            <w:vAlign w:val="center"/>
          </w:tcPr>
          <w:p w14:paraId="15E4E1B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08B3DF5C">
            <w:pPr>
              <w:widowControl/>
              <w:adjustRightInd w:val="0"/>
              <w:snapToGrid w:val="0"/>
              <w:spacing w:line="240" w:lineRule="auto"/>
              <w:ind w:firstLine="0" w:firstLineChars="0"/>
              <w:jc w:val="center"/>
              <w:rPr>
                <w:rFonts w:cs="Times New Roman"/>
                <w:w w:val="90"/>
                <w:sz w:val="21"/>
                <w:szCs w:val="21"/>
              </w:rPr>
            </w:pPr>
          </w:p>
        </w:tc>
        <w:tc>
          <w:tcPr>
            <w:tcW w:w="538" w:type="pct"/>
            <w:vAlign w:val="center"/>
          </w:tcPr>
          <w:p w14:paraId="778C7089">
            <w:pPr>
              <w:widowControl/>
              <w:spacing w:line="280" w:lineRule="exact"/>
              <w:ind w:firstLine="0" w:firstLineChars="0"/>
              <w:jc w:val="center"/>
              <w:rPr>
                <w:rFonts w:cs="Times New Roman"/>
                <w:w w:val="90"/>
                <w:sz w:val="21"/>
                <w:szCs w:val="21"/>
              </w:rPr>
            </w:pPr>
          </w:p>
        </w:tc>
      </w:tr>
      <w:tr w14:paraId="3FBB100E">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09C8FAF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w:t>
            </w:r>
          </w:p>
        </w:tc>
        <w:tc>
          <w:tcPr>
            <w:tcW w:w="920" w:type="pct"/>
            <w:vAlign w:val="center"/>
          </w:tcPr>
          <w:p w14:paraId="7E50116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60B836B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回风井南石门</w:t>
            </w:r>
          </w:p>
        </w:tc>
        <w:tc>
          <w:tcPr>
            <w:tcW w:w="478" w:type="pct"/>
            <w:vAlign w:val="center"/>
          </w:tcPr>
          <w:p w14:paraId="1618016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w:t>
            </w:r>
          </w:p>
        </w:tc>
        <w:tc>
          <w:tcPr>
            <w:tcW w:w="582" w:type="pct"/>
            <w:vAlign w:val="center"/>
          </w:tcPr>
          <w:p w14:paraId="31FA3D4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1437.8</w:t>
            </w:r>
          </w:p>
        </w:tc>
        <w:tc>
          <w:tcPr>
            <w:tcW w:w="735" w:type="pct"/>
            <w:vAlign w:val="center"/>
          </w:tcPr>
          <w:p w14:paraId="680DD8D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2" w:type="pct"/>
            <w:vAlign w:val="center"/>
          </w:tcPr>
          <w:p w14:paraId="76444FD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35B91ED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538" w:type="pct"/>
            <w:vAlign w:val="center"/>
          </w:tcPr>
          <w:p w14:paraId="19DFF4B2">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46</w:t>
            </w:r>
          </w:p>
        </w:tc>
      </w:tr>
      <w:tr w14:paraId="162B48F3">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0663B63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w:t>
            </w:r>
          </w:p>
        </w:tc>
        <w:tc>
          <w:tcPr>
            <w:tcW w:w="920" w:type="pct"/>
            <w:vAlign w:val="center"/>
          </w:tcPr>
          <w:p w14:paraId="3A5125C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5622408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进风井北石门</w:t>
            </w:r>
          </w:p>
        </w:tc>
        <w:tc>
          <w:tcPr>
            <w:tcW w:w="478" w:type="pct"/>
            <w:vAlign w:val="center"/>
          </w:tcPr>
          <w:p w14:paraId="7B12EFC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582" w:type="pct"/>
            <w:vAlign w:val="center"/>
          </w:tcPr>
          <w:p w14:paraId="2084C87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1131.5</w:t>
            </w:r>
          </w:p>
        </w:tc>
        <w:tc>
          <w:tcPr>
            <w:tcW w:w="735" w:type="pct"/>
            <w:vAlign w:val="center"/>
          </w:tcPr>
          <w:p w14:paraId="210B086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92" w:type="pct"/>
            <w:vAlign w:val="center"/>
          </w:tcPr>
          <w:p w14:paraId="3F4DE70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2AA3E2D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450</w:t>
            </w:r>
          </w:p>
        </w:tc>
        <w:tc>
          <w:tcPr>
            <w:tcW w:w="538" w:type="pct"/>
            <w:vAlign w:val="center"/>
          </w:tcPr>
          <w:p w14:paraId="6C410A0B">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48</w:t>
            </w:r>
          </w:p>
        </w:tc>
      </w:tr>
      <w:tr w14:paraId="0911974C">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159A5CF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6</w:t>
            </w:r>
          </w:p>
        </w:tc>
        <w:tc>
          <w:tcPr>
            <w:tcW w:w="920" w:type="pct"/>
            <w:vAlign w:val="center"/>
          </w:tcPr>
          <w:p w14:paraId="5DEDE6B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0AB8088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进风井南石门</w:t>
            </w:r>
          </w:p>
        </w:tc>
        <w:tc>
          <w:tcPr>
            <w:tcW w:w="478" w:type="pct"/>
            <w:vAlign w:val="center"/>
          </w:tcPr>
          <w:p w14:paraId="512B7F3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582" w:type="pct"/>
            <w:vAlign w:val="center"/>
          </w:tcPr>
          <w:p w14:paraId="0CBCB4A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1128.2</w:t>
            </w:r>
          </w:p>
        </w:tc>
        <w:tc>
          <w:tcPr>
            <w:tcW w:w="735" w:type="pct"/>
            <w:vAlign w:val="center"/>
          </w:tcPr>
          <w:p w14:paraId="3E6B49A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92" w:type="pct"/>
            <w:vAlign w:val="center"/>
          </w:tcPr>
          <w:p w14:paraId="34F657F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6999DB6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450</w:t>
            </w:r>
          </w:p>
        </w:tc>
        <w:tc>
          <w:tcPr>
            <w:tcW w:w="538" w:type="pct"/>
            <w:vAlign w:val="center"/>
          </w:tcPr>
          <w:p w14:paraId="4E82C021">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48</w:t>
            </w:r>
          </w:p>
        </w:tc>
      </w:tr>
      <w:tr w14:paraId="56028226">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3" w:type="pct"/>
            <w:vAlign w:val="center"/>
          </w:tcPr>
          <w:p w14:paraId="02E5E1E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7</w:t>
            </w:r>
          </w:p>
        </w:tc>
        <w:tc>
          <w:tcPr>
            <w:tcW w:w="920" w:type="pct"/>
            <w:vAlign w:val="center"/>
          </w:tcPr>
          <w:p w14:paraId="611A85C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-505m水平溜破系统回风天井联络巷</w:t>
            </w:r>
          </w:p>
        </w:tc>
        <w:tc>
          <w:tcPr>
            <w:tcW w:w="478" w:type="pct"/>
            <w:vAlign w:val="center"/>
          </w:tcPr>
          <w:p w14:paraId="518A913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35</w:t>
            </w:r>
          </w:p>
        </w:tc>
        <w:tc>
          <w:tcPr>
            <w:tcW w:w="582" w:type="pct"/>
            <w:vAlign w:val="center"/>
          </w:tcPr>
          <w:p w14:paraId="4BF28D4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208.6</w:t>
            </w:r>
          </w:p>
        </w:tc>
        <w:tc>
          <w:tcPr>
            <w:tcW w:w="735" w:type="pct"/>
            <w:vAlign w:val="center"/>
          </w:tcPr>
          <w:p w14:paraId="3321C40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FKZNo14</w:t>
            </w:r>
          </w:p>
        </w:tc>
        <w:tc>
          <w:tcPr>
            <w:tcW w:w="592" w:type="pct"/>
            <w:vAlign w:val="center"/>
          </w:tcPr>
          <w:p w14:paraId="3169994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809" w:type="pct"/>
            <w:vAlign w:val="center"/>
          </w:tcPr>
          <w:p w14:paraId="3B2A321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18.5</w:t>
            </w:r>
          </w:p>
        </w:tc>
        <w:tc>
          <w:tcPr>
            <w:tcW w:w="538" w:type="pct"/>
            <w:vAlign w:val="center"/>
          </w:tcPr>
          <w:p w14:paraId="5CD0EC35">
            <w:pPr>
              <w:widowControl/>
              <w:spacing w:line="280" w:lineRule="exact"/>
              <w:ind w:firstLine="0" w:firstLineChars="0"/>
              <w:jc w:val="center"/>
              <w:rPr>
                <w:rFonts w:cs="Times New Roman"/>
                <w:w w:val="90"/>
                <w:sz w:val="21"/>
                <w:szCs w:val="21"/>
              </w:rPr>
            </w:pPr>
            <w:r>
              <w:rPr>
                <w:rFonts w:hint="eastAsia" w:cs="Times New Roman"/>
                <w:spacing w:val="-20"/>
                <w:w w:val="90"/>
                <w:sz w:val="24"/>
                <w:szCs w:val="24"/>
              </w:rPr>
              <w:t>42</w:t>
            </w:r>
          </w:p>
        </w:tc>
      </w:tr>
    </w:tbl>
    <w:p w14:paraId="5647BAF0">
      <w:pPr>
        <w:pStyle w:val="53"/>
        <w:spacing w:after="0" w:line="360" w:lineRule="auto"/>
        <w:ind w:left="0" w:leftChars="0"/>
        <w:jc w:val="left"/>
        <w:rPr>
          <w:sz w:val="21"/>
        </w:rPr>
      </w:pPr>
      <w:r>
        <w:rPr>
          <w:sz w:val="21"/>
        </w:rPr>
        <w:t>注：风机风量乘以1.1倍漏风系数，</w:t>
      </w:r>
      <w:r>
        <w:rPr>
          <w:rFonts w:hint="eastAsia"/>
          <w:sz w:val="21"/>
        </w:rPr>
        <w:t>机站阻力</w:t>
      </w:r>
      <w:r>
        <w:rPr>
          <w:sz w:val="21"/>
        </w:rPr>
        <w:t>取200pa、动压损失取135pa</w:t>
      </w:r>
      <w:r>
        <w:rPr>
          <w:rFonts w:hint="eastAsia"/>
          <w:sz w:val="21"/>
        </w:rPr>
        <w:t>；</w:t>
      </w:r>
    </w:p>
    <w:p w14:paraId="2DB05A62">
      <w:pPr>
        <w:widowControl/>
        <w:snapToGrid w:val="0"/>
        <w:spacing w:line="360" w:lineRule="auto"/>
        <w:ind w:firstLine="560"/>
        <w:jc w:val="left"/>
        <w:rPr>
          <w:szCs w:val="28"/>
        </w:rPr>
      </w:pPr>
      <w:r>
        <w:rPr>
          <w:szCs w:val="28"/>
        </w:rPr>
        <w:t>2</w:t>
      </w: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w:t>
      </w:r>
      <w:r>
        <w:rPr>
          <w:szCs w:val="28"/>
        </w:rPr>
        <w:t>生产</w:t>
      </w:r>
      <w:r>
        <w:rPr>
          <w:rFonts w:hint="eastAsia"/>
          <w:szCs w:val="28"/>
        </w:rPr>
        <w:t>阶段</w:t>
      </w:r>
    </w:p>
    <w:p w14:paraId="61883E83">
      <w:pPr>
        <w:snapToGrid w:val="0"/>
        <w:spacing w:line="360" w:lineRule="auto"/>
        <w:ind w:firstLine="560"/>
        <w:rPr>
          <w:szCs w:val="28"/>
        </w:rPr>
      </w:pP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w:t>
      </w:r>
      <w:r>
        <w:rPr>
          <w:szCs w:val="28"/>
        </w:rPr>
        <w:t>生产</w:t>
      </w:r>
      <w:r>
        <w:rPr>
          <w:rFonts w:hint="eastAsia"/>
          <w:szCs w:val="28"/>
        </w:rPr>
        <w:t>初期阶段</w:t>
      </w:r>
      <w:r>
        <w:rPr>
          <w:szCs w:val="24"/>
        </w:rPr>
        <w:t>，</w:t>
      </w:r>
      <w:r>
        <w:rPr>
          <w:szCs w:val="28"/>
        </w:rPr>
        <w:t>各风机站编号，位置及风机选型见表2.4-9。</w:t>
      </w:r>
    </w:p>
    <w:p w14:paraId="42D30A6C">
      <w:pPr>
        <w:widowControl/>
        <w:snapToGrid w:val="0"/>
        <w:spacing w:line="360" w:lineRule="auto"/>
        <w:ind w:firstLine="560"/>
        <w:jc w:val="center"/>
        <w:rPr>
          <w:szCs w:val="28"/>
        </w:rPr>
      </w:pPr>
      <w:r>
        <w:rPr>
          <w:rFonts w:hint="eastAsia"/>
          <w:szCs w:val="28"/>
        </w:rPr>
        <w:t>表2</w:t>
      </w:r>
      <w:r>
        <w:rPr>
          <w:szCs w:val="28"/>
        </w:rPr>
        <w:t>.4-9</w:t>
      </w: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w:t>
      </w:r>
      <w:r>
        <w:rPr>
          <w:szCs w:val="28"/>
        </w:rPr>
        <w:t>生产</w:t>
      </w:r>
      <w:r>
        <w:rPr>
          <w:rFonts w:hint="eastAsia"/>
          <w:szCs w:val="28"/>
        </w:rPr>
        <w:t>阶段</w:t>
      </w:r>
      <w:r>
        <w:rPr>
          <w:szCs w:val="28"/>
        </w:rPr>
        <w:t>各机站风量阻力表</w:t>
      </w:r>
    </w:p>
    <w:tbl>
      <w:tblPr>
        <w:tblStyle w:val="54"/>
        <w:tblW w:w="4995" w:type="pct"/>
        <w:tblInd w:w="0" w:type="dxa"/>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648"/>
        <w:gridCol w:w="1815"/>
        <w:gridCol w:w="1015"/>
        <w:gridCol w:w="947"/>
        <w:gridCol w:w="1395"/>
        <w:gridCol w:w="1123"/>
        <w:gridCol w:w="1379"/>
        <w:gridCol w:w="1183"/>
      </w:tblGrid>
      <w:tr w14:paraId="1C6F2F4E">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35439B1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机站</w:t>
            </w:r>
          </w:p>
          <w:p w14:paraId="7DA2851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编号</w:t>
            </w:r>
          </w:p>
        </w:tc>
        <w:tc>
          <w:tcPr>
            <w:tcW w:w="955" w:type="pct"/>
            <w:vAlign w:val="center"/>
          </w:tcPr>
          <w:p w14:paraId="5ED9CB1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风机站</w:t>
            </w:r>
          </w:p>
          <w:p w14:paraId="6450AFC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位置</w:t>
            </w:r>
          </w:p>
        </w:tc>
        <w:tc>
          <w:tcPr>
            <w:tcW w:w="534" w:type="pct"/>
            <w:vAlign w:val="center"/>
          </w:tcPr>
          <w:p w14:paraId="06746C9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风量</w:t>
            </w:r>
          </w:p>
          <w:p w14:paraId="3B779E8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（m</w:t>
            </w:r>
            <w:r>
              <w:rPr>
                <w:rFonts w:cs="Times New Roman"/>
                <w:w w:val="90"/>
                <w:sz w:val="21"/>
                <w:szCs w:val="21"/>
                <w:vertAlign w:val="superscript"/>
              </w:rPr>
              <w:t>3</w:t>
            </w:r>
            <w:r>
              <w:rPr>
                <w:rFonts w:cs="Times New Roman"/>
                <w:w w:val="90"/>
                <w:sz w:val="21"/>
                <w:szCs w:val="21"/>
              </w:rPr>
              <w:t>/s）</w:t>
            </w:r>
          </w:p>
        </w:tc>
        <w:tc>
          <w:tcPr>
            <w:tcW w:w="498" w:type="pct"/>
            <w:vAlign w:val="center"/>
          </w:tcPr>
          <w:p w14:paraId="77094C3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风阻</w:t>
            </w:r>
          </w:p>
          <w:p w14:paraId="3ABD325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（Pa）</w:t>
            </w:r>
          </w:p>
        </w:tc>
        <w:tc>
          <w:tcPr>
            <w:tcW w:w="734" w:type="pct"/>
            <w:vAlign w:val="center"/>
          </w:tcPr>
          <w:p w14:paraId="0741308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w:t>
            </w:r>
          </w:p>
          <w:p w14:paraId="6AEEE38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型号</w:t>
            </w:r>
          </w:p>
        </w:tc>
        <w:tc>
          <w:tcPr>
            <w:tcW w:w="591" w:type="pct"/>
            <w:vAlign w:val="center"/>
          </w:tcPr>
          <w:p w14:paraId="699CDA3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数量</w:t>
            </w:r>
          </w:p>
          <w:p w14:paraId="416C2DC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（台）</w:t>
            </w:r>
          </w:p>
        </w:tc>
        <w:tc>
          <w:tcPr>
            <w:tcW w:w="725" w:type="pct"/>
            <w:vAlign w:val="center"/>
          </w:tcPr>
          <w:p w14:paraId="6E25BF5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单台功率</w:t>
            </w:r>
          </w:p>
          <w:p w14:paraId="3929D9A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（kW）</w:t>
            </w:r>
          </w:p>
        </w:tc>
        <w:tc>
          <w:tcPr>
            <w:tcW w:w="622" w:type="pct"/>
            <w:vAlign w:val="center"/>
          </w:tcPr>
          <w:p w14:paraId="37305D9C">
            <w:pPr>
              <w:widowControl/>
              <w:snapToGrid w:val="0"/>
              <w:spacing w:line="240" w:lineRule="auto"/>
              <w:ind w:firstLine="0" w:firstLineChars="0"/>
              <w:jc w:val="center"/>
              <w:rPr>
                <w:rFonts w:cs="Times New Roman"/>
                <w:spacing w:val="-20"/>
                <w:w w:val="90"/>
                <w:sz w:val="24"/>
                <w:szCs w:val="24"/>
              </w:rPr>
            </w:pPr>
            <w:r>
              <w:rPr>
                <w:rFonts w:hint="eastAsia" w:cs="Times New Roman"/>
                <w:spacing w:val="-20"/>
                <w:w w:val="90"/>
                <w:sz w:val="24"/>
                <w:szCs w:val="24"/>
              </w:rPr>
              <w:t>叶片</w:t>
            </w:r>
          </w:p>
          <w:p w14:paraId="3566007F">
            <w:pPr>
              <w:widowControl/>
              <w:snapToGrid w:val="0"/>
              <w:spacing w:line="240" w:lineRule="auto"/>
              <w:ind w:firstLine="0" w:firstLineChars="0"/>
              <w:jc w:val="center"/>
              <w:rPr>
                <w:rFonts w:cs="Times New Roman"/>
                <w:spacing w:val="-20"/>
                <w:w w:val="90"/>
                <w:sz w:val="24"/>
                <w:szCs w:val="24"/>
              </w:rPr>
            </w:pPr>
            <w:r>
              <w:rPr>
                <w:rFonts w:hint="eastAsia" w:cs="Times New Roman"/>
                <w:spacing w:val="-20"/>
                <w:w w:val="90"/>
                <w:sz w:val="24"/>
                <w:szCs w:val="24"/>
              </w:rPr>
              <w:t>角度</w:t>
            </w:r>
          </w:p>
          <w:p w14:paraId="352EE1AD">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w:t>
            </w:r>
          </w:p>
        </w:tc>
      </w:tr>
      <w:tr w14:paraId="59749085">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7076743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955" w:type="pct"/>
            <w:vAlign w:val="center"/>
          </w:tcPr>
          <w:p w14:paraId="0B543FC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w:t>
            </w:r>
          </w:p>
          <w:p w14:paraId="3A1EEC1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回风井北石门</w:t>
            </w:r>
          </w:p>
        </w:tc>
        <w:tc>
          <w:tcPr>
            <w:tcW w:w="534" w:type="pct"/>
            <w:vAlign w:val="center"/>
          </w:tcPr>
          <w:p w14:paraId="4F53F67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498" w:type="pct"/>
            <w:vAlign w:val="center"/>
          </w:tcPr>
          <w:p w14:paraId="6321F67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1860.2</w:t>
            </w:r>
          </w:p>
        </w:tc>
        <w:tc>
          <w:tcPr>
            <w:tcW w:w="734" w:type="pct"/>
            <w:vAlign w:val="center"/>
          </w:tcPr>
          <w:p w14:paraId="28F9DE0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1" w:type="pct"/>
            <w:vAlign w:val="center"/>
          </w:tcPr>
          <w:p w14:paraId="14C8348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5F93BB1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560</w:t>
            </w:r>
          </w:p>
        </w:tc>
        <w:tc>
          <w:tcPr>
            <w:tcW w:w="622" w:type="pct"/>
            <w:vAlign w:val="center"/>
          </w:tcPr>
          <w:p w14:paraId="417C5278">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49</w:t>
            </w:r>
          </w:p>
        </w:tc>
      </w:tr>
      <w:tr w14:paraId="516DB383">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67D930B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w:t>
            </w:r>
          </w:p>
        </w:tc>
        <w:tc>
          <w:tcPr>
            <w:tcW w:w="955" w:type="pct"/>
            <w:vAlign w:val="center"/>
          </w:tcPr>
          <w:p w14:paraId="122F5DC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w:t>
            </w:r>
          </w:p>
          <w:p w14:paraId="3E2DB86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回风井南石门</w:t>
            </w:r>
          </w:p>
        </w:tc>
        <w:tc>
          <w:tcPr>
            <w:tcW w:w="534" w:type="pct"/>
            <w:vAlign w:val="center"/>
          </w:tcPr>
          <w:p w14:paraId="7B08B6E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498" w:type="pct"/>
            <w:vAlign w:val="center"/>
          </w:tcPr>
          <w:p w14:paraId="185D106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1782.6</w:t>
            </w:r>
          </w:p>
        </w:tc>
        <w:tc>
          <w:tcPr>
            <w:tcW w:w="734" w:type="pct"/>
            <w:vAlign w:val="center"/>
          </w:tcPr>
          <w:p w14:paraId="454A6B6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1" w:type="pct"/>
            <w:vAlign w:val="center"/>
          </w:tcPr>
          <w:p w14:paraId="5307F6A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738F795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560</w:t>
            </w:r>
          </w:p>
        </w:tc>
        <w:tc>
          <w:tcPr>
            <w:tcW w:w="622" w:type="pct"/>
            <w:vAlign w:val="center"/>
          </w:tcPr>
          <w:p w14:paraId="622F7378">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49</w:t>
            </w:r>
          </w:p>
        </w:tc>
      </w:tr>
      <w:tr w14:paraId="7F8DD053">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788C782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w:t>
            </w:r>
          </w:p>
        </w:tc>
        <w:tc>
          <w:tcPr>
            <w:tcW w:w="955" w:type="pct"/>
            <w:vAlign w:val="center"/>
          </w:tcPr>
          <w:p w14:paraId="3FEAB95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2AD5804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回风井北石门</w:t>
            </w:r>
          </w:p>
        </w:tc>
        <w:tc>
          <w:tcPr>
            <w:tcW w:w="534" w:type="pct"/>
            <w:vAlign w:val="center"/>
          </w:tcPr>
          <w:p w14:paraId="5BA7ABD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w:t>
            </w:r>
          </w:p>
        </w:tc>
        <w:tc>
          <w:tcPr>
            <w:tcW w:w="498" w:type="pct"/>
            <w:vAlign w:val="center"/>
          </w:tcPr>
          <w:p w14:paraId="4A7834D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1881.5</w:t>
            </w:r>
          </w:p>
        </w:tc>
        <w:tc>
          <w:tcPr>
            <w:tcW w:w="734" w:type="pct"/>
            <w:vAlign w:val="center"/>
          </w:tcPr>
          <w:p w14:paraId="008FFED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1" w:type="pct"/>
            <w:vAlign w:val="center"/>
          </w:tcPr>
          <w:p w14:paraId="2F31273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0BB98AE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622" w:type="pct"/>
            <w:vAlign w:val="center"/>
          </w:tcPr>
          <w:p w14:paraId="68116CF5">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46</w:t>
            </w:r>
          </w:p>
        </w:tc>
      </w:tr>
      <w:tr w14:paraId="182C9493">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7E7DF61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w:t>
            </w:r>
          </w:p>
        </w:tc>
        <w:tc>
          <w:tcPr>
            <w:tcW w:w="955" w:type="pct"/>
            <w:vAlign w:val="center"/>
          </w:tcPr>
          <w:p w14:paraId="4156A69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3442181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回风井南石门</w:t>
            </w:r>
          </w:p>
        </w:tc>
        <w:tc>
          <w:tcPr>
            <w:tcW w:w="534" w:type="pct"/>
            <w:vAlign w:val="center"/>
          </w:tcPr>
          <w:p w14:paraId="66A41D4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w:t>
            </w:r>
          </w:p>
        </w:tc>
        <w:tc>
          <w:tcPr>
            <w:tcW w:w="498" w:type="pct"/>
            <w:vAlign w:val="center"/>
          </w:tcPr>
          <w:p w14:paraId="4102FEB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1801.8</w:t>
            </w:r>
          </w:p>
        </w:tc>
        <w:tc>
          <w:tcPr>
            <w:tcW w:w="734" w:type="pct"/>
            <w:vAlign w:val="center"/>
          </w:tcPr>
          <w:p w14:paraId="2AF34E0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91" w:type="pct"/>
            <w:vAlign w:val="center"/>
          </w:tcPr>
          <w:p w14:paraId="5304892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700E829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622" w:type="pct"/>
            <w:vAlign w:val="center"/>
          </w:tcPr>
          <w:p w14:paraId="77B5E55A">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46</w:t>
            </w:r>
          </w:p>
        </w:tc>
      </w:tr>
      <w:tr w14:paraId="43F05CBA">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014C8E0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w:t>
            </w:r>
          </w:p>
        </w:tc>
        <w:tc>
          <w:tcPr>
            <w:tcW w:w="955" w:type="pct"/>
            <w:vAlign w:val="center"/>
          </w:tcPr>
          <w:p w14:paraId="70F0F54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66FED67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进风井北石门</w:t>
            </w:r>
          </w:p>
        </w:tc>
        <w:tc>
          <w:tcPr>
            <w:tcW w:w="534" w:type="pct"/>
            <w:vAlign w:val="center"/>
          </w:tcPr>
          <w:p w14:paraId="5975D29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498" w:type="pct"/>
            <w:vAlign w:val="center"/>
          </w:tcPr>
          <w:p w14:paraId="181BE7E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908.1</w:t>
            </w:r>
          </w:p>
        </w:tc>
        <w:tc>
          <w:tcPr>
            <w:tcW w:w="734" w:type="pct"/>
            <w:vAlign w:val="center"/>
          </w:tcPr>
          <w:p w14:paraId="019B8F7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91" w:type="pct"/>
            <w:vAlign w:val="center"/>
          </w:tcPr>
          <w:p w14:paraId="47DB6AD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479EDD8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400</w:t>
            </w:r>
          </w:p>
        </w:tc>
        <w:tc>
          <w:tcPr>
            <w:tcW w:w="622" w:type="pct"/>
            <w:vAlign w:val="center"/>
          </w:tcPr>
          <w:p w14:paraId="34A5490E">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47</w:t>
            </w:r>
          </w:p>
        </w:tc>
      </w:tr>
      <w:tr w14:paraId="173756F8">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77221FB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6</w:t>
            </w:r>
          </w:p>
        </w:tc>
        <w:tc>
          <w:tcPr>
            <w:tcW w:w="955" w:type="pct"/>
            <w:vAlign w:val="center"/>
          </w:tcPr>
          <w:p w14:paraId="732788A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4EB201C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进风井南石门</w:t>
            </w:r>
          </w:p>
        </w:tc>
        <w:tc>
          <w:tcPr>
            <w:tcW w:w="534" w:type="pct"/>
            <w:vAlign w:val="center"/>
          </w:tcPr>
          <w:p w14:paraId="1DFAEF0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498" w:type="pct"/>
            <w:vAlign w:val="center"/>
          </w:tcPr>
          <w:p w14:paraId="3EB1DC0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892.9</w:t>
            </w:r>
          </w:p>
        </w:tc>
        <w:tc>
          <w:tcPr>
            <w:tcW w:w="734" w:type="pct"/>
            <w:vAlign w:val="center"/>
          </w:tcPr>
          <w:p w14:paraId="4852E09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91" w:type="pct"/>
            <w:vAlign w:val="center"/>
          </w:tcPr>
          <w:p w14:paraId="2E7FF2B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7D8EAD0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400</w:t>
            </w:r>
          </w:p>
        </w:tc>
        <w:tc>
          <w:tcPr>
            <w:tcW w:w="622" w:type="pct"/>
            <w:vAlign w:val="center"/>
          </w:tcPr>
          <w:p w14:paraId="65916E0A">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47</w:t>
            </w:r>
          </w:p>
        </w:tc>
      </w:tr>
      <w:tr w14:paraId="33FCEDA2">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340" w:type="pct"/>
            <w:vAlign w:val="center"/>
          </w:tcPr>
          <w:p w14:paraId="411019B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7</w:t>
            </w:r>
          </w:p>
        </w:tc>
        <w:tc>
          <w:tcPr>
            <w:tcW w:w="955" w:type="pct"/>
            <w:vAlign w:val="center"/>
          </w:tcPr>
          <w:p w14:paraId="76E2A53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-505m水平溜破系统回风天井联络巷</w:t>
            </w:r>
          </w:p>
        </w:tc>
        <w:tc>
          <w:tcPr>
            <w:tcW w:w="534" w:type="pct"/>
            <w:vAlign w:val="center"/>
          </w:tcPr>
          <w:p w14:paraId="6FEA006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35</w:t>
            </w:r>
          </w:p>
        </w:tc>
        <w:tc>
          <w:tcPr>
            <w:tcW w:w="498" w:type="pct"/>
            <w:vAlign w:val="center"/>
          </w:tcPr>
          <w:p w14:paraId="7F1D86B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206.6</w:t>
            </w:r>
          </w:p>
        </w:tc>
        <w:tc>
          <w:tcPr>
            <w:tcW w:w="734" w:type="pct"/>
            <w:vAlign w:val="center"/>
          </w:tcPr>
          <w:p w14:paraId="2AC70A7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FKZNo14</w:t>
            </w:r>
          </w:p>
        </w:tc>
        <w:tc>
          <w:tcPr>
            <w:tcW w:w="591" w:type="pct"/>
            <w:vAlign w:val="center"/>
          </w:tcPr>
          <w:p w14:paraId="30E8DF7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725" w:type="pct"/>
            <w:vAlign w:val="center"/>
          </w:tcPr>
          <w:p w14:paraId="70D2354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18.5</w:t>
            </w:r>
          </w:p>
        </w:tc>
        <w:tc>
          <w:tcPr>
            <w:tcW w:w="622" w:type="pct"/>
            <w:vAlign w:val="center"/>
          </w:tcPr>
          <w:p w14:paraId="4B526BC3">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42</w:t>
            </w:r>
          </w:p>
        </w:tc>
      </w:tr>
    </w:tbl>
    <w:p w14:paraId="4C2CA4F9">
      <w:pPr>
        <w:widowControl/>
        <w:snapToGrid w:val="0"/>
        <w:spacing w:line="360" w:lineRule="auto"/>
        <w:ind w:firstLine="560"/>
        <w:jc w:val="left"/>
        <w:rPr>
          <w:szCs w:val="28"/>
        </w:rPr>
      </w:pPr>
      <w:r>
        <w:rPr>
          <w:szCs w:val="28"/>
        </w:rPr>
        <w:t>3</w:t>
      </w:r>
      <w:r>
        <w:rPr>
          <w:rFonts w:hint="eastAsia"/>
          <w:szCs w:val="28"/>
        </w:rPr>
        <w:t>）</w:t>
      </w:r>
      <w:r>
        <w:rPr>
          <w:szCs w:val="28"/>
        </w:rPr>
        <w:t xml:space="preserve"> </w:t>
      </w: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w:t>
      </w:r>
      <w:r>
        <w:rPr>
          <w:szCs w:val="28"/>
        </w:rPr>
        <w:t>生产</w:t>
      </w:r>
      <w:r>
        <w:rPr>
          <w:rFonts w:hint="eastAsia"/>
          <w:szCs w:val="28"/>
        </w:rPr>
        <w:t>后期阶段</w:t>
      </w:r>
    </w:p>
    <w:p w14:paraId="67C1C018">
      <w:pPr>
        <w:widowControl/>
        <w:snapToGrid w:val="0"/>
        <w:spacing w:line="360" w:lineRule="auto"/>
        <w:ind w:firstLine="560"/>
        <w:jc w:val="left"/>
        <w:rPr>
          <w:szCs w:val="28"/>
        </w:rPr>
      </w:pP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t/a生产后期阶段，各风机站编号，位置及风机选型见表</w:t>
      </w:r>
      <w:r>
        <w:rPr>
          <w:szCs w:val="28"/>
        </w:rPr>
        <w:t>2.4-10</w:t>
      </w:r>
      <w:r>
        <w:rPr>
          <w:rFonts w:hint="eastAsia"/>
          <w:szCs w:val="28"/>
        </w:rPr>
        <w:t>。</w:t>
      </w:r>
    </w:p>
    <w:p w14:paraId="0EF3382E">
      <w:pPr>
        <w:widowControl/>
        <w:snapToGrid w:val="0"/>
        <w:spacing w:line="360" w:lineRule="auto"/>
        <w:ind w:firstLine="560"/>
        <w:jc w:val="center"/>
        <w:rPr>
          <w:szCs w:val="28"/>
        </w:rPr>
      </w:pPr>
      <w:r>
        <w:rPr>
          <w:rFonts w:hint="eastAsia"/>
          <w:szCs w:val="28"/>
        </w:rPr>
        <w:t>表2</w:t>
      </w:r>
      <w:r>
        <w:rPr>
          <w:szCs w:val="28"/>
        </w:rPr>
        <w:t>.4-10</w:t>
      </w:r>
      <w:r>
        <w:rPr>
          <w:rFonts w:hint="eastAsia"/>
          <w:szCs w:val="28"/>
        </w:rPr>
        <w:t>达产规模800</w:t>
      </w:r>
      <w:r>
        <w:rPr>
          <w:rFonts w:hint="eastAsia" w:asciiTheme="minorHAnsi" w:hAnsiTheme="minorHAnsi" w:cstheme="minorHAnsi"/>
          <w:szCs w:val="28"/>
        </w:rPr>
        <w:t>×1</w:t>
      </w:r>
      <w:r>
        <w:rPr>
          <w:rFonts w:asciiTheme="minorHAnsi" w:hAnsiTheme="minorHAnsi" w:cstheme="minorHAnsi"/>
          <w:szCs w:val="28"/>
        </w:rPr>
        <w:t>0</w:t>
      </w:r>
      <w:r>
        <w:rPr>
          <w:rFonts w:asciiTheme="minorHAnsi" w:hAnsiTheme="minorHAnsi" w:cstheme="minorHAnsi"/>
          <w:szCs w:val="28"/>
          <w:vertAlign w:val="superscript"/>
        </w:rPr>
        <w:t>4</w:t>
      </w:r>
      <w:r>
        <w:rPr>
          <w:rFonts w:hint="eastAsia"/>
          <w:szCs w:val="28"/>
        </w:rPr>
        <w:t>t/a</w:t>
      </w:r>
      <w:r>
        <w:rPr>
          <w:szCs w:val="28"/>
        </w:rPr>
        <w:t>生产</w:t>
      </w:r>
      <w:r>
        <w:rPr>
          <w:rFonts w:hint="eastAsia"/>
          <w:szCs w:val="28"/>
        </w:rPr>
        <w:t>后期阶段</w:t>
      </w:r>
      <w:r>
        <w:rPr>
          <w:szCs w:val="28"/>
        </w:rPr>
        <w:t>各机站风量阻力表</w:t>
      </w:r>
    </w:p>
    <w:tbl>
      <w:tblPr>
        <w:tblStyle w:val="54"/>
        <w:tblW w:w="4997" w:type="pct"/>
        <w:tblInd w:w="0" w:type="dxa"/>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733"/>
        <w:gridCol w:w="2294"/>
        <w:gridCol w:w="1172"/>
        <w:gridCol w:w="959"/>
        <w:gridCol w:w="1401"/>
        <w:gridCol w:w="959"/>
        <w:gridCol w:w="1186"/>
        <w:gridCol w:w="804"/>
      </w:tblGrid>
      <w:tr w14:paraId="04951417">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23BEFFE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机站</w:t>
            </w:r>
          </w:p>
          <w:p w14:paraId="716CD7F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编号</w:t>
            </w:r>
          </w:p>
        </w:tc>
        <w:tc>
          <w:tcPr>
            <w:tcW w:w="1215" w:type="pct"/>
            <w:vAlign w:val="center"/>
          </w:tcPr>
          <w:p w14:paraId="77A56F9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风机站</w:t>
            </w:r>
          </w:p>
          <w:p w14:paraId="20B7373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位置</w:t>
            </w:r>
          </w:p>
        </w:tc>
        <w:tc>
          <w:tcPr>
            <w:tcW w:w="621" w:type="pct"/>
            <w:vAlign w:val="center"/>
          </w:tcPr>
          <w:p w14:paraId="2FCD415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风量</w:t>
            </w:r>
          </w:p>
          <w:p w14:paraId="704FBD8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（m3/s）</w:t>
            </w:r>
          </w:p>
        </w:tc>
        <w:tc>
          <w:tcPr>
            <w:tcW w:w="508" w:type="pct"/>
            <w:vAlign w:val="center"/>
          </w:tcPr>
          <w:p w14:paraId="3E27D77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风阻</w:t>
            </w:r>
          </w:p>
          <w:p w14:paraId="1981B2D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（Pa）</w:t>
            </w:r>
          </w:p>
        </w:tc>
        <w:tc>
          <w:tcPr>
            <w:tcW w:w="742" w:type="pct"/>
            <w:vAlign w:val="center"/>
          </w:tcPr>
          <w:p w14:paraId="1FB6CE4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风机</w:t>
            </w:r>
          </w:p>
          <w:p w14:paraId="431544E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型号</w:t>
            </w:r>
          </w:p>
        </w:tc>
        <w:tc>
          <w:tcPr>
            <w:tcW w:w="508" w:type="pct"/>
            <w:vAlign w:val="center"/>
          </w:tcPr>
          <w:p w14:paraId="22011F1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数量</w:t>
            </w:r>
          </w:p>
          <w:p w14:paraId="2012B90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（台）</w:t>
            </w:r>
          </w:p>
        </w:tc>
        <w:tc>
          <w:tcPr>
            <w:tcW w:w="628" w:type="pct"/>
            <w:vAlign w:val="center"/>
          </w:tcPr>
          <w:p w14:paraId="09503AA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单台功率</w:t>
            </w:r>
          </w:p>
          <w:p w14:paraId="65E7B41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（kW）</w:t>
            </w:r>
          </w:p>
        </w:tc>
        <w:tc>
          <w:tcPr>
            <w:tcW w:w="720" w:type="dxa"/>
            <w:vAlign w:val="center"/>
          </w:tcPr>
          <w:p w14:paraId="6119153B">
            <w:pPr>
              <w:widowControl/>
              <w:snapToGrid w:val="0"/>
              <w:spacing w:line="240" w:lineRule="auto"/>
              <w:ind w:firstLine="0" w:firstLineChars="0"/>
              <w:jc w:val="center"/>
              <w:rPr>
                <w:rFonts w:cs="Times New Roman"/>
                <w:spacing w:val="-20"/>
                <w:w w:val="90"/>
                <w:sz w:val="24"/>
                <w:szCs w:val="24"/>
              </w:rPr>
            </w:pPr>
            <w:r>
              <w:rPr>
                <w:rFonts w:hint="eastAsia" w:cs="Times New Roman"/>
                <w:spacing w:val="-20"/>
                <w:w w:val="90"/>
                <w:sz w:val="24"/>
                <w:szCs w:val="24"/>
              </w:rPr>
              <w:t>叶片</w:t>
            </w:r>
          </w:p>
          <w:p w14:paraId="59FF758B">
            <w:pPr>
              <w:widowControl/>
              <w:snapToGrid w:val="0"/>
              <w:spacing w:line="240" w:lineRule="auto"/>
              <w:ind w:firstLine="0" w:firstLineChars="0"/>
              <w:jc w:val="center"/>
              <w:rPr>
                <w:rFonts w:cs="Times New Roman"/>
                <w:spacing w:val="-20"/>
                <w:w w:val="90"/>
                <w:sz w:val="24"/>
                <w:szCs w:val="24"/>
              </w:rPr>
            </w:pPr>
            <w:r>
              <w:rPr>
                <w:rFonts w:hint="eastAsia" w:cs="Times New Roman"/>
                <w:spacing w:val="-20"/>
                <w:w w:val="90"/>
                <w:sz w:val="24"/>
                <w:szCs w:val="24"/>
              </w:rPr>
              <w:t>角度</w:t>
            </w:r>
          </w:p>
          <w:p w14:paraId="71B96992">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w:t>
            </w:r>
          </w:p>
        </w:tc>
      </w:tr>
      <w:tr w14:paraId="777AD24B">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66307A5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1215" w:type="pct"/>
            <w:vAlign w:val="center"/>
          </w:tcPr>
          <w:p w14:paraId="6CD1459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w:t>
            </w:r>
          </w:p>
          <w:p w14:paraId="3367E60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回风井北石门</w:t>
            </w:r>
          </w:p>
        </w:tc>
        <w:tc>
          <w:tcPr>
            <w:tcW w:w="621" w:type="pct"/>
            <w:vAlign w:val="center"/>
          </w:tcPr>
          <w:p w14:paraId="33F1A17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932" w:type="dxa"/>
            <w:vAlign w:val="center"/>
          </w:tcPr>
          <w:p w14:paraId="57CB5DA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1745.1</w:t>
            </w:r>
          </w:p>
        </w:tc>
        <w:tc>
          <w:tcPr>
            <w:tcW w:w="742" w:type="pct"/>
            <w:vAlign w:val="center"/>
          </w:tcPr>
          <w:p w14:paraId="2FD44481">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08" w:type="pct"/>
            <w:vAlign w:val="center"/>
          </w:tcPr>
          <w:p w14:paraId="7D54E03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3C2B095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560</w:t>
            </w:r>
          </w:p>
        </w:tc>
        <w:tc>
          <w:tcPr>
            <w:tcW w:w="720" w:type="dxa"/>
            <w:vAlign w:val="center"/>
          </w:tcPr>
          <w:p w14:paraId="5A11C9E2">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49</w:t>
            </w:r>
          </w:p>
        </w:tc>
      </w:tr>
      <w:tr w14:paraId="11F5691B">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3DE2765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w:t>
            </w:r>
          </w:p>
        </w:tc>
        <w:tc>
          <w:tcPr>
            <w:tcW w:w="1215" w:type="pct"/>
            <w:vAlign w:val="center"/>
          </w:tcPr>
          <w:p w14:paraId="33E3B60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-250m水平1号</w:t>
            </w:r>
          </w:p>
          <w:p w14:paraId="41CA5DF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回风井南石门</w:t>
            </w:r>
          </w:p>
        </w:tc>
        <w:tc>
          <w:tcPr>
            <w:tcW w:w="621" w:type="pct"/>
            <w:vAlign w:val="center"/>
          </w:tcPr>
          <w:p w14:paraId="0B83B48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932" w:type="dxa"/>
            <w:vAlign w:val="center"/>
          </w:tcPr>
          <w:p w14:paraId="56B0A8A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1798.5</w:t>
            </w:r>
          </w:p>
        </w:tc>
        <w:tc>
          <w:tcPr>
            <w:tcW w:w="742" w:type="pct"/>
            <w:vAlign w:val="center"/>
          </w:tcPr>
          <w:p w14:paraId="52430F2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08" w:type="pct"/>
            <w:vAlign w:val="center"/>
          </w:tcPr>
          <w:p w14:paraId="71A9D22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1AF08487">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560</w:t>
            </w:r>
          </w:p>
        </w:tc>
        <w:tc>
          <w:tcPr>
            <w:tcW w:w="720" w:type="dxa"/>
            <w:vAlign w:val="center"/>
          </w:tcPr>
          <w:p w14:paraId="1818FED8">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49</w:t>
            </w:r>
          </w:p>
        </w:tc>
      </w:tr>
      <w:tr w14:paraId="635DB180">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0ECDF2F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w:t>
            </w:r>
          </w:p>
        </w:tc>
        <w:tc>
          <w:tcPr>
            <w:tcW w:w="1215" w:type="pct"/>
            <w:vAlign w:val="center"/>
          </w:tcPr>
          <w:p w14:paraId="0DEEFCD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2466C1C3">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回风井北石门</w:t>
            </w:r>
          </w:p>
        </w:tc>
        <w:tc>
          <w:tcPr>
            <w:tcW w:w="621" w:type="pct"/>
            <w:vAlign w:val="center"/>
          </w:tcPr>
          <w:p w14:paraId="152420C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w:t>
            </w:r>
          </w:p>
        </w:tc>
        <w:tc>
          <w:tcPr>
            <w:tcW w:w="932" w:type="dxa"/>
            <w:vAlign w:val="center"/>
          </w:tcPr>
          <w:p w14:paraId="2609F19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1962.4</w:t>
            </w:r>
          </w:p>
        </w:tc>
        <w:tc>
          <w:tcPr>
            <w:tcW w:w="742" w:type="pct"/>
            <w:vAlign w:val="center"/>
          </w:tcPr>
          <w:p w14:paraId="6687223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08" w:type="pct"/>
            <w:vAlign w:val="center"/>
          </w:tcPr>
          <w:p w14:paraId="6939C1A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67C6D35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720" w:type="dxa"/>
            <w:vAlign w:val="center"/>
          </w:tcPr>
          <w:p w14:paraId="51A5DEB5">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46</w:t>
            </w:r>
          </w:p>
        </w:tc>
      </w:tr>
      <w:tr w14:paraId="7ACBE0CD">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1C6F5CF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w:t>
            </w:r>
          </w:p>
        </w:tc>
        <w:tc>
          <w:tcPr>
            <w:tcW w:w="1215" w:type="pct"/>
            <w:vAlign w:val="center"/>
          </w:tcPr>
          <w:p w14:paraId="774EEF1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-250m水平2号</w:t>
            </w:r>
          </w:p>
          <w:p w14:paraId="2A36FA0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回风井南石门</w:t>
            </w:r>
          </w:p>
        </w:tc>
        <w:tc>
          <w:tcPr>
            <w:tcW w:w="621" w:type="pct"/>
            <w:vAlign w:val="center"/>
          </w:tcPr>
          <w:p w14:paraId="1A22D30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178</w:t>
            </w:r>
          </w:p>
        </w:tc>
        <w:tc>
          <w:tcPr>
            <w:tcW w:w="932" w:type="dxa"/>
            <w:vAlign w:val="center"/>
          </w:tcPr>
          <w:p w14:paraId="4507AB3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1899.8</w:t>
            </w:r>
          </w:p>
        </w:tc>
        <w:tc>
          <w:tcPr>
            <w:tcW w:w="742" w:type="pct"/>
            <w:vAlign w:val="center"/>
          </w:tcPr>
          <w:p w14:paraId="5240ECE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508" w:type="pct"/>
            <w:vAlign w:val="center"/>
          </w:tcPr>
          <w:p w14:paraId="1FCCEDB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13C7C41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500</w:t>
            </w:r>
          </w:p>
        </w:tc>
        <w:tc>
          <w:tcPr>
            <w:tcW w:w="720" w:type="dxa"/>
            <w:vAlign w:val="center"/>
          </w:tcPr>
          <w:p w14:paraId="71B9AA6C">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46</w:t>
            </w:r>
          </w:p>
        </w:tc>
      </w:tr>
      <w:tr w14:paraId="165CEDC2">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7A7C0424">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w:t>
            </w:r>
          </w:p>
        </w:tc>
        <w:tc>
          <w:tcPr>
            <w:tcW w:w="1215" w:type="pct"/>
            <w:vAlign w:val="center"/>
          </w:tcPr>
          <w:p w14:paraId="02B7DA09">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62342F9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进风井北石门</w:t>
            </w:r>
          </w:p>
        </w:tc>
        <w:tc>
          <w:tcPr>
            <w:tcW w:w="621" w:type="pct"/>
            <w:vAlign w:val="center"/>
          </w:tcPr>
          <w:p w14:paraId="0713513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932" w:type="dxa"/>
            <w:vAlign w:val="center"/>
          </w:tcPr>
          <w:p w14:paraId="0B1E5CE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888.7</w:t>
            </w:r>
          </w:p>
        </w:tc>
        <w:tc>
          <w:tcPr>
            <w:tcW w:w="742" w:type="pct"/>
            <w:vAlign w:val="center"/>
          </w:tcPr>
          <w:p w14:paraId="26DFDCA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08" w:type="pct"/>
            <w:vAlign w:val="center"/>
          </w:tcPr>
          <w:p w14:paraId="75216D8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1E73B2F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400</w:t>
            </w:r>
          </w:p>
        </w:tc>
        <w:tc>
          <w:tcPr>
            <w:tcW w:w="720" w:type="dxa"/>
            <w:vAlign w:val="center"/>
          </w:tcPr>
          <w:p w14:paraId="57A6000E">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47</w:t>
            </w:r>
          </w:p>
        </w:tc>
      </w:tr>
      <w:tr w14:paraId="5A3AE79F">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0619E8B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6</w:t>
            </w:r>
          </w:p>
        </w:tc>
        <w:tc>
          <w:tcPr>
            <w:tcW w:w="1215" w:type="pct"/>
            <w:vAlign w:val="center"/>
          </w:tcPr>
          <w:p w14:paraId="2B00B780">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-475m水平</w:t>
            </w:r>
          </w:p>
          <w:p w14:paraId="558C843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进风井南石门</w:t>
            </w:r>
          </w:p>
        </w:tc>
        <w:tc>
          <w:tcPr>
            <w:tcW w:w="621" w:type="pct"/>
            <w:vAlign w:val="center"/>
          </w:tcPr>
          <w:p w14:paraId="0AB9F0B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932" w:type="dxa"/>
            <w:vAlign w:val="center"/>
          </w:tcPr>
          <w:p w14:paraId="1A54DDD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880.0</w:t>
            </w:r>
          </w:p>
        </w:tc>
        <w:tc>
          <w:tcPr>
            <w:tcW w:w="742" w:type="pct"/>
            <w:vAlign w:val="center"/>
          </w:tcPr>
          <w:p w14:paraId="44D086BC">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508" w:type="pct"/>
            <w:vAlign w:val="center"/>
          </w:tcPr>
          <w:p w14:paraId="0ECDA22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01D2936E">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400</w:t>
            </w:r>
          </w:p>
        </w:tc>
        <w:tc>
          <w:tcPr>
            <w:tcW w:w="720" w:type="dxa"/>
            <w:vAlign w:val="center"/>
          </w:tcPr>
          <w:p w14:paraId="066E8D99">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47</w:t>
            </w:r>
          </w:p>
        </w:tc>
      </w:tr>
      <w:tr w14:paraId="4B3D1C85">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c>
          <w:tcPr>
            <w:tcW w:w="388" w:type="pct"/>
            <w:vAlign w:val="center"/>
          </w:tcPr>
          <w:p w14:paraId="20D4A2B5">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7</w:t>
            </w:r>
          </w:p>
        </w:tc>
        <w:tc>
          <w:tcPr>
            <w:tcW w:w="1215" w:type="pct"/>
            <w:vAlign w:val="center"/>
          </w:tcPr>
          <w:p w14:paraId="1872D026">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-505m水平溜破系统</w:t>
            </w:r>
          </w:p>
          <w:p w14:paraId="07A805D8">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回风天井联络巷</w:t>
            </w:r>
          </w:p>
        </w:tc>
        <w:tc>
          <w:tcPr>
            <w:tcW w:w="621" w:type="pct"/>
            <w:vAlign w:val="center"/>
          </w:tcPr>
          <w:p w14:paraId="53F4E03F">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35</w:t>
            </w:r>
          </w:p>
        </w:tc>
        <w:tc>
          <w:tcPr>
            <w:tcW w:w="932" w:type="dxa"/>
            <w:vAlign w:val="center"/>
          </w:tcPr>
          <w:p w14:paraId="744BB43D">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206.6</w:t>
            </w:r>
          </w:p>
        </w:tc>
        <w:tc>
          <w:tcPr>
            <w:tcW w:w="742" w:type="pct"/>
            <w:vAlign w:val="center"/>
          </w:tcPr>
          <w:p w14:paraId="174E82D2">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FKZNo14</w:t>
            </w:r>
          </w:p>
        </w:tc>
        <w:tc>
          <w:tcPr>
            <w:tcW w:w="508" w:type="pct"/>
            <w:vAlign w:val="center"/>
          </w:tcPr>
          <w:p w14:paraId="39FD731A">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28" w:type="pct"/>
            <w:vAlign w:val="center"/>
          </w:tcPr>
          <w:p w14:paraId="4B358ADB">
            <w:pPr>
              <w:widowControl/>
              <w:adjustRightInd w:val="0"/>
              <w:snapToGrid w:val="0"/>
              <w:spacing w:line="240" w:lineRule="auto"/>
              <w:ind w:firstLine="0" w:firstLineChars="0"/>
              <w:jc w:val="center"/>
              <w:rPr>
                <w:rFonts w:cs="Times New Roman"/>
                <w:w w:val="90"/>
                <w:sz w:val="21"/>
                <w:szCs w:val="21"/>
              </w:rPr>
            </w:pPr>
            <w:r>
              <w:rPr>
                <w:rFonts w:cs="Times New Roman"/>
                <w:w w:val="90"/>
                <w:sz w:val="21"/>
                <w:szCs w:val="21"/>
              </w:rPr>
              <w:t>18.5</w:t>
            </w:r>
          </w:p>
        </w:tc>
        <w:tc>
          <w:tcPr>
            <w:tcW w:w="720" w:type="dxa"/>
            <w:vAlign w:val="center"/>
          </w:tcPr>
          <w:p w14:paraId="601CC84D">
            <w:pPr>
              <w:widowControl/>
              <w:snapToGrid w:val="0"/>
              <w:spacing w:line="240" w:lineRule="auto"/>
              <w:ind w:firstLine="0" w:firstLineChars="0"/>
              <w:jc w:val="center"/>
              <w:rPr>
                <w:rFonts w:cs="Times New Roman"/>
                <w:w w:val="90"/>
                <w:sz w:val="21"/>
                <w:szCs w:val="21"/>
              </w:rPr>
            </w:pPr>
            <w:r>
              <w:rPr>
                <w:rFonts w:hint="eastAsia" w:cs="Times New Roman"/>
                <w:spacing w:val="-20"/>
                <w:w w:val="90"/>
                <w:sz w:val="24"/>
                <w:szCs w:val="24"/>
              </w:rPr>
              <w:t>42</w:t>
            </w:r>
          </w:p>
        </w:tc>
      </w:tr>
    </w:tbl>
    <w:p w14:paraId="6A01A0CD">
      <w:pPr>
        <w:spacing w:line="360" w:lineRule="auto"/>
        <w:ind w:firstLine="560"/>
        <w:rPr>
          <w:szCs w:val="24"/>
        </w:rPr>
      </w:pPr>
      <w:r>
        <w:rPr>
          <w:szCs w:val="24"/>
        </w:rPr>
        <w:t>每台风机必须具有相同型号和规格的备用电动机，在风机站巷道顶板设手拉葫芦，以便迅速调换电动机。</w:t>
      </w:r>
    </w:p>
    <w:p w14:paraId="0DADDC46">
      <w:pPr>
        <w:spacing w:line="360" w:lineRule="auto"/>
        <w:ind w:firstLine="560"/>
        <w:rPr>
          <w:szCs w:val="24"/>
        </w:rPr>
      </w:pPr>
      <w:r>
        <w:rPr>
          <w:rFonts w:hint="eastAsia" w:cs="Times New Roman"/>
          <w:szCs w:val="24"/>
        </w:rPr>
        <w:t>主通风机采用地表远程控制，为确保风机的高效运转，选用动叶可调变频风机，实现全矿风量的动态调控。</w:t>
      </w:r>
    </w:p>
    <w:p w14:paraId="3EEE5448">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（4）局部通风</w:t>
      </w:r>
    </w:p>
    <w:p w14:paraId="582417F6">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回采工作面JK58-1No4.5型局扇需要45台，30台工作，15台备用。</w:t>
      </w:r>
    </w:p>
    <w:p w14:paraId="7BB80EF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采准工作面JK58-1No4型局扇需要36台，24台工作，12台备用。</w:t>
      </w:r>
    </w:p>
    <w:p w14:paraId="66C29175">
      <w:pPr>
        <w:snapToGrid w:val="0"/>
        <w:spacing w:line="360" w:lineRule="auto"/>
        <w:ind w:firstLine="560"/>
        <w:rPr>
          <w:rFonts w:asciiTheme="minorHAnsi" w:hAnsiTheme="minorHAnsi" w:cstheme="minorHAnsi"/>
          <w:szCs w:val="24"/>
        </w:rPr>
      </w:pPr>
      <w:r>
        <w:rPr>
          <w:rFonts w:hint="eastAsia" w:cs="Times New Roman"/>
          <w:szCs w:val="28"/>
        </w:rPr>
        <w:t>辅助通风机根据采场作业需要，智能启停，实现各作业面按需通风，提高通风效率，节能降耗。</w:t>
      </w:r>
    </w:p>
    <w:p w14:paraId="19491A1F">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（5）通风构筑物</w:t>
      </w:r>
    </w:p>
    <w:p w14:paraId="247BD036">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为防止通风系统形成循环风、风流短路或达到控制风流的目的，在需要控制风流的地方设置风门、调节风窗和密闭墙等。</w:t>
      </w:r>
    </w:p>
    <w:p w14:paraId="3CEF5CE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1）风门</w:t>
      </w:r>
    </w:p>
    <w:p w14:paraId="45CB7649">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为防止风流形成循环风或短路，需在如下位置设置风门，风门具有远距感应，智能开合的功能。</w:t>
      </w:r>
    </w:p>
    <w:p w14:paraId="2985B818">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在1号、2号采区斜坡道-400m、-425m、-450m及-475m分段联络巷处设置双风门，共计8套。</w:t>
      </w:r>
    </w:p>
    <w:p w14:paraId="09F447F0">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在-250m回风水平副井石门设置双风门，共计1套。</w:t>
      </w:r>
    </w:p>
    <w:p w14:paraId="7B788625">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在1号、2号回风井-400m水平、-475m水平、-505m水平石门设置单风门，共计6套。</w:t>
      </w:r>
    </w:p>
    <w:p w14:paraId="59BF2FFA">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2）调节风窗</w:t>
      </w:r>
    </w:p>
    <w:p w14:paraId="242D0446">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为均衡调节-505m有轨运输水平各运输穿脉内的风量，在-505m水平3号、4号、5号、6号、7号采区回风天井联络巷处设置调节风窗，共5套，其中3号、6号采区回风天井联络巷处，每套通过风量为10m</w:t>
      </w:r>
      <w:r>
        <w:rPr>
          <w:rFonts w:hint="eastAsia" w:asciiTheme="minorHAnsi" w:hAnsiTheme="minorHAnsi" w:cstheme="minorHAnsi"/>
          <w:szCs w:val="24"/>
          <w:vertAlign w:val="superscript"/>
        </w:rPr>
        <w:t>3</w:t>
      </w:r>
      <w:r>
        <w:rPr>
          <w:rFonts w:hint="eastAsia" w:asciiTheme="minorHAnsi" w:hAnsiTheme="minorHAnsi" w:cstheme="minorHAnsi"/>
          <w:szCs w:val="24"/>
        </w:rPr>
        <w:t>/s。4号、5号、7号采区回风天井联络巷处，每套通过风量为20m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6E09AD7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为控制风流，在-400m充填水平1~7号采区回风天井联络巷处设调节风窗，其中1号、2号采区回风天井联络巷处调节风窗通过风量为10m</w:t>
      </w:r>
      <w:r>
        <w:rPr>
          <w:rFonts w:hint="eastAsia" w:asciiTheme="minorHAnsi" w:hAnsiTheme="minorHAnsi" w:cstheme="minorHAnsi"/>
          <w:szCs w:val="24"/>
          <w:vertAlign w:val="superscript"/>
        </w:rPr>
        <w:t>3</w:t>
      </w:r>
      <w:r>
        <w:rPr>
          <w:rFonts w:hint="eastAsia" w:asciiTheme="minorHAnsi" w:hAnsiTheme="minorHAnsi" w:cstheme="minorHAnsi"/>
          <w:szCs w:val="24"/>
        </w:rPr>
        <w:t>/s，3~7号采区回风天井联络巷处调节风窗通过风量为6m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044FDB37">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3）密闭墙</w:t>
      </w:r>
    </w:p>
    <w:p w14:paraId="7B7A8963">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在进风井-400m、-505m水平石门处设密闭墙，共2处。</w:t>
      </w:r>
    </w:p>
    <w:p w14:paraId="1426A84A">
      <w:pPr>
        <w:widowControl/>
        <w:snapToGrid w:val="0"/>
        <w:spacing w:line="360" w:lineRule="auto"/>
        <w:ind w:firstLine="0" w:firstLineChars="0"/>
        <w:rPr>
          <w:rFonts w:asciiTheme="minorHAnsi" w:hAnsiTheme="minorHAnsi" w:cstheme="minorHAnsi"/>
          <w:b/>
          <w:bCs/>
          <w:szCs w:val="21"/>
        </w:rPr>
      </w:pPr>
      <w:r>
        <w:rPr>
          <w:rFonts w:hint="eastAsia" w:asciiTheme="minorHAnsi" w:hAnsiTheme="minorHAnsi" w:cstheme="minorHAnsi"/>
          <w:b/>
          <w:bCs/>
          <w:szCs w:val="21"/>
        </w:rPr>
        <w:t>2</w:t>
      </w:r>
      <w:r>
        <w:rPr>
          <w:rFonts w:asciiTheme="minorHAnsi" w:hAnsiTheme="minorHAnsi" w:cstheme="minorHAnsi"/>
          <w:b/>
          <w:bCs/>
          <w:szCs w:val="21"/>
        </w:rPr>
        <w:t>.4.6.2</w:t>
      </w:r>
      <w:r>
        <w:rPr>
          <w:rFonts w:hint="eastAsia" w:asciiTheme="minorHAnsi" w:hAnsiTheme="minorHAnsi" w:cstheme="minorHAnsi"/>
          <w:b/>
          <w:bCs/>
          <w:szCs w:val="21"/>
        </w:rPr>
        <w:t>二期通风</w:t>
      </w:r>
    </w:p>
    <w:p w14:paraId="2A12D701">
      <w:pPr>
        <w:widowControl/>
        <w:snapToGrid w:val="0"/>
        <w:spacing w:line="360" w:lineRule="auto"/>
        <w:ind w:firstLine="562"/>
        <w:rPr>
          <w:rFonts w:asciiTheme="minorHAnsi" w:hAnsiTheme="minorHAnsi" w:cstheme="minorHAnsi"/>
          <w:b/>
          <w:bCs/>
          <w:szCs w:val="21"/>
        </w:rPr>
      </w:pPr>
      <w:r>
        <w:rPr>
          <w:rFonts w:asciiTheme="minorHAnsi" w:hAnsiTheme="minorHAnsi" w:cstheme="minorHAnsi"/>
          <w:b/>
          <w:bCs/>
          <w:szCs w:val="21"/>
        </w:rPr>
        <w:t>（1）通风方式</w:t>
      </w:r>
    </w:p>
    <w:p w14:paraId="6A17E81E">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根据矿体的开拓系统和采场结构以及通风风路，采用多级机站压入、抽出结合的通风方式，对角式通风系统。</w:t>
      </w:r>
    </w:p>
    <w:p w14:paraId="3230A5FC">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进风井筒：副井、进风井、倒段进风井</w:t>
      </w:r>
    </w:p>
    <w:p w14:paraId="0F5C7B48">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回风井口：1号回风井、1号倒段回风井</w:t>
      </w:r>
    </w:p>
    <w:p w14:paraId="69F23E9D">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通风区域内包括生产盘区、运输水平、溜破系统等三个通风区。</w:t>
      </w:r>
    </w:p>
    <w:p w14:paraId="0D58F57D">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1）生产盘区通风系统</w:t>
      </w:r>
    </w:p>
    <w:p w14:paraId="28CE77D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彭集矿段新鲜风流从副井、进风井、倒段进风井进入-805m出矿进风水平，经下盘脉外联络巷、采区进风天井进入各分段水平工作面，冲刷工作面后的污风经采区回风天井回到-655m回风水平，通过1号倒段回风井、1号回风井排出地表。</w:t>
      </w:r>
    </w:p>
    <w:p w14:paraId="13D7DB6E">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冯家庄矿段新鲜风流从副井进入-475m出矿进风水平，经下盘脉外联络巷、采区进风天井进入各分段水平工作面，冲刷工作面后的污风经采区回风天井回到-400m充填回风水平，通过冯家庄回风井排出地表。</w:t>
      </w:r>
    </w:p>
    <w:p w14:paraId="5B09D583">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2）阶段运输水平通风系统</w:t>
      </w:r>
    </w:p>
    <w:p w14:paraId="2350F887">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彭集矿段新鲜风流从副井进入-835m运输水平，由副井石门、下盘沿脉运输巷道、穿脉运输巷道、进入工作面，冲刷工作面后的污风经上盘沿脉运输巷道、采区回风天井回到-655m回风水平，通过1号倒段回风井、1号回风井排出地表。</w:t>
      </w:r>
    </w:p>
    <w:p w14:paraId="745B292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冯家庄矿段新鲜风流从副井进入-505m运输水平，由副井石门、下盘沿脉运输巷道进入工作面，冲刷工作面后的污风经采区回风天井回到-400m充填回风水平，通过冯家庄回风井排出地表。与彭集矿段连通的-505m运输巷道，风流从彭集副井进入-505m运输水平，经运输巷道回到冯家庄矿段，再经采区回风天井回到-400m充填回风水平，通过冯家庄回风井排出地表。</w:t>
      </w:r>
    </w:p>
    <w:p w14:paraId="6845F23D">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3）溜破系统通风系统</w:t>
      </w:r>
    </w:p>
    <w:p w14:paraId="41AED12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新鲜风流从副井进入溜破系统破碎硐室、皮带道硐室。冲刷工作面后，经除尘净化后排入-835m运输水平，最后同运输水平污风一同排出地表。</w:t>
      </w:r>
    </w:p>
    <w:p w14:paraId="1220ECBC">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（2）风量</w:t>
      </w:r>
    </w:p>
    <w:p w14:paraId="37C7D17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二期达产规模450×1</w:t>
      </w:r>
      <w:r>
        <w:rPr>
          <w:rFonts w:asciiTheme="minorHAnsi" w:hAnsiTheme="minorHAnsi" w:cstheme="minorHAnsi"/>
          <w:szCs w:val="24"/>
        </w:rPr>
        <w:t>0</w:t>
      </w:r>
      <w:r>
        <w:rPr>
          <w:rFonts w:asciiTheme="minorHAnsi" w:hAnsiTheme="minorHAnsi" w:cstheme="minorHAnsi"/>
          <w:szCs w:val="24"/>
          <w:vertAlign w:val="superscript"/>
        </w:rPr>
        <w:t>4</w:t>
      </w:r>
      <w:r>
        <w:rPr>
          <w:rFonts w:hint="eastAsia" w:asciiTheme="minorHAnsi" w:hAnsiTheme="minorHAnsi" w:cstheme="minorHAnsi"/>
          <w:szCs w:val="24"/>
        </w:rPr>
        <w:t>t/a时，矿山总需风量最大，彭集矿段采场总需风量360m</w:t>
      </w:r>
      <w:r>
        <w:rPr>
          <w:rFonts w:hint="eastAsia" w:asciiTheme="minorHAnsi" w:hAnsiTheme="minorHAnsi" w:cstheme="minorHAnsi"/>
          <w:szCs w:val="24"/>
          <w:vertAlign w:val="superscript"/>
        </w:rPr>
        <w:t>3</w:t>
      </w:r>
      <w:r>
        <w:rPr>
          <w:rFonts w:hint="eastAsia" w:asciiTheme="minorHAnsi" w:hAnsiTheme="minorHAnsi" w:cstheme="minorHAnsi"/>
          <w:szCs w:val="24"/>
        </w:rPr>
        <w:t>/s，冯家庄矿段采场总需风量80m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59FAFC95">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（3）机站设置及风机选型</w:t>
      </w:r>
    </w:p>
    <w:p w14:paraId="2658AA0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二期达规模450×1</w:t>
      </w:r>
      <w:r>
        <w:rPr>
          <w:rFonts w:asciiTheme="minorHAnsi" w:hAnsiTheme="minorHAnsi" w:cstheme="minorHAnsi"/>
          <w:szCs w:val="24"/>
        </w:rPr>
        <w:t>0</w:t>
      </w:r>
      <w:r>
        <w:rPr>
          <w:rFonts w:asciiTheme="minorHAnsi" w:hAnsiTheme="minorHAnsi" w:cstheme="minorHAnsi"/>
          <w:szCs w:val="24"/>
          <w:vertAlign w:val="superscript"/>
        </w:rPr>
        <w:t>4</w:t>
      </w:r>
      <w:r>
        <w:rPr>
          <w:rFonts w:hint="eastAsia" w:asciiTheme="minorHAnsi" w:hAnsiTheme="minorHAnsi" w:cstheme="minorHAnsi"/>
          <w:szCs w:val="24"/>
        </w:rPr>
        <w:t>t/a生产阶段，共设6个机站，各风机站编号，位置及风机选型见表</w:t>
      </w:r>
      <w:r>
        <w:rPr>
          <w:rFonts w:asciiTheme="minorHAnsi" w:hAnsiTheme="minorHAnsi" w:cstheme="minorHAnsi"/>
          <w:szCs w:val="24"/>
        </w:rPr>
        <w:t>2.4-11</w:t>
      </w:r>
      <w:r>
        <w:rPr>
          <w:rFonts w:hint="eastAsia" w:asciiTheme="minorHAnsi" w:hAnsiTheme="minorHAnsi" w:cstheme="minorHAnsi"/>
          <w:szCs w:val="24"/>
        </w:rPr>
        <w:t>。</w:t>
      </w:r>
    </w:p>
    <w:p w14:paraId="5A5CBDA8">
      <w:pPr>
        <w:snapToGrid w:val="0"/>
        <w:spacing w:line="360" w:lineRule="auto"/>
        <w:ind w:firstLine="560"/>
        <w:jc w:val="center"/>
        <w:rPr>
          <w:rFonts w:asciiTheme="minorHAnsi" w:hAnsiTheme="minorHAnsi" w:cstheme="minorHAnsi"/>
          <w:szCs w:val="24"/>
        </w:rPr>
      </w:pPr>
      <w:r>
        <w:rPr>
          <w:rFonts w:hint="eastAsia" w:asciiTheme="minorHAnsi" w:hAnsiTheme="minorHAnsi" w:cstheme="minorHAnsi"/>
          <w:szCs w:val="24"/>
        </w:rPr>
        <w:t>表2</w:t>
      </w:r>
      <w:r>
        <w:rPr>
          <w:rFonts w:asciiTheme="minorHAnsi" w:hAnsiTheme="minorHAnsi" w:cstheme="minorHAnsi"/>
          <w:szCs w:val="24"/>
        </w:rPr>
        <w:t xml:space="preserve">.4-11 </w:t>
      </w:r>
      <w:r>
        <w:rPr>
          <w:rFonts w:hint="eastAsia" w:asciiTheme="minorHAnsi" w:hAnsiTheme="minorHAnsi" w:cstheme="minorHAnsi"/>
          <w:szCs w:val="24"/>
        </w:rPr>
        <w:t>二期达产规模450万t/a生产阶段风机选型表</w:t>
      </w:r>
    </w:p>
    <w:tbl>
      <w:tblPr>
        <w:tblStyle w:val="54"/>
        <w:tblW w:w="4997"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707"/>
        <w:gridCol w:w="2463"/>
        <w:gridCol w:w="936"/>
        <w:gridCol w:w="1097"/>
        <w:gridCol w:w="1516"/>
        <w:gridCol w:w="930"/>
        <w:gridCol w:w="1152"/>
        <w:gridCol w:w="707"/>
      </w:tblGrid>
      <w:tr w14:paraId="30E44E8B">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2233714E">
            <w:pPr>
              <w:widowControl/>
              <w:snapToGrid w:val="0"/>
              <w:spacing w:line="240" w:lineRule="auto"/>
              <w:ind w:firstLine="0" w:firstLineChars="0"/>
              <w:jc w:val="center"/>
              <w:rPr>
                <w:rFonts w:cs="Times New Roman"/>
                <w:w w:val="90"/>
                <w:sz w:val="21"/>
                <w:szCs w:val="21"/>
              </w:rPr>
            </w:pPr>
            <w:r>
              <w:rPr>
                <w:rFonts w:cs="Times New Roman"/>
                <w:w w:val="90"/>
                <w:sz w:val="21"/>
                <w:szCs w:val="21"/>
              </w:rPr>
              <w:t>机站</w:t>
            </w:r>
          </w:p>
          <w:p w14:paraId="2A8E7F20">
            <w:pPr>
              <w:widowControl/>
              <w:snapToGrid w:val="0"/>
              <w:spacing w:line="240" w:lineRule="auto"/>
              <w:ind w:firstLine="0" w:firstLineChars="0"/>
              <w:jc w:val="center"/>
              <w:rPr>
                <w:rFonts w:cs="Times New Roman"/>
                <w:w w:val="90"/>
                <w:sz w:val="21"/>
                <w:szCs w:val="21"/>
              </w:rPr>
            </w:pPr>
            <w:r>
              <w:rPr>
                <w:rFonts w:cs="Times New Roman"/>
                <w:w w:val="90"/>
                <w:sz w:val="21"/>
                <w:szCs w:val="21"/>
              </w:rPr>
              <w:t>编号</w:t>
            </w:r>
          </w:p>
        </w:tc>
        <w:tc>
          <w:tcPr>
            <w:tcW w:w="1295" w:type="pct"/>
            <w:vAlign w:val="center"/>
          </w:tcPr>
          <w:p w14:paraId="37AFB489">
            <w:pPr>
              <w:widowControl/>
              <w:snapToGrid w:val="0"/>
              <w:spacing w:line="240" w:lineRule="auto"/>
              <w:ind w:firstLine="0" w:firstLineChars="0"/>
              <w:jc w:val="center"/>
              <w:rPr>
                <w:rFonts w:cs="Times New Roman"/>
                <w:w w:val="90"/>
                <w:sz w:val="21"/>
                <w:szCs w:val="21"/>
              </w:rPr>
            </w:pPr>
            <w:r>
              <w:rPr>
                <w:rFonts w:cs="Times New Roman"/>
                <w:w w:val="90"/>
                <w:sz w:val="21"/>
                <w:szCs w:val="21"/>
              </w:rPr>
              <w:t>风机站</w:t>
            </w:r>
          </w:p>
          <w:p w14:paraId="6AADB14D">
            <w:pPr>
              <w:widowControl/>
              <w:snapToGrid w:val="0"/>
              <w:spacing w:line="240" w:lineRule="auto"/>
              <w:ind w:firstLine="0" w:firstLineChars="0"/>
              <w:jc w:val="center"/>
              <w:rPr>
                <w:rFonts w:cs="Times New Roman"/>
                <w:w w:val="90"/>
                <w:sz w:val="21"/>
                <w:szCs w:val="21"/>
              </w:rPr>
            </w:pPr>
            <w:r>
              <w:rPr>
                <w:rFonts w:cs="Times New Roman"/>
                <w:w w:val="90"/>
                <w:sz w:val="21"/>
                <w:szCs w:val="21"/>
              </w:rPr>
              <w:t>位置</w:t>
            </w:r>
          </w:p>
        </w:tc>
        <w:tc>
          <w:tcPr>
            <w:tcW w:w="492" w:type="pct"/>
            <w:vAlign w:val="center"/>
          </w:tcPr>
          <w:p w14:paraId="2477C665">
            <w:pPr>
              <w:widowControl/>
              <w:snapToGrid w:val="0"/>
              <w:spacing w:line="240" w:lineRule="auto"/>
              <w:ind w:firstLine="0" w:firstLineChars="0"/>
              <w:jc w:val="center"/>
              <w:rPr>
                <w:rFonts w:cs="Times New Roman"/>
                <w:w w:val="90"/>
                <w:sz w:val="21"/>
                <w:szCs w:val="21"/>
              </w:rPr>
            </w:pPr>
            <w:r>
              <w:rPr>
                <w:rFonts w:cs="Times New Roman"/>
                <w:w w:val="90"/>
                <w:sz w:val="21"/>
                <w:szCs w:val="21"/>
              </w:rPr>
              <w:t>风量</w:t>
            </w:r>
          </w:p>
          <w:p w14:paraId="2202C7FE">
            <w:pPr>
              <w:widowControl/>
              <w:snapToGrid w:val="0"/>
              <w:spacing w:line="240" w:lineRule="auto"/>
              <w:ind w:firstLine="0" w:firstLineChars="0"/>
              <w:jc w:val="center"/>
              <w:rPr>
                <w:rFonts w:cs="Times New Roman"/>
                <w:w w:val="90"/>
                <w:sz w:val="21"/>
                <w:szCs w:val="21"/>
              </w:rPr>
            </w:pPr>
            <w:r>
              <w:rPr>
                <w:rFonts w:cs="Times New Roman"/>
                <w:w w:val="90"/>
                <w:sz w:val="21"/>
                <w:szCs w:val="21"/>
              </w:rPr>
              <w:t>（m</w:t>
            </w:r>
            <w:r>
              <w:rPr>
                <w:rFonts w:cs="Times New Roman"/>
                <w:w w:val="90"/>
                <w:sz w:val="21"/>
                <w:szCs w:val="21"/>
                <w:vertAlign w:val="superscript"/>
              </w:rPr>
              <w:t>3/</w:t>
            </w:r>
            <w:r>
              <w:rPr>
                <w:rFonts w:cs="Times New Roman"/>
                <w:w w:val="90"/>
                <w:sz w:val="21"/>
                <w:szCs w:val="21"/>
              </w:rPr>
              <w:t>s）</w:t>
            </w:r>
          </w:p>
        </w:tc>
        <w:tc>
          <w:tcPr>
            <w:tcW w:w="577" w:type="pct"/>
            <w:vAlign w:val="center"/>
          </w:tcPr>
          <w:p w14:paraId="5FBF10B2">
            <w:pPr>
              <w:widowControl/>
              <w:snapToGrid w:val="0"/>
              <w:spacing w:line="240" w:lineRule="auto"/>
              <w:ind w:firstLine="0" w:firstLineChars="0"/>
              <w:jc w:val="center"/>
              <w:rPr>
                <w:rFonts w:cs="Times New Roman"/>
                <w:w w:val="90"/>
                <w:sz w:val="21"/>
                <w:szCs w:val="21"/>
              </w:rPr>
            </w:pPr>
            <w:r>
              <w:rPr>
                <w:rFonts w:cs="Times New Roman"/>
                <w:w w:val="90"/>
                <w:sz w:val="21"/>
                <w:szCs w:val="21"/>
              </w:rPr>
              <w:t>风阻</w:t>
            </w:r>
          </w:p>
          <w:p w14:paraId="3FF06A0F">
            <w:pPr>
              <w:widowControl/>
              <w:snapToGrid w:val="0"/>
              <w:spacing w:line="240" w:lineRule="auto"/>
              <w:ind w:firstLine="0" w:firstLineChars="0"/>
              <w:jc w:val="center"/>
              <w:rPr>
                <w:rFonts w:cs="Times New Roman"/>
                <w:w w:val="90"/>
                <w:sz w:val="21"/>
                <w:szCs w:val="21"/>
              </w:rPr>
            </w:pPr>
            <w:r>
              <w:rPr>
                <w:rFonts w:cs="Times New Roman"/>
                <w:w w:val="90"/>
                <w:sz w:val="21"/>
                <w:szCs w:val="21"/>
              </w:rPr>
              <w:t>（Pa）</w:t>
            </w:r>
          </w:p>
        </w:tc>
        <w:tc>
          <w:tcPr>
            <w:tcW w:w="797" w:type="pct"/>
            <w:vAlign w:val="center"/>
          </w:tcPr>
          <w:p w14:paraId="0521A2C9">
            <w:pPr>
              <w:widowControl/>
              <w:snapToGrid w:val="0"/>
              <w:spacing w:line="240" w:lineRule="auto"/>
              <w:ind w:firstLine="0" w:firstLineChars="0"/>
              <w:jc w:val="center"/>
              <w:rPr>
                <w:rFonts w:cs="Times New Roman"/>
                <w:w w:val="90"/>
                <w:sz w:val="21"/>
                <w:szCs w:val="21"/>
              </w:rPr>
            </w:pPr>
            <w:r>
              <w:rPr>
                <w:rFonts w:cs="Times New Roman"/>
                <w:w w:val="90"/>
                <w:sz w:val="21"/>
                <w:szCs w:val="21"/>
              </w:rPr>
              <w:t>风机</w:t>
            </w:r>
          </w:p>
          <w:p w14:paraId="766EAA9E">
            <w:pPr>
              <w:widowControl/>
              <w:snapToGrid w:val="0"/>
              <w:spacing w:line="240" w:lineRule="auto"/>
              <w:ind w:firstLine="0" w:firstLineChars="0"/>
              <w:jc w:val="center"/>
              <w:rPr>
                <w:rFonts w:cs="Times New Roman"/>
                <w:w w:val="90"/>
                <w:sz w:val="21"/>
                <w:szCs w:val="21"/>
              </w:rPr>
            </w:pPr>
            <w:r>
              <w:rPr>
                <w:rFonts w:cs="Times New Roman"/>
                <w:w w:val="90"/>
                <w:sz w:val="21"/>
                <w:szCs w:val="21"/>
              </w:rPr>
              <w:t>型号</w:t>
            </w:r>
          </w:p>
        </w:tc>
        <w:tc>
          <w:tcPr>
            <w:tcW w:w="489" w:type="pct"/>
            <w:vAlign w:val="center"/>
          </w:tcPr>
          <w:p w14:paraId="0E94790C">
            <w:pPr>
              <w:widowControl/>
              <w:snapToGrid w:val="0"/>
              <w:spacing w:line="240" w:lineRule="auto"/>
              <w:ind w:firstLine="0" w:firstLineChars="0"/>
              <w:jc w:val="center"/>
              <w:rPr>
                <w:rFonts w:cs="Times New Roman"/>
                <w:w w:val="90"/>
                <w:sz w:val="21"/>
                <w:szCs w:val="21"/>
              </w:rPr>
            </w:pPr>
            <w:r>
              <w:rPr>
                <w:rFonts w:cs="Times New Roman"/>
                <w:w w:val="90"/>
                <w:sz w:val="21"/>
                <w:szCs w:val="21"/>
              </w:rPr>
              <w:t>数量</w:t>
            </w:r>
          </w:p>
          <w:p w14:paraId="70F46865">
            <w:pPr>
              <w:widowControl/>
              <w:snapToGrid w:val="0"/>
              <w:spacing w:line="240" w:lineRule="auto"/>
              <w:ind w:firstLine="0" w:firstLineChars="0"/>
              <w:jc w:val="center"/>
              <w:rPr>
                <w:rFonts w:cs="Times New Roman"/>
                <w:w w:val="90"/>
                <w:sz w:val="21"/>
                <w:szCs w:val="21"/>
              </w:rPr>
            </w:pPr>
            <w:r>
              <w:rPr>
                <w:rFonts w:cs="Times New Roman"/>
                <w:w w:val="90"/>
                <w:sz w:val="21"/>
                <w:szCs w:val="21"/>
              </w:rPr>
              <w:t>（台）</w:t>
            </w:r>
          </w:p>
        </w:tc>
        <w:tc>
          <w:tcPr>
            <w:tcW w:w="606" w:type="pct"/>
            <w:vAlign w:val="center"/>
          </w:tcPr>
          <w:p w14:paraId="6B55DCE1">
            <w:pPr>
              <w:widowControl/>
              <w:snapToGrid w:val="0"/>
              <w:spacing w:line="240" w:lineRule="auto"/>
              <w:ind w:firstLine="0" w:firstLineChars="0"/>
              <w:jc w:val="center"/>
              <w:rPr>
                <w:rFonts w:cs="Times New Roman"/>
                <w:w w:val="90"/>
                <w:sz w:val="21"/>
                <w:szCs w:val="21"/>
              </w:rPr>
            </w:pPr>
            <w:r>
              <w:rPr>
                <w:rFonts w:cs="Times New Roman"/>
                <w:w w:val="90"/>
                <w:sz w:val="21"/>
                <w:szCs w:val="21"/>
              </w:rPr>
              <w:t>单台功率</w:t>
            </w:r>
          </w:p>
          <w:p w14:paraId="58079D0C">
            <w:pPr>
              <w:widowControl/>
              <w:snapToGrid w:val="0"/>
              <w:spacing w:line="240" w:lineRule="auto"/>
              <w:ind w:firstLine="0" w:firstLineChars="0"/>
              <w:jc w:val="center"/>
              <w:rPr>
                <w:rFonts w:cs="Times New Roman"/>
                <w:w w:val="90"/>
                <w:sz w:val="21"/>
                <w:szCs w:val="21"/>
              </w:rPr>
            </w:pPr>
            <w:r>
              <w:rPr>
                <w:rFonts w:cs="Times New Roman"/>
                <w:w w:val="90"/>
                <w:sz w:val="21"/>
                <w:szCs w:val="21"/>
              </w:rPr>
              <w:t>（kW）</w:t>
            </w:r>
          </w:p>
        </w:tc>
        <w:tc>
          <w:tcPr>
            <w:tcW w:w="372" w:type="pct"/>
            <w:vAlign w:val="center"/>
          </w:tcPr>
          <w:p w14:paraId="3720B232">
            <w:pPr>
              <w:widowControl/>
              <w:snapToGrid w:val="0"/>
              <w:spacing w:line="240" w:lineRule="auto"/>
              <w:ind w:firstLine="0" w:firstLineChars="0"/>
              <w:jc w:val="center"/>
              <w:rPr>
                <w:rFonts w:cs="Times New Roman"/>
                <w:w w:val="90"/>
                <w:sz w:val="21"/>
                <w:szCs w:val="21"/>
              </w:rPr>
            </w:pPr>
            <w:r>
              <w:rPr>
                <w:rFonts w:cs="Times New Roman"/>
                <w:w w:val="90"/>
                <w:sz w:val="21"/>
                <w:szCs w:val="21"/>
              </w:rPr>
              <w:t>通风</w:t>
            </w:r>
          </w:p>
          <w:p w14:paraId="7C610406">
            <w:pPr>
              <w:widowControl/>
              <w:snapToGrid w:val="0"/>
              <w:spacing w:line="240" w:lineRule="auto"/>
              <w:ind w:firstLine="0" w:firstLineChars="0"/>
              <w:jc w:val="center"/>
              <w:rPr>
                <w:rFonts w:cs="Times New Roman"/>
                <w:w w:val="90"/>
                <w:sz w:val="21"/>
                <w:szCs w:val="21"/>
              </w:rPr>
            </w:pPr>
            <w:r>
              <w:rPr>
                <w:rFonts w:cs="Times New Roman"/>
                <w:w w:val="90"/>
                <w:sz w:val="21"/>
                <w:szCs w:val="21"/>
              </w:rPr>
              <w:t>方式</w:t>
            </w:r>
          </w:p>
        </w:tc>
      </w:tr>
      <w:tr w14:paraId="17B35937">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97" w:hRule="atLeast"/>
          <w:jc w:val="center"/>
        </w:trPr>
        <w:tc>
          <w:tcPr>
            <w:tcW w:w="372" w:type="pct"/>
            <w:vAlign w:val="center"/>
          </w:tcPr>
          <w:p w14:paraId="41A607C8">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1295" w:type="pct"/>
            <w:vAlign w:val="center"/>
          </w:tcPr>
          <w:p w14:paraId="198562F8">
            <w:pPr>
              <w:widowControl/>
              <w:snapToGrid w:val="0"/>
              <w:spacing w:line="240" w:lineRule="auto"/>
              <w:ind w:firstLine="0" w:firstLineChars="0"/>
              <w:jc w:val="center"/>
              <w:rPr>
                <w:rFonts w:cs="Times New Roman"/>
                <w:w w:val="90"/>
                <w:sz w:val="21"/>
                <w:szCs w:val="21"/>
              </w:rPr>
            </w:pPr>
            <w:r>
              <w:rPr>
                <w:rFonts w:cs="Times New Roman"/>
                <w:w w:val="90"/>
                <w:sz w:val="21"/>
                <w:szCs w:val="21"/>
              </w:rPr>
              <w:t>-655m水平彭集矿段1号倒段回风井北石门</w:t>
            </w:r>
          </w:p>
        </w:tc>
        <w:tc>
          <w:tcPr>
            <w:tcW w:w="492" w:type="pct"/>
            <w:vAlign w:val="center"/>
          </w:tcPr>
          <w:p w14:paraId="2D32795F">
            <w:pPr>
              <w:widowControl/>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577" w:type="pct"/>
            <w:vAlign w:val="center"/>
          </w:tcPr>
          <w:p w14:paraId="0466EA9C">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2814.6 </w:t>
            </w:r>
          </w:p>
        </w:tc>
        <w:tc>
          <w:tcPr>
            <w:tcW w:w="797" w:type="pct"/>
            <w:vAlign w:val="center"/>
          </w:tcPr>
          <w:p w14:paraId="7B4325E1">
            <w:pPr>
              <w:widowControl/>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489" w:type="pct"/>
            <w:vAlign w:val="center"/>
          </w:tcPr>
          <w:p w14:paraId="5A112651">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5EF7DBBF">
            <w:pPr>
              <w:widowControl/>
              <w:snapToGrid w:val="0"/>
              <w:spacing w:line="240" w:lineRule="auto"/>
              <w:ind w:firstLine="0" w:firstLineChars="0"/>
              <w:jc w:val="center"/>
              <w:rPr>
                <w:rFonts w:cs="Times New Roman"/>
                <w:w w:val="90"/>
                <w:sz w:val="21"/>
                <w:szCs w:val="21"/>
              </w:rPr>
            </w:pPr>
            <w:r>
              <w:rPr>
                <w:rFonts w:cs="Times New Roman"/>
                <w:w w:val="90"/>
                <w:sz w:val="21"/>
                <w:szCs w:val="21"/>
              </w:rPr>
              <w:t>800</w:t>
            </w:r>
          </w:p>
        </w:tc>
        <w:tc>
          <w:tcPr>
            <w:tcW w:w="372" w:type="pct"/>
            <w:vAlign w:val="center"/>
          </w:tcPr>
          <w:p w14:paraId="65B624EC">
            <w:pPr>
              <w:widowControl/>
              <w:snapToGrid w:val="0"/>
              <w:spacing w:line="240" w:lineRule="auto"/>
              <w:ind w:firstLine="0" w:firstLineChars="0"/>
              <w:jc w:val="center"/>
              <w:rPr>
                <w:rFonts w:cs="Times New Roman"/>
                <w:w w:val="90"/>
                <w:sz w:val="21"/>
                <w:szCs w:val="21"/>
              </w:rPr>
            </w:pPr>
            <w:r>
              <w:rPr>
                <w:rFonts w:cs="Times New Roman"/>
                <w:w w:val="90"/>
                <w:sz w:val="21"/>
                <w:szCs w:val="21"/>
              </w:rPr>
              <w:t>抽出</w:t>
            </w:r>
          </w:p>
        </w:tc>
      </w:tr>
      <w:tr w14:paraId="6D2A67CA">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56724089">
            <w:pPr>
              <w:widowControl/>
              <w:snapToGrid w:val="0"/>
              <w:spacing w:line="240" w:lineRule="auto"/>
              <w:ind w:firstLine="0" w:firstLineChars="0"/>
              <w:jc w:val="center"/>
              <w:rPr>
                <w:rFonts w:cs="Times New Roman"/>
                <w:w w:val="90"/>
                <w:sz w:val="21"/>
                <w:szCs w:val="21"/>
              </w:rPr>
            </w:pPr>
            <w:r>
              <w:rPr>
                <w:rFonts w:cs="Times New Roman"/>
                <w:w w:val="90"/>
                <w:sz w:val="21"/>
                <w:szCs w:val="21"/>
              </w:rPr>
              <w:t>2</w:t>
            </w:r>
          </w:p>
        </w:tc>
        <w:tc>
          <w:tcPr>
            <w:tcW w:w="1295" w:type="pct"/>
            <w:vAlign w:val="center"/>
          </w:tcPr>
          <w:p w14:paraId="7822B264">
            <w:pPr>
              <w:widowControl/>
              <w:snapToGrid w:val="0"/>
              <w:spacing w:line="240" w:lineRule="auto"/>
              <w:ind w:firstLine="0" w:firstLineChars="0"/>
              <w:jc w:val="center"/>
              <w:rPr>
                <w:rFonts w:cs="Times New Roman"/>
                <w:w w:val="90"/>
                <w:sz w:val="21"/>
                <w:szCs w:val="21"/>
              </w:rPr>
            </w:pPr>
            <w:r>
              <w:rPr>
                <w:rFonts w:cs="Times New Roman"/>
                <w:w w:val="90"/>
                <w:sz w:val="21"/>
                <w:szCs w:val="21"/>
              </w:rPr>
              <w:t>-655m水平彭集矿段1号倒段回风井南石门</w:t>
            </w:r>
          </w:p>
        </w:tc>
        <w:tc>
          <w:tcPr>
            <w:tcW w:w="492" w:type="pct"/>
            <w:vAlign w:val="center"/>
          </w:tcPr>
          <w:p w14:paraId="6622925F">
            <w:pPr>
              <w:widowControl/>
              <w:snapToGrid w:val="0"/>
              <w:spacing w:line="240" w:lineRule="auto"/>
              <w:ind w:firstLine="0" w:firstLineChars="0"/>
              <w:jc w:val="center"/>
              <w:rPr>
                <w:rFonts w:cs="Times New Roman"/>
                <w:w w:val="90"/>
                <w:sz w:val="21"/>
                <w:szCs w:val="21"/>
              </w:rPr>
            </w:pPr>
            <w:r>
              <w:rPr>
                <w:rFonts w:cs="Times New Roman"/>
                <w:w w:val="90"/>
                <w:sz w:val="21"/>
                <w:szCs w:val="21"/>
              </w:rPr>
              <w:t>207</w:t>
            </w:r>
          </w:p>
        </w:tc>
        <w:tc>
          <w:tcPr>
            <w:tcW w:w="577" w:type="pct"/>
            <w:vAlign w:val="center"/>
          </w:tcPr>
          <w:p w14:paraId="57564404">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2889.7 </w:t>
            </w:r>
          </w:p>
        </w:tc>
        <w:tc>
          <w:tcPr>
            <w:tcW w:w="797" w:type="pct"/>
            <w:vAlign w:val="center"/>
          </w:tcPr>
          <w:p w14:paraId="237C30CF">
            <w:pPr>
              <w:widowControl/>
              <w:snapToGrid w:val="0"/>
              <w:spacing w:line="240" w:lineRule="auto"/>
              <w:ind w:firstLine="0" w:firstLineChars="0"/>
              <w:jc w:val="center"/>
              <w:rPr>
                <w:rFonts w:cs="Times New Roman"/>
                <w:w w:val="90"/>
                <w:sz w:val="21"/>
                <w:szCs w:val="21"/>
              </w:rPr>
            </w:pPr>
            <w:r>
              <w:rPr>
                <w:rFonts w:cs="Times New Roman"/>
                <w:w w:val="90"/>
                <w:sz w:val="21"/>
                <w:szCs w:val="21"/>
              </w:rPr>
              <w:t>FKZNo26.5</w:t>
            </w:r>
          </w:p>
        </w:tc>
        <w:tc>
          <w:tcPr>
            <w:tcW w:w="489" w:type="pct"/>
            <w:vAlign w:val="center"/>
          </w:tcPr>
          <w:p w14:paraId="6E69497E">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58354DE0">
            <w:pPr>
              <w:widowControl/>
              <w:snapToGrid w:val="0"/>
              <w:spacing w:line="240" w:lineRule="auto"/>
              <w:ind w:firstLine="0" w:firstLineChars="0"/>
              <w:jc w:val="center"/>
              <w:rPr>
                <w:rFonts w:cs="Times New Roman"/>
                <w:w w:val="90"/>
                <w:sz w:val="21"/>
                <w:szCs w:val="21"/>
              </w:rPr>
            </w:pPr>
            <w:r>
              <w:rPr>
                <w:rFonts w:cs="Times New Roman"/>
                <w:w w:val="90"/>
                <w:sz w:val="21"/>
                <w:szCs w:val="21"/>
              </w:rPr>
              <w:t>800</w:t>
            </w:r>
          </w:p>
        </w:tc>
        <w:tc>
          <w:tcPr>
            <w:tcW w:w="372" w:type="pct"/>
            <w:vAlign w:val="center"/>
          </w:tcPr>
          <w:p w14:paraId="0FF961D2">
            <w:pPr>
              <w:widowControl/>
              <w:snapToGrid w:val="0"/>
              <w:spacing w:line="240" w:lineRule="auto"/>
              <w:ind w:firstLine="0" w:firstLineChars="0"/>
              <w:jc w:val="center"/>
              <w:rPr>
                <w:rFonts w:cs="Times New Roman"/>
                <w:w w:val="90"/>
                <w:sz w:val="21"/>
                <w:szCs w:val="21"/>
              </w:rPr>
            </w:pPr>
            <w:r>
              <w:rPr>
                <w:rFonts w:cs="Times New Roman"/>
                <w:w w:val="90"/>
                <w:sz w:val="21"/>
                <w:szCs w:val="21"/>
              </w:rPr>
              <w:t>抽出</w:t>
            </w:r>
          </w:p>
        </w:tc>
      </w:tr>
      <w:tr w14:paraId="60FAFE7D">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0EDC9A8F">
            <w:pPr>
              <w:widowControl/>
              <w:snapToGrid w:val="0"/>
              <w:spacing w:line="240" w:lineRule="auto"/>
              <w:ind w:firstLine="0" w:firstLineChars="0"/>
              <w:jc w:val="center"/>
              <w:rPr>
                <w:rFonts w:cs="Times New Roman"/>
                <w:w w:val="90"/>
                <w:sz w:val="21"/>
                <w:szCs w:val="21"/>
              </w:rPr>
            </w:pPr>
            <w:r>
              <w:rPr>
                <w:rFonts w:cs="Times New Roman"/>
                <w:w w:val="90"/>
                <w:sz w:val="21"/>
                <w:szCs w:val="21"/>
              </w:rPr>
              <w:t>3</w:t>
            </w:r>
          </w:p>
        </w:tc>
        <w:tc>
          <w:tcPr>
            <w:tcW w:w="1295" w:type="pct"/>
            <w:vAlign w:val="center"/>
          </w:tcPr>
          <w:p w14:paraId="40222243">
            <w:pPr>
              <w:widowControl/>
              <w:snapToGrid w:val="0"/>
              <w:spacing w:line="240" w:lineRule="auto"/>
              <w:ind w:firstLine="0" w:firstLineChars="0"/>
              <w:jc w:val="center"/>
              <w:rPr>
                <w:rFonts w:cs="Times New Roman"/>
                <w:w w:val="90"/>
                <w:sz w:val="21"/>
                <w:szCs w:val="21"/>
              </w:rPr>
            </w:pPr>
            <w:r>
              <w:rPr>
                <w:rFonts w:cs="Times New Roman"/>
                <w:w w:val="90"/>
                <w:sz w:val="21"/>
                <w:szCs w:val="21"/>
              </w:rPr>
              <w:t>-475m水平彭集矿段进风井北石门（利旧一期）</w:t>
            </w:r>
          </w:p>
        </w:tc>
        <w:tc>
          <w:tcPr>
            <w:tcW w:w="492" w:type="pct"/>
            <w:vAlign w:val="center"/>
          </w:tcPr>
          <w:p w14:paraId="788934A9">
            <w:pPr>
              <w:widowControl/>
              <w:snapToGrid w:val="0"/>
              <w:spacing w:line="240" w:lineRule="auto"/>
              <w:ind w:firstLine="0" w:firstLineChars="0"/>
              <w:jc w:val="center"/>
              <w:rPr>
                <w:rFonts w:cs="Times New Roman"/>
                <w:w w:val="90"/>
                <w:sz w:val="21"/>
                <w:szCs w:val="21"/>
              </w:rPr>
            </w:pPr>
            <w:r>
              <w:rPr>
                <w:rFonts w:cs="Times New Roman"/>
                <w:w w:val="90"/>
                <w:sz w:val="21"/>
                <w:szCs w:val="21"/>
              </w:rPr>
              <w:t>276</w:t>
            </w:r>
          </w:p>
        </w:tc>
        <w:tc>
          <w:tcPr>
            <w:tcW w:w="577" w:type="pct"/>
            <w:vAlign w:val="center"/>
          </w:tcPr>
          <w:p w14:paraId="42B62CCF">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1265.6 </w:t>
            </w:r>
          </w:p>
        </w:tc>
        <w:tc>
          <w:tcPr>
            <w:tcW w:w="797" w:type="pct"/>
            <w:vAlign w:val="center"/>
          </w:tcPr>
          <w:p w14:paraId="61E1CCF3">
            <w:pPr>
              <w:widowControl/>
              <w:snapToGrid w:val="0"/>
              <w:spacing w:line="240" w:lineRule="auto"/>
              <w:ind w:firstLine="0" w:firstLineChars="0"/>
              <w:jc w:val="center"/>
              <w:rPr>
                <w:rFonts w:cs="Times New Roman"/>
                <w:w w:val="90"/>
                <w:sz w:val="21"/>
                <w:szCs w:val="21"/>
              </w:rPr>
            </w:pPr>
            <w:r>
              <w:rPr>
                <w:rFonts w:cs="Times New Roman"/>
                <w:w w:val="90"/>
                <w:sz w:val="21"/>
                <w:szCs w:val="21"/>
              </w:rPr>
              <w:t>FKZNo28</w:t>
            </w:r>
          </w:p>
        </w:tc>
        <w:tc>
          <w:tcPr>
            <w:tcW w:w="489" w:type="pct"/>
            <w:vAlign w:val="center"/>
          </w:tcPr>
          <w:p w14:paraId="2E80789F">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11A02649">
            <w:pPr>
              <w:widowControl/>
              <w:snapToGrid w:val="0"/>
              <w:spacing w:line="240" w:lineRule="auto"/>
              <w:ind w:firstLine="0" w:firstLineChars="0"/>
              <w:jc w:val="center"/>
              <w:rPr>
                <w:rFonts w:cs="Times New Roman"/>
                <w:w w:val="90"/>
                <w:sz w:val="21"/>
                <w:szCs w:val="21"/>
              </w:rPr>
            </w:pPr>
            <w:r>
              <w:rPr>
                <w:rFonts w:cs="Times New Roman"/>
                <w:w w:val="90"/>
                <w:sz w:val="21"/>
                <w:szCs w:val="21"/>
              </w:rPr>
              <w:t>450</w:t>
            </w:r>
          </w:p>
        </w:tc>
        <w:tc>
          <w:tcPr>
            <w:tcW w:w="372" w:type="pct"/>
            <w:vAlign w:val="center"/>
          </w:tcPr>
          <w:p w14:paraId="47E96CAD">
            <w:pPr>
              <w:widowControl/>
              <w:snapToGrid w:val="0"/>
              <w:spacing w:line="240" w:lineRule="auto"/>
              <w:ind w:firstLine="0" w:firstLineChars="0"/>
              <w:jc w:val="center"/>
              <w:rPr>
                <w:rFonts w:cs="Times New Roman"/>
                <w:w w:val="90"/>
                <w:sz w:val="21"/>
                <w:szCs w:val="21"/>
              </w:rPr>
            </w:pPr>
            <w:r>
              <w:rPr>
                <w:rFonts w:cs="Times New Roman"/>
                <w:w w:val="90"/>
                <w:sz w:val="21"/>
                <w:szCs w:val="21"/>
              </w:rPr>
              <w:t>压入</w:t>
            </w:r>
          </w:p>
        </w:tc>
      </w:tr>
      <w:tr w14:paraId="0BC269FE">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1801F2DB">
            <w:pPr>
              <w:widowControl/>
              <w:snapToGrid w:val="0"/>
              <w:spacing w:line="240" w:lineRule="auto"/>
              <w:ind w:firstLine="0" w:firstLineChars="0"/>
              <w:jc w:val="center"/>
              <w:rPr>
                <w:rFonts w:cs="Times New Roman"/>
                <w:w w:val="90"/>
                <w:sz w:val="21"/>
                <w:szCs w:val="21"/>
              </w:rPr>
            </w:pPr>
            <w:r>
              <w:rPr>
                <w:rFonts w:cs="Times New Roman"/>
                <w:w w:val="90"/>
                <w:sz w:val="21"/>
                <w:szCs w:val="21"/>
              </w:rPr>
              <w:t>4</w:t>
            </w:r>
          </w:p>
        </w:tc>
        <w:tc>
          <w:tcPr>
            <w:tcW w:w="1295" w:type="pct"/>
            <w:vAlign w:val="center"/>
          </w:tcPr>
          <w:p w14:paraId="1DCE6F30">
            <w:pPr>
              <w:widowControl/>
              <w:snapToGrid w:val="0"/>
              <w:spacing w:line="240" w:lineRule="auto"/>
              <w:ind w:firstLine="0" w:firstLineChars="0"/>
              <w:jc w:val="center"/>
              <w:rPr>
                <w:rFonts w:cs="Times New Roman"/>
                <w:w w:val="90"/>
                <w:sz w:val="21"/>
                <w:szCs w:val="21"/>
              </w:rPr>
            </w:pPr>
            <w:r>
              <w:rPr>
                <w:rFonts w:cs="Times New Roman"/>
                <w:w w:val="90"/>
                <w:sz w:val="21"/>
                <w:szCs w:val="21"/>
              </w:rPr>
              <w:t>-505m水平彭集矿段溜破系统回风天井联络巷（利旧一期）</w:t>
            </w:r>
          </w:p>
        </w:tc>
        <w:tc>
          <w:tcPr>
            <w:tcW w:w="492" w:type="pct"/>
            <w:vAlign w:val="center"/>
          </w:tcPr>
          <w:p w14:paraId="138C3DB0">
            <w:pPr>
              <w:widowControl/>
              <w:snapToGrid w:val="0"/>
              <w:spacing w:line="240" w:lineRule="auto"/>
              <w:ind w:firstLine="0" w:firstLineChars="0"/>
              <w:jc w:val="center"/>
              <w:rPr>
                <w:rFonts w:cs="Times New Roman"/>
                <w:w w:val="90"/>
                <w:sz w:val="21"/>
                <w:szCs w:val="21"/>
              </w:rPr>
            </w:pPr>
            <w:r>
              <w:rPr>
                <w:rFonts w:cs="Times New Roman"/>
                <w:w w:val="90"/>
                <w:sz w:val="21"/>
                <w:szCs w:val="21"/>
              </w:rPr>
              <w:t>34.5</w:t>
            </w:r>
          </w:p>
        </w:tc>
        <w:tc>
          <w:tcPr>
            <w:tcW w:w="577" w:type="pct"/>
            <w:vAlign w:val="center"/>
          </w:tcPr>
          <w:p w14:paraId="062733BA">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338.8 </w:t>
            </w:r>
          </w:p>
        </w:tc>
        <w:tc>
          <w:tcPr>
            <w:tcW w:w="797" w:type="pct"/>
            <w:vAlign w:val="center"/>
          </w:tcPr>
          <w:p w14:paraId="28F80F2F">
            <w:pPr>
              <w:widowControl/>
              <w:snapToGrid w:val="0"/>
              <w:spacing w:line="240" w:lineRule="auto"/>
              <w:ind w:firstLine="0" w:firstLineChars="0"/>
              <w:jc w:val="center"/>
              <w:rPr>
                <w:rFonts w:cs="Times New Roman"/>
                <w:w w:val="90"/>
                <w:sz w:val="21"/>
                <w:szCs w:val="21"/>
              </w:rPr>
            </w:pPr>
            <w:r>
              <w:rPr>
                <w:rFonts w:cs="Times New Roman"/>
                <w:w w:val="90"/>
                <w:sz w:val="21"/>
                <w:szCs w:val="21"/>
              </w:rPr>
              <w:t>FKZNo14</w:t>
            </w:r>
          </w:p>
        </w:tc>
        <w:tc>
          <w:tcPr>
            <w:tcW w:w="489" w:type="pct"/>
            <w:vAlign w:val="center"/>
          </w:tcPr>
          <w:p w14:paraId="4F6B42C8">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60EDE226">
            <w:pPr>
              <w:widowControl/>
              <w:snapToGrid w:val="0"/>
              <w:spacing w:line="240" w:lineRule="auto"/>
              <w:ind w:firstLine="0" w:firstLineChars="0"/>
              <w:jc w:val="center"/>
              <w:rPr>
                <w:rFonts w:cs="Times New Roman"/>
                <w:w w:val="90"/>
                <w:sz w:val="21"/>
                <w:szCs w:val="21"/>
              </w:rPr>
            </w:pPr>
            <w:r>
              <w:rPr>
                <w:rFonts w:cs="Times New Roman"/>
                <w:w w:val="90"/>
                <w:sz w:val="21"/>
                <w:szCs w:val="21"/>
              </w:rPr>
              <w:t>18.5</w:t>
            </w:r>
          </w:p>
        </w:tc>
        <w:tc>
          <w:tcPr>
            <w:tcW w:w="372" w:type="pct"/>
            <w:vAlign w:val="center"/>
          </w:tcPr>
          <w:p w14:paraId="2109B070">
            <w:pPr>
              <w:widowControl/>
              <w:snapToGrid w:val="0"/>
              <w:spacing w:line="240" w:lineRule="auto"/>
              <w:ind w:firstLine="0" w:firstLineChars="0"/>
              <w:jc w:val="center"/>
              <w:rPr>
                <w:rFonts w:cs="Times New Roman"/>
                <w:w w:val="90"/>
                <w:sz w:val="21"/>
                <w:szCs w:val="21"/>
              </w:rPr>
            </w:pPr>
            <w:r>
              <w:rPr>
                <w:rFonts w:cs="Times New Roman"/>
                <w:w w:val="90"/>
                <w:sz w:val="21"/>
                <w:szCs w:val="21"/>
              </w:rPr>
              <w:t>抽出</w:t>
            </w:r>
          </w:p>
        </w:tc>
      </w:tr>
      <w:tr w14:paraId="6F2035AF">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3C68FCAE">
            <w:pPr>
              <w:widowControl/>
              <w:snapToGrid w:val="0"/>
              <w:spacing w:line="240" w:lineRule="auto"/>
              <w:ind w:firstLine="0" w:firstLineChars="0"/>
              <w:jc w:val="center"/>
              <w:rPr>
                <w:rFonts w:cs="Times New Roman"/>
                <w:w w:val="90"/>
                <w:sz w:val="21"/>
                <w:szCs w:val="21"/>
              </w:rPr>
            </w:pPr>
            <w:r>
              <w:rPr>
                <w:rFonts w:cs="Times New Roman"/>
                <w:w w:val="90"/>
                <w:sz w:val="21"/>
                <w:szCs w:val="21"/>
              </w:rPr>
              <w:t>5</w:t>
            </w:r>
          </w:p>
        </w:tc>
        <w:tc>
          <w:tcPr>
            <w:tcW w:w="1295" w:type="pct"/>
            <w:vAlign w:val="center"/>
          </w:tcPr>
          <w:p w14:paraId="22B27D06">
            <w:pPr>
              <w:widowControl/>
              <w:snapToGrid w:val="0"/>
              <w:spacing w:line="240" w:lineRule="auto"/>
              <w:ind w:firstLine="0" w:firstLineChars="0"/>
              <w:jc w:val="center"/>
              <w:rPr>
                <w:rFonts w:cs="Times New Roman"/>
                <w:w w:val="90"/>
                <w:sz w:val="21"/>
                <w:szCs w:val="21"/>
              </w:rPr>
            </w:pPr>
            <w:r>
              <w:rPr>
                <w:rFonts w:cs="Times New Roman"/>
                <w:w w:val="90"/>
                <w:sz w:val="21"/>
                <w:szCs w:val="21"/>
              </w:rPr>
              <w:t>-835m水平彭集矿段溜破系统回风天井联络巷</w:t>
            </w:r>
          </w:p>
        </w:tc>
        <w:tc>
          <w:tcPr>
            <w:tcW w:w="492" w:type="pct"/>
            <w:vAlign w:val="center"/>
          </w:tcPr>
          <w:p w14:paraId="3473128B">
            <w:pPr>
              <w:widowControl/>
              <w:snapToGrid w:val="0"/>
              <w:spacing w:line="240" w:lineRule="auto"/>
              <w:ind w:firstLine="0" w:firstLineChars="0"/>
              <w:jc w:val="center"/>
              <w:rPr>
                <w:rFonts w:cs="Times New Roman"/>
                <w:w w:val="90"/>
                <w:sz w:val="21"/>
                <w:szCs w:val="21"/>
              </w:rPr>
            </w:pPr>
            <w:r>
              <w:rPr>
                <w:rFonts w:cs="Times New Roman"/>
                <w:w w:val="90"/>
                <w:sz w:val="21"/>
                <w:szCs w:val="21"/>
              </w:rPr>
              <w:t>17.25</w:t>
            </w:r>
          </w:p>
        </w:tc>
        <w:tc>
          <w:tcPr>
            <w:tcW w:w="577" w:type="pct"/>
            <w:vAlign w:val="center"/>
          </w:tcPr>
          <w:p w14:paraId="3D9B1D49">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257.7 </w:t>
            </w:r>
          </w:p>
        </w:tc>
        <w:tc>
          <w:tcPr>
            <w:tcW w:w="797" w:type="pct"/>
            <w:vAlign w:val="center"/>
          </w:tcPr>
          <w:p w14:paraId="02BF5B9B">
            <w:pPr>
              <w:widowControl/>
              <w:snapToGrid w:val="0"/>
              <w:spacing w:line="240" w:lineRule="auto"/>
              <w:ind w:firstLine="0" w:firstLineChars="0"/>
              <w:jc w:val="center"/>
              <w:rPr>
                <w:rFonts w:cs="Times New Roman"/>
                <w:w w:val="90"/>
                <w:sz w:val="21"/>
                <w:szCs w:val="21"/>
              </w:rPr>
            </w:pPr>
            <w:r>
              <w:rPr>
                <w:rFonts w:cs="Times New Roman"/>
                <w:w w:val="90"/>
                <w:sz w:val="21"/>
                <w:szCs w:val="21"/>
              </w:rPr>
              <w:t>FKZNo14</w:t>
            </w:r>
          </w:p>
        </w:tc>
        <w:tc>
          <w:tcPr>
            <w:tcW w:w="489" w:type="pct"/>
            <w:vAlign w:val="center"/>
          </w:tcPr>
          <w:p w14:paraId="0229F3DF">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1E7D6C16">
            <w:pPr>
              <w:widowControl/>
              <w:snapToGrid w:val="0"/>
              <w:spacing w:line="240" w:lineRule="auto"/>
              <w:ind w:firstLine="0" w:firstLineChars="0"/>
              <w:jc w:val="center"/>
              <w:rPr>
                <w:rFonts w:cs="Times New Roman"/>
                <w:w w:val="90"/>
                <w:sz w:val="21"/>
                <w:szCs w:val="21"/>
              </w:rPr>
            </w:pPr>
            <w:r>
              <w:rPr>
                <w:rFonts w:cs="Times New Roman"/>
                <w:w w:val="90"/>
                <w:sz w:val="21"/>
                <w:szCs w:val="21"/>
              </w:rPr>
              <w:t>18.5</w:t>
            </w:r>
          </w:p>
        </w:tc>
        <w:tc>
          <w:tcPr>
            <w:tcW w:w="372" w:type="pct"/>
            <w:vAlign w:val="center"/>
          </w:tcPr>
          <w:p w14:paraId="4CA849B3">
            <w:pPr>
              <w:widowControl/>
              <w:snapToGrid w:val="0"/>
              <w:spacing w:line="240" w:lineRule="auto"/>
              <w:ind w:firstLine="0" w:firstLineChars="0"/>
              <w:jc w:val="center"/>
              <w:rPr>
                <w:rFonts w:cs="Times New Roman"/>
                <w:w w:val="90"/>
                <w:sz w:val="21"/>
                <w:szCs w:val="21"/>
              </w:rPr>
            </w:pPr>
            <w:r>
              <w:rPr>
                <w:rFonts w:cs="Times New Roman"/>
                <w:w w:val="90"/>
                <w:sz w:val="21"/>
                <w:szCs w:val="21"/>
              </w:rPr>
              <w:t>抽出</w:t>
            </w:r>
          </w:p>
        </w:tc>
      </w:tr>
      <w:tr w14:paraId="7755E73D">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72" w:type="pct"/>
            <w:vAlign w:val="center"/>
          </w:tcPr>
          <w:p w14:paraId="41B87CBA">
            <w:pPr>
              <w:widowControl/>
              <w:snapToGrid w:val="0"/>
              <w:spacing w:line="240" w:lineRule="auto"/>
              <w:ind w:firstLine="0" w:firstLineChars="0"/>
              <w:jc w:val="center"/>
              <w:rPr>
                <w:rFonts w:cs="Times New Roman"/>
                <w:w w:val="90"/>
                <w:sz w:val="21"/>
                <w:szCs w:val="21"/>
              </w:rPr>
            </w:pPr>
            <w:r>
              <w:rPr>
                <w:rFonts w:cs="Times New Roman"/>
                <w:w w:val="90"/>
                <w:sz w:val="21"/>
                <w:szCs w:val="21"/>
              </w:rPr>
              <w:t>6</w:t>
            </w:r>
          </w:p>
        </w:tc>
        <w:tc>
          <w:tcPr>
            <w:tcW w:w="1295" w:type="pct"/>
            <w:vAlign w:val="center"/>
          </w:tcPr>
          <w:p w14:paraId="5D95B2AD">
            <w:pPr>
              <w:widowControl/>
              <w:snapToGrid w:val="0"/>
              <w:spacing w:line="240" w:lineRule="auto"/>
              <w:ind w:firstLine="0" w:firstLineChars="0"/>
              <w:jc w:val="center"/>
              <w:rPr>
                <w:rFonts w:cs="Times New Roman"/>
                <w:w w:val="90"/>
                <w:sz w:val="21"/>
                <w:szCs w:val="21"/>
              </w:rPr>
            </w:pPr>
            <w:r>
              <w:rPr>
                <w:rFonts w:cs="Times New Roman"/>
                <w:w w:val="90"/>
                <w:sz w:val="21"/>
                <w:szCs w:val="21"/>
              </w:rPr>
              <w:t>-400m水平冯家庄矿段回风井石门</w:t>
            </w:r>
          </w:p>
        </w:tc>
        <w:tc>
          <w:tcPr>
            <w:tcW w:w="492" w:type="pct"/>
            <w:vAlign w:val="center"/>
          </w:tcPr>
          <w:p w14:paraId="52F47F26">
            <w:pPr>
              <w:widowControl/>
              <w:snapToGrid w:val="0"/>
              <w:spacing w:line="240" w:lineRule="auto"/>
              <w:ind w:firstLine="0" w:firstLineChars="0"/>
              <w:jc w:val="center"/>
              <w:rPr>
                <w:rFonts w:cs="Times New Roman"/>
                <w:w w:val="90"/>
                <w:sz w:val="21"/>
                <w:szCs w:val="21"/>
              </w:rPr>
            </w:pPr>
            <w:r>
              <w:rPr>
                <w:rFonts w:cs="Times New Roman"/>
                <w:w w:val="90"/>
                <w:sz w:val="21"/>
                <w:szCs w:val="21"/>
              </w:rPr>
              <w:t>92</w:t>
            </w:r>
          </w:p>
        </w:tc>
        <w:tc>
          <w:tcPr>
            <w:tcW w:w="577" w:type="pct"/>
            <w:vAlign w:val="center"/>
          </w:tcPr>
          <w:p w14:paraId="08BEA8A7">
            <w:pPr>
              <w:widowControl/>
              <w:snapToGrid w:val="0"/>
              <w:spacing w:line="240" w:lineRule="auto"/>
              <w:ind w:firstLine="0" w:firstLineChars="0"/>
              <w:jc w:val="center"/>
              <w:rPr>
                <w:rFonts w:cs="Times New Roman"/>
                <w:w w:val="90"/>
                <w:sz w:val="21"/>
                <w:szCs w:val="21"/>
              </w:rPr>
            </w:pPr>
            <w:r>
              <w:rPr>
                <w:rFonts w:cs="Times New Roman"/>
                <w:w w:val="90"/>
                <w:sz w:val="21"/>
                <w:szCs w:val="21"/>
              </w:rPr>
              <w:t xml:space="preserve">852.7 </w:t>
            </w:r>
          </w:p>
        </w:tc>
        <w:tc>
          <w:tcPr>
            <w:tcW w:w="797" w:type="pct"/>
            <w:vAlign w:val="center"/>
          </w:tcPr>
          <w:p w14:paraId="1558CBF6">
            <w:pPr>
              <w:widowControl/>
              <w:snapToGrid w:val="0"/>
              <w:spacing w:line="240" w:lineRule="auto"/>
              <w:ind w:firstLine="0" w:firstLineChars="0"/>
              <w:jc w:val="center"/>
              <w:rPr>
                <w:rFonts w:cs="Times New Roman"/>
                <w:w w:val="90"/>
                <w:sz w:val="21"/>
                <w:szCs w:val="21"/>
              </w:rPr>
            </w:pPr>
            <w:r>
              <w:rPr>
                <w:rFonts w:cs="Times New Roman"/>
                <w:w w:val="90"/>
                <w:sz w:val="21"/>
                <w:szCs w:val="21"/>
              </w:rPr>
              <w:t>FKZNo16</w:t>
            </w:r>
          </w:p>
        </w:tc>
        <w:tc>
          <w:tcPr>
            <w:tcW w:w="489" w:type="pct"/>
            <w:vAlign w:val="center"/>
          </w:tcPr>
          <w:p w14:paraId="0A95662D">
            <w:pPr>
              <w:widowControl/>
              <w:snapToGrid w:val="0"/>
              <w:spacing w:line="240" w:lineRule="auto"/>
              <w:ind w:firstLine="0" w:firstLineChars="0"/>
              <w:jc w:val="center"/>
              <w:rPr>
                <w:rFonts w:cs="Times New Roman"/>
                <w:w w:val="90"/>
                <w:sz w:val="21"/>
                <w:szCs w:val="21"/>
              </w:rPr>
            </w:pPr>
            <w:r>
              <w:rPr>
                <w:rFonts w:cs="Times New Roman"/>
                <w:w w:val="90"/>
                <w:sz w:val="21"/>
                <w:szCs w:val="21"/>
              </w:rPr>
              <w:t>1</w:t>
            </w:r>
          </w:p>
        </w:tc>
        <w:tc>
          <w:tcPr>
            <w:tcW w:w="606" w:type="pct"/>
            <w:vAlign w:val="center"/>
          </w:tcPr>
          <w:p w14:paraId="207D7C9B">
            <w:pPr>
              <w:widowControl/>
              <w:snapToGrid w:val="0"/>
              <w:spacing w:line="240" w:lineRule="auto"/>
              <w:ind w:firstLine="0" w:firstLineChars="0"/>
              <w:jc w:val="center"/>
              <w:rPr>
                <w:rFonts w:cs="Times New Roman"/>
                <w:w w:val="90"/>
                <w:sz w:val="21"/>
                <w:szCs w:val="21"/>
              </w:rPr>
            </w:pPr>
            <w:r>
              <w:rPr>
                <w:rFonts w:cs="Times New Roman"/>
                <w:w w:val="90"/>
                <w:sz w:val="21"/>
                <w:szCs w:val="21"/>
              </w:rPr>
              <w:t>160</w:t>
            </w:r>
          </w:p>
        </w:tc>
        <w:tc>
          <w:tcPr>
            <w:tcW w:w="372" w:type="pct"/>
            <w:vAlign w:val="center"/>
          </w:tcPr>
          <w:p w14:paraId="0921F8E4">
            <w:pPr>
              <w:widowControl/>
              <w:snapToGrid w:val="0"/>
              <w:spacing w:line="240" w:lineRule="auto"/>
              <w:ind w:firstLine="0" w:firstLineChars="0"/>
              <w:jc w:val="center"/>
              <w:rPr>
                <w:rFonts w:cs="Times New Roman"/>
                <w:w w:val="90"/>
                <w:sz w:val="21"/>
                <w:szCs w:val="21"/>
              </w:rPr>
            </w:pPr>
            <w:r>
              <w:rPr>
                <w:rFonts w:cs="Times New Roman"/>
                <w:w w:val="90"/>
                <w:sz w:val="21"/>
                <w:szCs w:val="21"/>
              </w:rPr>
              <w:t>抽出</w:t>
            </w:r>
          </w:p>
        </w:tc>
      </w:tr>
    </w:tbl>
    <w:p w14:paraId="499FBC4C">
      <w:pPr>
        <w:pStyle w:val="53"/>
        <w:spacing w:after="0" w:line="360" w:lineRule="auto"/>
        <w:ind w:left="0" w:leftChars="0"/>
        <w:jc w:val="left"/>
        <w:rPr>
          <w:sz w:val="21"/>
        </w:rPr>
      </w:pPr>
      <w:r>
        <w:rPr>
          <w:sz w:val="21"/>
        </w:rPr>
        <w:t>注：风机风量乘以1.1倍漏风系数，</w:t>
      </w:r>
      <w:r>
        <w:rPr>
          <w:rFonts w:hint="eastAsia"/>
          <w:sz w:val="21"/>
        </w:rPr>
        <w:t>机站阻力</w:t>
      </w:r>
      <w:r>
        <w:rPr>
          <w:sz w:val="21"/>
        </w:rPr>
        <w:t>取200pa、动压损失取135pa</w:t>
      </w:r>
      <w:r>
        <w:rPr>
          <w:rFonts w:hint="eastAsia"/>
          <w:sz w:val="21"/>
        </w:rPr>
        <w:t>；</w:t>
      </w:r>
    </w:p>
    <w:p w14:paraId="09C03540">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每台风机必须具有相同型号和规格的备用电动机，在风机站巷道顶板设手拉葫芦，以便迅速调换电动机。</w:t>
      </w:r>
    </w:p>
    <w:p w14:paraId="735D1673">
      <w:pPr>
        <w:snapToGrid w:val="0"/>
        <w:spacing w:line="360" w:lineRule="auto"/>
        <w:ind w:firstLine="560"/>
        <w:rPr>
          <w:rFonts w:cs="Times New Roman"/>
          <w:szCs w:val="24"/>
        </w:rPr>
      </w:pPr>
      <w:r>
        <w:rPr>
          <w:rFonts w:hint="eastAsia" w:cs="Times New Roman"/>
          <w:szCs w:val="24"/>
        </w:rPr>
        <w:t>主通风机采用地表远程控制，为确保风机的高效运转，选用动叶可调变频风机，实现全矿风量的动态调控。</w:t>
      </w:r>
    </w:p>
    <w:p w14:paraId="0AABD678">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（4）局部通风</w:t>
      </w:r>
    </w:p>
    <w:p w14:paraId="7D4F5F9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回采工作面JK58-1No4.5型局扇需要24台，16台工作，8台备用。</w:t>
      </w:r>
    </w:p>
    <w:p w14:paraId="6912B47D">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采准工作面JK58-1No4型局扇需要17台，11台工作，6台备用。</w:t>
      </w:r>
    </w:p>
    <w:p w14:paraId="08E9C386">
      <w:pPr>
        <w:snapToGrid w:val="0"/>
        <w:spacing w:line="360" w:lineRule="auto"/>
        <w:ind w:firstLine="560"/>
        <w:rPr>
          <w:rFonts w:asciiTheme="minorHAnsi" w:hAnsiTheme="minorHAnsi" w:cstheme="minorHAnsi"/>
          <w:b/>
          <w:szCs w:val="24"/>
        </w:rPr>
      </w:pPr>
      <w:r>
        <w:rPr>
          <w:rFonts w:hint="eastAsia" w:cs="Times New Roman"/>
          <w:szCs w:val="28"/>
        </w:rPr>
        <w:t>辅助通风机根据采场作业需要，智能启停，实现各作业面按需通风，提高通风效率，节能降耗。</w:t>
      </w:r>
    </w:p>
    <w:p w14:paraId="4223C832">
      <w:pPr>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（5）通风构筑物</w:t>
      </w:r>
    </w:p>
    <w:p w14:paraId="71C3FDC1">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为防止通风系统形成循环风、风流短路或达到控制风流的目的，在需要控制风流的地方设置风门、调节风窗和密闭墙等。</w:t>
      </w:r>
    </w:p>
    <w:p w14:paraId="06EABBE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1）风门</w:t>
      </w:r>
    </w:p>
    <w:p w14:paraId="7637E1F0">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为防止风流形成循环风或短路，需在如下位置设置风门，风门具有远距感应，智能开合的功能。</w:t>
      </w:r>
    </w:p>
    <w:p w14:paraId="58E39D89">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在彭集矿段采区斜坡道-730m、-755m、-780m及-805m分段联络巷处设置双风门，共计4套。</w:t>
      </w:r>
    </w:p>
    <w:p w14:paraId="2F1F7998">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在彭集矿段-655m回风水平副井石门设置双风门，共计1套。</w:t>
      </w:r>
    </w:p>
    <w:p w14:paraId="65889A7A">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在彭集矿段1号倒段回风井-730m水平、-805m水平、-835m水平石门设置单风门，共计3套。</w:t>
      </w:r>
    </w:p>
    <w:p w14:paraId="449B277E">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在冯家庄矿段采区斜坡道-400m、-425m、-450m及-475m分段联络巷处设置双风门，</w:t>
      </w:r>
    </w:p>
    <w:p w14:paraId="0F46D93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在冯家庄矿段-400m回风水平副井石门设置双风门，共计1套。</w:t>
      </w:r>
    </w:p>
    <w:p w14:paraId="2C075DDC">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在冯家庄矿段冯家庄回风井-475m水平、-505m水平石门设置单风门，共计2套。</w:t>
      </w:r>
    </w:p>
    <w:p w14:paraId="31A87CB7">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2）调节风窗</w:t>
      </w:r>
    </w:p>
    <w:p w14:paraId="57A928D2">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彭集矿段为均衡调节-835m有轨运输水平各运输穿脉内的风量，在-835m水平2号、3号采区回风天井联络巷处设置调节风窗，共2套，每套通过风量分别为10m</w:t>
      </w:r>
      <w:r>
        <w:rPr>
          <w:rFonts w:hint="eastAsia" w:asciiTheme="minorHAnsi" w:hAnsiTheme="minorHAnsi" w:cstheme="minorHAnsi"/>
          <w:szCs w:val="24"/>
          <w:vertAlign w:val="superscript"/>
        </w:rPr>
        <w:t>3</w:t>
      </w:r>
      <w:r>
        <w:rPr>
          <w:rFonts w:hint="eastAsia" w:asciiTheme="minorHAnsi" w:hAnsiTheme="minorHAnsi" w:cstheme="minorHAnsi"/>
          <w:szCs w:val="24"/>
        </w:rPr>
        <w:t>/s、15m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0F8FF81A">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彭集矿段为控制风流，在-730m充填水平1~3号采区回风天井联络巷处设调节风窗，共3套，调节风窗通过风量分别为6m</w:t>
      </w:r>
      <w:r>
        <w:rPr>
          <w:rFonts w:hint="eastAsia" w:asciiTheme="minorHAnsi" w:hAnsiTheme="minorHAnsi" w:cstheme="minorHAnsi"/>
          <w:szCs w:val="24"/>
          <w:vertAlign w:val="superscript"/>
        </w:rPr>
        <w:t>3</w:t>
      </w:r>
      <w:r>
        <w:rPr>
          <w:rFonts w:hint="eastAsia" w:asciiTheme="minorHAnsi" w:hAnsiTheme="minorHAnsi" w:cstheme="minorHAnsi"/>
          <w:szCs w:val="24"/>
        </w:rPr>
        <w:t>/s、6m</w:t>
      </w:r>
      <w:r>
        <w:rPr>
          <w:rFonts w:hint="eastAsia" w:asciiTheme="minorHAnsi" w:hAnsiTheme="minorHAnsi" w:cstheme="minorHAnsi"/>
          <w:szCs w:val="24"/>
          <w:vertAlign w:val="superscript"/>
        </w:rPr>
        <w:t>3</w:t>
      </w:r>
      <w:r>
        <w:rPr>
          <w:rFonts w:hint="eastAsia" w:asciiTheme="minorHAnsi" w:hAnsiTheme="minorHAnsi" w:cstheme="minorHAnsi"/>
          <w:szCs w:val="24"/>
        </w:rPr>
        <w:t>/s、8m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212DC1EF">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冯家庄矿段为均衡调节-505m有轨运输水平各运输穿脉内的风量，在-505m水平4号采区回风天井联络巷处设置调节风窗，共1套，通过风量分别为20m</w:t>
      </w:r>
      <w:r>
        <w:rPr>
          <w:rFonts w:hint="eastAsia" w:asciiTheme="minorHAnsi" w:hAnsiTheme="minorHAnsi" w:cstheme="minorHAnsi"/>
          <w:szCs w:val="24"/>
          <w:vertAlign w:val="superscript"/>
        </w:rPr>
        <w:t>3</w:t>
      </w:r>
      <w:r>
        <w:rPr>
          <w:rFonts w:hint="eastAsia" w:asciiTheme="minorHAnsi" w:hAnsiTheme="minorHAnsi" w:cstheme="minorHAnsi"/>
          <w:szCs w:val="24"/>
        </w:rPr>
        <w:t>/s。</w:t>
      </w:r>
    </w:p>
    <w:p w14:paraId="7375A20C">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3）密闭墙</w:t>
      </w:r>
    </w:p>
    <w:p w14:paraId="3E8C29FC">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在彭集矿段倒段进风井-730m水平石门设置单风门密闭墙，共1处。</w:t>
      </w:r>
    </w:p>
    <w:p w14:paraId="0B0A0FE1">
      <w:pPr>
        <w:pStyle w:val="5"/>
        <w:spacing w:after="190"/>
        <w:rPr>
          <w:rFonts w:asciiTheme="minorHAnsi" w:hAnsiTheme="minorHAnsi" w:cstheme="minorHAnsi"/>
        </w:rPr>
      </w:pPr>
      <w:r>
        <w:rPr>
          <w:rFonts w:asciiTheme="minorHAnsi" w:hAnsiTheme="minorHAnsi" w:cstheme="minorHAnsi"/>
        </w:rPr>
        <w:t>2.4.7矿山供配电设施</w:t>
      </w:r>
    </w:p>
    <w:bookmarkEnd w:id="76"/>
    <w:p w14:paraId="1C0FED94">
      <w:pPr>
        <w:adjustRightInd w:val="0"/>
        <w:snapToGrid w:val="0"/>
        <w:spacing w:line="360" w:lineRule="auto"/>
        <w:ind w:firstLine="562"/>
        <w:rPr>
          <w:rFonts w:asciiTheme="minorHAnsi" w:hAnsiTheme="minorHAnsi" w:eastAsiaTheme="minorEastAsia" w:cstheme="minorHAnsi"/>
          <w:b/>
          <w:bCs/>
          <w:kern w:val="0"/>
          <w:szCs w:val="28"/>
        </w:rPr>
      </w:pPr>
      <w:r>
        <w:rPr>
          <w:rFonts w:asciiTheme="minorHAnsi" w:hAnsiTheme="minorHAnsi" w:eastAsiaTheme="minorEastAsia" w:cstheme="minorHAnsi"/>
          <w:b/>
          <w:bCs/>
          <w:kern w:val="0"/>
          <w:szCs w:val="28"/>
        </w:rPr>
        <w:t>（1）电源</w:t>
      </w:r>
    </w:p>
    <w:p w14:paraId="030A3E99">
      <w:pPr>
        <w:adjustRightInd w:val="0"/>
        <w:snapToGrid w:val="0"/>
        <w:spacing w:line="360" w:lineRule="auto"/>
        <w:ind w:firstLine="560"/>
        <w:rPr>
          <w:rFonts w:asciiTheme="minorHAnsi" w:hAnsiTheme="minorHAnsi" w:cstheme="minorHAnsi"/>
          <w:szCs w:val="20"/>
        </w:rPr>
      </w:pPr>
      <w:r>
        <w:rPr>
          <w:rFonts w:hint="eastAsia" w:asciiTheme="minorHAnsi" w:hAnsiTheme="minorHAnsi" w:cstheme="minorHAnsi"/>
          <w:szCs w:val="20"/>
        </w:rPr>
        <w:t>设计考虑在采矿工业场地新建一座110kV总降压变电所，两路110kV电源分别引自距工业场地西南3km处220kV李楼变电站和距工业场地东北7km处的220kV龙崮变电站。</w:t>
      </w:r>
    </w:p>
    <w:p w14:paraId="6FDEFC64">
      <w:pPr>
        <w:adjustRightInd w:val="0"/>
        <w:snapToGrid w:val="0"/>
        <w:spacing w:line="360" w:lineRule="auto"/>
        <w:ind w:firstLine="560"/>
        <w:rPr>
          <w:rFonts w:asciiTheme="minorHAnsi" w:hAnsiTheme="minorHAnsi" w:cstheme="minorHAnsi"/>
          <w:szCs w:val="20"/>
        </w:rPr>
      </w:pPr>
      <w:r>
        <w:rPr>
          <w:rFonts w:hint="eastAsia" w:asciiTheme="minorHAnsi" w:hAnsiTheme="minorHAnsi" w:cstheme="minorHAnsi"/>
          <w:szCs w:val="20"/>
        </w:rPr>
        <w:t>正常生产时两路电源分列运行；当任一路工作电源发生故障停止供电时，另一路电源不受其影响且能满足矿山全部一级负荷的用电要求。</w:t>
      </w:r>
    </w:p>
    <w:p w14:paraId="58857426">
      <w:pPr>
        <w:adjustRightInd w:val="0"/>
        <w:snapToGrid w:val="0"/>
        <w:spacing w:line="360" w:lineRule="auto"/>
        <w:ind w:firstLine="560"/>
        <w:rPr>
          <w:rFonts w:asciiTheme="minorHAnsi" w:hAnsiTheme="minorHAnsi" w:cstheme="minorHAnsi"/>
          <w:szCs w:val="20"/>
        </w:rPr>
      </w:pPr>
      <w:r>
        <w:rPr>
          <w:rFonts w:hint="eastAsia" w:asciiTheme="minorHAnsi" w:hAnsiTheme="minorHAnsi" w:cstheme="minorHAnsi"/>
          <w:szCs w:val="20"/>
        </w:rPr>
        <w:t>110kV总降压变电所内安装两台50000kVA  110/10.5kV变压器。正常生产时，两台变压器同时工作，当一台变压器故障检修时，另一台变压器可承担全部一、二级负荷。</w:t>
      </w:r>
    </w:p>
    <w:p w14:paraId="12C5BE55">
      <w:pPr>
        <w:adjustRightInd w:val="0"/>
        <w:snapToGrid w:val="0"/>
        <w:spacing w:line="360" w:lineRule="auto"/>
        <w:ind w:firstLine="560"/>
        <w:rPr>
          <w:rFonts w:asciiTheme="minorHAnsi" w:hAnsiTheme="minorHAnsi" w:cstheme="minorHAnsi"/>
          <w:szCs w:val="20"/>
        </w:rPr>
      </w:pPr>
      <w:r>
        <w:rPr>
          <w:rFonts w:hint="eastAsia" w:asciiTheme="minorHAnsi" w:hAnsiTheme="minorHAnsi" w:cstheme="minorHAnsi"/>
          <w:szCs w:val="20"/>
        </w:rPr>
        <w:t>110kV采用GIS设备，</w:t>
      </w:r>
      <w:r>
        <w:rPr>
          <w:bCs/>
          <w:szCs w:val="28"/>
        </w:rPr>
        <w:t>主变</w:t>
      </w:r>
      <w:r>
        <w:rPr>
          <w:rFonts w:hint="eastAsia"/>
          <w:bCs/>
          <w:szCs w:val="28"/>
        </w:rPr>
        <w:t>及</w:t>
      </w:r>
      <w:r>
        <w:rPr>
          <w:bCs/>
          <w:szCs w:val="28"/>
        </w:rPr>
        <w:t>其他电气设备按户内布置方案进行设计</w:t>
      </w:r>
      <w:r>
        <w:rPr>
          <w:rFonts w:hint="eastAsia" w:asciiTheme="minorHAnsi" w:hAnsiTheme="minorHAnsi" w:cstheme="minorHAnsi"/>
          <w:szCs w:val="20"/>
        </w:rPr>
        <w:t>。</w:t>
      </w:r>
    </w:p>
    <w:p w14:paraId="615F4C47">
      <w:pPr>
        <w:adjustRightInd w:val="0"/>
        <w:snapToGrid w:val="0"/>
        <w:spacing w:line="360" w:lineRule="auto"/>
        <w:ind w:firstLine="560"/>
        <w:rPr>
          <w:rFonts w:asciiTheme="minorHAnsi" w:hAnsiTheme="minorHAnsi" w:cstheme="minorHAnsi"/>
          <w:szCs w:val="20"/>
        </w:rPr>
      </w:pPr>
      <w:r>
        <w:rPr>
          <w:rFonts w:hint="eastAsia" w:asciiTheme="minorHAnsi" w:hAnsiTheme="minorHAnsi" w:cstheme="minorHAnsi"/>
          <w:szCs w:val="20"/>
        </w:rPr>
        <w:t>根据《山东省矿山应急电源配备规定》的要求，增加应急电源的配备。设计考虑应急电源容量应保证大罐笼提升机的正常运行，大罐笼提升机电机为1900kW。在110kV总降压变电所设置两套1500kW柴油发电机组，输出电压为10kV；设置一套逆功率吸收装置，吸收功率为900kW。</w:t>
      </w:r>
    </w:p>
    <w:p w14:paraId="7A090257">
      <w:pPr>
        <w:tabs>
          <w:tab w:val="left" w:pos="2955"/>
        </w:tabs>
        <w:adjustRightInd w:val="0"/>
        <w:snapToGrid w:val="0"/>
        <w:spacing w:line="360" w:lineRule="auto"/>
        <w:ind w:firstLine="562"/>
        <w:rPr>
          <w:rFonts w:asciiTheme="minorHAnsi" w:hAnsiTheme="minorHAnsi" w:cstheme="minorHAnsi"/>
          <w:b/>
          <w:kern w:val="0"/>
          <w:szCs w:val="24"/>
        </w:rPr>
      </w:pPr>
      <w:r>
        <w:rPr>
          <w:rFonts w:asciiTheme="minorHAnsi" w:hAnsiTheme="minorHAnsi" w:cstheme="minorHAnsi"/>
          <w:b/>
          <w:bCs/>
          <w:kern w:val="28"/>
          <w:szCs w:val="28"/>
        </w:rPr>
        <w:t>（2）</w:t>
      </w:r>
      <w:r>
        <w:rPr>
          <w:rFonts w:hint="eastAsia" w:asciiTheme="minorHAnsi" w:hAnsiTheme="minorHAnsi" w:cstheme="minorHAnsi"/>
          <w:b/>
          <w:kern w:val="0"/>
          <w:szCs w:val="24"/>
        </w:rPr>
        <w:t>供配电系统</w:t>
      </w:r>
    </w:p>
    <w:p w14:paraId="78DDA257">
      <w:pPr>
        <w:widowControl/>
        <w:adjustRightInd w:val="0"/>
        <w:snapToGrid w:val="0"/>
        <w:spacing w:line="360" w:lineRule="auto"/>
        <w:ind w:firstLine="560"/>
      </w:pPr>
      <w:r>
        <w:rPr>
          <w:rFonts w:hint="eastAsia"/>
        </w:rPr>
        <w:t>新建110kV总降压变电所分别向选矿1#、2#主厂房高压配电室、中细碎高压配电室、</w:t>
      </w:r>
      <w:r>
        <w:rPr>
          <w:rFonts w:hint="eastAsia"/>
          <w:bCs/>
          <w:szCs w:val="28"/>
        </w:rPr>
        <w:t>筛分干选车间高压配电室、</w:t>
      </w:r>
      <w:r>
        <w:rPr>
          <w:rFonts w:hint="eastAsia"/>
        </w:rPr>
        <w:t>高压辊磨车间高压配电室、环水泵站高压配电室、原水加压泵站变电所、-505m井下中央变电所、主井提升机、副井提升机及压气</w:t>
      </w:r>
      <w:r>
        <w:rPr>
          <w:rFonts w:hint="eastAsia" w:cs="Times New Roman"/>
        </w:rPr>
        <w:t>站变电所供电，供电电源均为两路10kV；并利用基建期架设的一路10kV线路为进风井预热变电所供电。</w:t>
      </w:r>
    </w:p>
    <w:p w14:paraId="1DE267EB">
      <w:pPr>
        <w:widowControl/>
        <w:adjustRightInd w:val="0"/>
        <w:snapToGrid w:val="0"/>
        <w:spacing w:line="360" w:lineRule="auto"/>
        <w:ind w:firstLine="560"/>
        <w:rPr>
          <w:bCs/>
          <w:szCs w:val="28"/>
        </w:rPr>
      </w:pPr>
      <w:r>
        <w:rPr>
          <w:rFonts w:hint="eastAsia"/>
          <w:bCs/>
          <w:szCs w:val="28"/>
        </w:rPr>
        <w:t>高压辊磨车间高压配电室</w:t>
      </w:r>
      <w:r>
        <w:rPr>
          <w:rFonts w:hint="eastAsia" w:cs="Times New Roman"/>
          <w:bCs/>
          <w:szCs w:val="28"/>
        </w:rPr>
        <w:t>为微分筛车间高</w:t>
      </w:r>
      <w:r>
        <w:rPr>
          <w:rFonts w:hint="eastAsia"/>
          <w:bCs/>
          <w:szCs w:val="28"/>
        </w:rPr>
        <w:t>压配电室供电，供电电源为两路10kV。</w:t>
      </w:r>
      <w:r>
        <w:rPr>
          <w:rFonts w:hint="eastAsia" w:cs="Times New Roman"/>
          <w:bCs/>
          <w:szCs w:val="28"/>
        </w:rPr>
        <w:t>微分筛车间高</w:t>
      </w:r>
      <w:r>
        <w:rPr>
          <w:rFonts w:hint="eastAsia"/>
          <w:bCs/>
          <w:szCs w:val="28"/>
        </w:rPr>
        <w:t>压配电室为捞砂及尾砂干排车间变电所及精矿过滤车间变电所供电，供电电源均为两路10kV。</w:t>
      </w:r>
    </w:p>
    <w:p w14:paraId="10F733B5">
      <w:pPr>
        <w:widowControl/>
        <w:adjustRightInd w:val="0"/>
        <w:snapToGrid w:val="0"/>
        <w:spacing w:line="360" w:lineRule="auto"/>
        <w:ind w:firstLine="560"/>
        <w:rPr>
          <w:rFonts w:asciiTheme="minorHAnsi" w:hAnsiTheme="minorHAnsi" w:cstheme="minorHAnsi"/>
          <w:kern w:val="0"/>
          <w:szCs w:val="24"/>
        </w:rPr>
      </w:pPr>
      <w:r>
        <w:rPr>
          <w:rFonts w:hint="eastAsia" w:asciiTheme="minorHAnsi" w:hAnsiTheme="minorHAnsi" w:cstheme="minorHAnsi"/>
          <w:kern w:val="0"/>
          <w:szCs w:val="24"/>
        </w:rPr>
        <w:t>环水泵站高压配电室为充填站变电所、行政生活区域变电所及热泵机房变电所供电，供电电源均为两路10kV。</w:t>
      </w:r>
    </w:p>
    <w:p w14:paraId="1C6EE912">
      <w:pPr>
        <w:widowControl/>
        <w:adjustRightInd w:val="0"/>
        <w:snapToGrid w:val="0"/>
        <w:spacing w:line="360" w:lineRule="auto"/>
        <w:ind w:firstLine="560"/>
        <w:rPr>
          <w:rFonts w:asciiTheme="minorHAnsi" w:hAnsiTheme="minorHAnsi" w:cstheme="minorHAnsi"/>
          <w:kern w:val="0"/>
          <w:szCs w:val="24"/>
        </w:rPr>
      </w:pPr>
      <w:r>
        <w:rPr>
          <w:rFonts w:hint="eastAsia" w:asciiTheme="minorHAnsi" w:hAnsiTheme="minorHAnsi" w:cstheme="minorHAnsi"/>
          <w:kern w:val="0"/>
          <w:szCs w:val="24"/>
        </w:rPr>
        <w:t>-505m井下中央变电所两路10kV电源引自110kV总降压变电所，经副井由地表敷设至中央变电所。两路10kV电源沿副井敷设时，配置在不同侧的支架上。-505m井下中央变电所向排水负荷、综合变电所、采区变电所、破碎变电所及井下通风变电所供电，为各变电所供电电源均为两路10kV。</w:t>
      </w:r>
    </w:p>
    <w:p w14:paraId="685E6D97">
      <w:pPr>
        <w:adjustRightInd w:val="0"/>
        <w:snapToGrid w:val="0"/>
        <w:spacing w:line="360" w:lineRule="auto"/>
        <w:ind w:firstLine="562"/>
        <w:rPr>
          <w:rFonts w:asciiTheme="minorHAnsi" w:hAnsiTheme="minorHAnsi" w:cstheme="minorHAnsi"/>
          <w:b/>
          <w:bCs/>
          <w:kern w:val="28"/>
          <w:szCs w:val="28"/>
        </w:rPr>
      </w:pPr>
      <w:r>
        <w:rPr>
          <w:rFonts w:asciiTheme="minorHAnsi" w:hAnsiTheme="minorHAnsi" w:cstheme="minorHAnsi"/>
          <w:b/>
          <w:bCs/>
          <w:kern w:val="28"/>
          <w:szCs w:val="28"/>
        </w:rPr>
        <w:t>（3）供电电压</w:t>
      </w:r>
    </w:p>
    <w:p w14:paraId="05086FB3">
      <w:pPr>
        <w:widowControl/>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全矿配电及高压电动机采用10kV</w:t>
      </w:r>
    </w:p>
    <w:p w14:paraId="2FB1CB45">
      <w:pPr>
        <w:widowControl/>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低压动力设备：坑内低压用电设备采用380V；地面各种低压用电设备采用220/380V；</w:t>
      </w:r>
    </w:p>
    <w:p w14:paraId="52CFD41B">
      <w:pPr>
        <w:widowControl/>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电动铲运机采用1000V。</w:t>
      </w:r>
    </w:p>
    <w:p w14:paraId="0A08F8F0">
      <w:pPr>
        <w:widowControl/>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井下电力机车牵引网路采用直流550V；</w:t>
      </w:r>
    </w:p>
    <w:p w14:paraId="25716579">
      <w:pPr>
        <w:widowControl/>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电气照明：地表照明采用220/380V；坑内主要运输巷道及硐室采用220V。由人行天井至采场工作面采用36V。</w:t>
      </w:r>
    </w:p>
    <w:p w14:paraId="00312F2C">
      <w:pPr>
        <w:adjustRightInd w:val="0"/>
        <w:snapToGrid w:val="0"/>
        <w:spacing w:line="360" w:lineRule="auto"/>
        <w:ind w:firstLine="562"/>
        <w:rPr>
          <w:rFonts w:asciiTheme="minorHAnsi" w:hAnsiTheme="minorHAnsi" w:eastAsiaTheme="minorEastAsia" w:cstheme="minorHAnsi"/>
          <w:b/>
          <w:bCs/>
          <w:kern w:val="0"/>
          <w:szCs w:val="28"/>
        </w:rPr>
      </w:pPr>
      <w:r>
        <w:rPr>
          <w:rFonts w:asciiTheme="minorHAnsi" w:hAnsiTheme="minorHAnsi" w:eastAsiaTheme="minorEastAsia" w:cstheme="minorHAnsi"/>
          <w:b/>
          <w:bCs/>
          <w:kern w:val="0"/>
          <w:szCs w:val="28"/>
        </w:rPr>
        <w:t>（4）</w:t>
      </w:r>
      <w:r>
        <w:rPr>
          <w:rFonts w:hint="eastAsia" w:asciiTheme="minorHAnsi" w:hAnsiTheme="minorHAnsi" w:eastAsiaTheme="minorEastAsia" w:cstheme="minorHAnsi"/>
          <w:b/>
          <w:bCs/>
          <w:kern w:val="0"/>
          <w:szCs w:val="28"/>
        </w:rPr>
        <w:t>电力负荷</w:t>
      </w:r>
    </w:p>
    <w:p w14:paraId="7E30E0BB">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1）采矿正常排水计算负荷为：</w:t>
      </w:r>
    </w:p>
    <w:p w14:paraId="342A4FCF">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用电设备总安装容量43485kW</w:t>
      </w:r>
    </w:p>
    <w:p w14:paraId="56448500">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用电设备总工作容量38988kW</w:t>
      </w:r>
    </w:p>
    <w:p w14:paraId="1DAF31CF">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有功功率P=23200kW</w:t>
      </w:r>
    </w:p>
    <w:p w14:paraId="65169FC0">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无功功率Q=8710kvar（补偿后）</w:t>
      </w:r>
    </w:p>
    <w:p w14:paraId="2FFB6284">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视在功率S=24781kVA</w:t>
      </w:r>
    </w:p>
    <w:p w14:paraId="59FF2CA8">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2）采矿最大计算负荷为：</w:t>
      </w:r>
    </w:p>
    <w:p w14:paraId="2D61068B">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用电设备总安装容量43485kW</w:t>
      </w:r>
    </w:p>
    <w:p w14:paraId="7E44D058">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用电设备总工作容量40238kW</w:t>
      </w:r>
    </w:p>
    <w:p w14:paraId="30F9B59C">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有功功率P= 24100kW</w:t>
      </w:r>
    </w:p>
    <w:p w14:paraId="76B8DC0A">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无功功率Q= 9385kvar（补偿后）</w:t>
      </w:r>
    </w:p>
    <w:p w14:paraId="2CDE5894">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视在功率S= 25863kVA</w:t>
      </w:r>
    </w:p>
    <w:p w14:paraId="68F903CC">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3）正常一级计算负荷为：</w:t>
      </w:r>
    </w:p>
    <w:p w14:paraId="3413A7BD">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有功功率P=4437kW</w:t>
      </w:r>
    </w:p>
    <w:p w14:paraId="7116D673">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无功功率Q=1630kvar（补偿后）</w:t>
      </w:r>
    </w:p>
    <w:p w14:paraId="142DDCFC">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视在功率S=4727kVA</w:t>
      </w:r>
    </w:p>
    <w:p w14:paraId="3E8375E8">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4）最大一级计算负荷为：</w:t>
      </w:r>
    </w:p>
    <w:p w14:paraId="544F0E43">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有功功率P=5437kW</w:t>
      </w:r>
    </w:p>
    <w:p w14:paraId="77E2F707">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无功功率Q=2380kvar（补偿后）</w:t>
      </w:r>
    </w:p>
    <w:p w14:paraId="592BCDD0">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视在功率S=5935kVA</w:t>
      </w:r>
    </w:p>
    <w:p w14:paraId="00839196">
      <w:pPr>
        <w:adjustRightInd w:val="0"/>
        <w:snapToGrid w:val="0"/>
        <w:spacing w:line="360" w:lineRule="auto"/>
        <w:ind w:firstLine="560"/>
        <w:rPr>
          <w:rFonts w:asciiTheme="minorHAnsi" w:hAnsiTheme="minorHAnsi" w:cstheme="minorHAnsi"/>
          <w:kern w:val="28"/>
          <w:szCs w:val="24"/>
        </w:rPr>
      </w:pPr>
      <w:r>
        <w:rPr>
          <w:rFonts w:hint="eastAsia" w:asciiTheme="minorHAnsi" w:hAnsiTheme="minorHAnsi" w:cstheme="minorHAnsi"/>
          <w:kern w:val="28"/>
          <w:szCs w:val="24"/>
        </w:rPr>
        <w:t>5）采矿电能指标为：</w:t>
      </w:r>
    </w:p>
    <w:p w14:paraId="6489C362">
      <w:pPr>
        <w:widowControl/>
        <w:adjustRightInd w:val="0"/>
        <w:snapToGrid w:val="0"/>
        <w:spacing w:line="360" w:lineRule="auto"/>
        <w:ind w:firstLine="560"/>
        <w:rPr>
          <w:bCs/>
          <w:szCs w:val="28"/>
        </w:rPr>
      </w:pPr>
      <w:r>
        <w:rPr>
          <w:rFonts w:hint="eastAsia"/>
          <w:bCs/>
          <w:szCs w:val="28"/>
        </w:rPr>
        <w:t>年耗电量11424.89×10</w:t>
      </w:r>
      <w:r>
        <w:rPr>
          <w:rFonts w:hint="eastAsia"/>
          <w:bCs/>
          <w:szCs w:val="28"/>
          <w:vertAlign w:val="superscript"/>
        </w:rPr>
        <w:t>4</w:t>
      </w:r>
      <w:r>
        <w:rPr>
          <w:rFonts w:hint="eastAsia"/>
          <w:bCs/>
          <w:szCs w:val="28"/>
        </w:rPr>
        <w:t>kWh，</w:t>
      </w:r>
    </w:p>
    <w:p w14:paraId="2AF98697">
      <w:pPr>
        <w:adjustRightInd w:val="0"/>
        <w:snapToGrid w:val="0"/>
        <w:spacing w:line="360" w:lineRule="auto"/>
        <w:ind w:firstLine="560"/>
        <w:rPr>
          <w:rFonts w:asciiTheme="minorHAnsi" w:hAnsiTheme="minorHAnsi" w:cstheme="minorHAnsi"/>
          <w:b/>
          <w:bCs/>
          <w:szCs w:val="24"/>
        </w:rPr>
      </w:pPr>
      <w:r>
        <w:rPr>
          <w:rFonts w:hint="eastAsia"/>
          <w:bCs/>
          <w:szCs w:val="28"/>
        </w:rPr>
        <w:t>单位耗电指标14.28 kWh/t矿。</w:t>
      </w:r>
    </w:p>
    <w:p w14:paraId="28DF2C6F">
      <w:pPr>
        <w:adjustRightInd w:val="0"/>
        <w:snapToGrid w:val="0"/>
        <w:spacing w:line="360" w:lineRule="auto"/>
        <w:ind w:firstLine="562"/>
        <w:rPr>
          <w:rFonts w:asciiTheme="minorHAnsi" w:hAnsiTheme="minorHAnsi" w:cstheme="minorHAnsi"/>
          <w:b/>
          <w:bCs/>
          <w:szCs w:val="24"/>
        </w:rPr>
      </w:pPr>
      <w:r>
        <w:rPr>
          <w:rFonts w:asciiTheme="minorHAnsi" w:hAnsiTheme="minorHAnsi" w:cstheme="minorHAnsi"/>
          <w:b/>
          <w:bCs/>
          <w:szCs w:val="24"/>
        </w:rPr>
        <w:t>（5）</w:t>
      </w:r>
      <w:r>
        <w:rPr>
          <w:rFonts w:hint="eastAsia" w:asciiTheme="minorHAnsi" w:hAnsiTheme="minorHAnsi" w:cstheme="minorHAnsi"/>
          <w:b/>
          <w:bCs/>
          <w:szCs w:val="24"/>
        </w:rPr>
        <w:t>电力设备</w:t>
      </w:r>
    </w:p>
    <w:p w14:paraId="227DD51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1）110kV总降压变电所设备</w:t>
      </w:r>
    </w:p>
    <w:p w14:paraId="5065C7F9">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变压器：SZ22–50000/110，三相、双绕组、低损耗、有载调压变压器；</w:t>
      </w:r>
    </w:p>
    <w:p w14:paraId="6BB580C2">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110kV设备：110kVGIS组合电器，2000A；</w:t>
      </w:r>
    </w:p>
    <w:p w14:paraId="2D19827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10kV配电装置选用KYN28A-12金属铠装型中置柜；</w:t>
      </w:r>
    </w:p>
    <w:p w14:paraId="46B00AE4">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10kV断路器采用真空断路器（固封极柱）。</w:t>
      </w:r>
    </w:p>
    <w:p w14:paraId="6A9EB4FA">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2）采矿、选矿电力设备</w:t>
      </w:r>
    </w:p>
    <w:p w14:paraId="6591C717">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变压器：地表选用SCB18型干式变压器；井下选用KKSG型矿用干式变压器；</w:t>
      </w:r>
    </w:p>
    <w:p w14:paraId="248FA941">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地表高压柜选用中置式开关柜；低压屏选用GGD型。</w:t>
      </w:r>
    </w:p>
    <w:p w14:paraId="365CEBAB">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井下高低压柜按照《执行安全标志管理的矿用产品目录》进行选型。</w:t>
      </w:r>
    </w:p>
    <w:p w14:paraId="32119EB8">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10kV断路器采用真空断路器（固封极柱）。</w:t>
      </w:r>
    </w:p>
    <w:p w14:paraId="1084B158">
      <w:pPr>
        <w:adjustRightInd w:val="0"/>
        <w:snapToGrid w:val="0"/>
        <w:spacing w:line="360" w:lineRule="auto"/>
        <w:ind w:firstLine="562"/>
        <w:rPr>
          <w:rFonts w:asciiTheme="minorHAnsi" w:hAnsiTheme="minorHAnsi" w:cstheme="minorHAnsi"/>
          <w:b/>
          <w:kern w:val="28"/>
          <w:szCs w:val="20"/>
        </w:rPr>
      </w:pPr>
      <w:r>
        <w:rPr>
          <w:rFonts w:hint="eastAsia" w:asciiTheme="minorHAnsi" w:hAnsiTheme="minorHAnsi" w:cstheme="minorHAnsi"/>
          <w:b/>
          <w:kern w:val="28"/>
          <w:szCs w:val="20"/>
        </w:rPr>
        <w:t>（6） 电力电缆选择</w:t>
      </w:r>
    </w:p>
    <w:p w14:paraId="4D944580">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高压电缆采用交联铜芯阻燃型电力电缆。</w:t>
      </w:r>
    </w:p>
    <w:p w14:paraId="4C3B12B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低压动力电缆采用交联聚乙烯铜芯阻燃型电力电缆。</w:t>
      </w:r>
    </w:p>
    <w:p w14:paraId="114AFBA9">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移动设备采用矿用阻燃型橡皮绝缘铜芯软电缆。</w:t>
      </w:r>
    </w:p>
    <w:p w14:paraId="04A546C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控制电缆采用聚乙烯护套阻燃型控制电缆。</w:t>
      </w:r>
    </w:p>
    <w:p w14:paraId="2B22E337">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井下使用的所有高、低压动力及控制电缆均采用低烟无卤阻燃型。</w:t>
      </w:r>
    </w:p>
    <w:p w14:paraId="3E7F4B1F">
      <w:pPr>
        <w:adjustRightInd w:val="0"/>
        <w:snapToGrid w:val="0"/>
        <w:spacing w:line="360" w:lineRule="auto"/>
        <w:ind w:firstLine="562"/>
        <w:rPr>
          <w:rFonts w:asciiTheme="minorHAnsi" w:hAnsiTheme="minorHAnsi" w:cstheme="minorHAnsi"/>
          <w:kern w:val="28"/>
          <w:szCs w:val="20"/>
        </w:rPr>
      </w:pPr>
      <w:r>
        <w:rPr>
          <w:rFonts w:hint="eastAsia" w:asciiTheme="minorHAnsi" w:hAnsiTheme="minorHAnsi" w:cstheme="minorHAnsi"/>
          <w:b/>
          <w:kern w:val="28"/>
          <w:szCs w:val="20"/>
        </w:rPr>
        <w:t>（7）</w:t>
      </w:r>
      <w:r>
        <w:rPr>
          <w:rFonts w:hint="eastAsia" w:asciiTheme="minorHAnsi" w:hAnsiTheme="minorHAnsi" w:cstheme="minorHAnsi"/>
          <w:b/>
          <w:bCs/>
          <w:szCs w:val="24"/>
        </w:rPr>
        <w:t>防雷接地</w:t>
      </w:r>
    </w:p>
    <w:p w14:paraId="03A1B627">
      <w:pPr>
        <w:adjustRightInd w:val="0"/>
        <w:snapToGrid w:val="0"/>
        <w:spacing w:line="360" w:lineRule="auto"/>
        <w:ind w:firstLine="560"/>
        <w:rPr>
          <w:rFonts w:asciiTheme="minorHAnsi" w:hAnsiTheme="minorHAnsi" w:cstheme="minorHAnsi"/>
          <w:kern w:val="28"/>
          <w:szCs w:val="20"/>
        </w:rPr>
      </w:pPr>
      <w:r>
        <w:rPr>
          <w:rFonts w:asciiTheme="minorHAnsi" w:hAnsiTheme="minorHAnsi" w:cstheme="minorHAnsi"/>
          <w:kern w:val="28"/>
          <w:szCs w:val="20"/>
        </w:rPr>
        <w:t>1</w:t>
      </w:r>
      <w:r>
        <w:rPr>
          <w:rFonts w:hint="eastAsia" w:asciiTheme="minorHAnsi" w:hAnsiTheme="minorHAnsi" w:cstheme="minorHAnsi"/>
          <w:kern w:val="28"/>
          <w:szCs w:val="20"/>
        </w:rPr>
        <w:t>）防雷</w:t>
      </w:r>
    </w:p>
    <w:p w14:paraId="1DD7DE39">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在建筑物顶部装设接闪器防直击雷。接闪器采用截面积不小于50mm</w:t>
      </w:r>
      <w:r>
        <w:rPr>
          <w:rFonts w:hint="eastAsia" w:asciiTheme="minorHAnsi" w:hAnsiTheme="minorHAnsi" w:cstheme="minorHAnsi"/>
          <w:kern w:val="28"/>
          <w:szCs w:val="20"/>
          <w:vertAlign w:val="superscript"/>
        </w:rPr>
        <w:t>2</w:t>
      </w:r>
      <w:r>
        <w:rPr>
          <w:rFonts w:hint="eastAsia" w:asciiTheme="minorHAnsi" w:hAnsiTheme="minorHAnsi" w:cstheme="minorHAnsi"/>
          <w:kern w:val="28"/>
          <w:szCs w:val="20"/>
        </w:rPr>
        <w:t>、厚度为2.5mm的热浸镀锌扁钢，沿屋檐和屋角等易受雷击的部位敷设，并利用建筑物柱内钢筋及基础内的钢筋作为引下线和接地装置。</w:t>
      </w:r>
    </w:p>
    <w:p w14:paraId="7D74E47B">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防雷装置的接地与电气和电子系统等接地共用接地装置，并与引入的金属管线等做等电位连接。所有正常不带电的金属外壳、金属管道、金属构架等，均应可靠接地，接地电阻不大于1Ω。</w:t>
      </w:r>
    </w:p>
    <w:p w14:paraId="086E303C">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在变配电所10kV母线上装设无间隙氧化锌避雷器，防闪电电涌侵入。</w:t>
      </w:r>
    </w:p>
    <w:p w14:paraId="063D107E">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在低压配电屏、动力配电箱及电子系统的终端箱处，装设相应试验类型的电涌保护器。</w:t>
      </w:r>
    </w:p>
    <w:p w14:paraId="6FAE6911">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主副井塔楼：</w:t>
      </w:r>
    </w:p>
    <w:p w14:paraId="1101B354">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根据《建筑物防雷设计规范》建筑物的防雷分类规定，主副井塔楼划分为第三类防雷建筑物。</w:t>
      </w:r>
    </w:p>
    <w:p w14:paraId="094964A0">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在主副井塔楼顶部装设接闪器防直击雷。接闪器采用截面积不小于50mm</w:t>
      </w:r>
      <w:r>
        <w:rPr>
          <w:rFonts w:hint="eastAsia" w:asciiTheme="minorHAnsi" w:hAnsiTheme="minorHAnsi" w:cstheme="minorHAnsi"/>
          <w:kern w:val="28"/>
          <w:szCs w:val="20"/>
          <w:vertAlign w:val="superscript"/>
        </w:rPr>
        <w:t>2</w:t>
      </w:r>
      <w:r>
        <w:rPr>
          <w:rFonts w:hint="eastAsia" w:asciiTheme="minorHAnsi" w:hAnsiTheme="minorHAnsi" w:cstheme="minorHAnsi"/>
          <w:kern w:val="28"/>
          <w:szCs w:val="20"/>
        </w:rPr>
        <w:t>、厚度为2.5mm的热浸镀锌扁钢，沿屋檐和屋角等易受雷击的部位敷设，并利用建筑物柱内钢筋及基础内的钢筋作为引下线和接地装置。</w:t>
      </w:r>
    </w:p>
    <w:p w14:paraId="5FA6100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建筑物内设置总等电位端子板，端子板采用500mm×50mm×4mm的紫铜板。防雷装置的接地与电气和电子系统等接地共用接地装置，并与引入的金属管线等做等电位连接。所有正常不带电的金属外壳、金属管道、金属构架等，均应可靠接地，接地电阻不大于1Ω。</w:t>
      </w:r>
    </w:p>
    <w:p w14:paraId="00C309A9">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在低压配电屏、动力配电箱及电子系统的终端箱处，装设相应试验类型的电涌保护器。</w:t>
      </w:r>
    </w:p>
    <w:p w14:paraId="555655AF">
      <w:pPr>
        <w:adjustRightInd w:val="0"/>
        <w:snapToGrid w:val="0"/>
        <w:spacing w:line="360" w:lineRule="auto"/>
        <w:ind w:firstLine="560"/>
        <w:rPr>
          <w:rFonts w:asciiTheme="minorHAnsi" w:hAnsiTheme="minorHAnsi" w:cstheme="minorHAnsi"/>
          <w:kern w:val="28"/>
          <w:szCs w:val="20"/>
        </w:rPr>
      </w:pPr>
      <w:r>
        <w:rPr>
          <w:rFonts w:asciiTheme="minorHAnsi" w:hAnsiTheme="minorHAnsi" w:cstheme="minorHAnsi"/>
          <w:kern w:val="28"/>
          <w:szCs w:val="20"/>
        </w:rPr>
        <w:t>2</w:t>
      </w:r>
      <w:r>
        <w:rPr>
          <w:rFonts w:hint="eastAsia" w:asciiTheme="minorHAnsi" w:hAnsiTheme="minorHAnsi" w:cstheme="minorHAnsi"/>
          <w:kern w:val="28"/>
          <w:szCs w:val="20"/>
        </w:rPr>
        <w:t>）接地</w:t>
      </w:r>
    </w:p>
    <w:p w14:paraId="6C220ABE">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井下采用中性点不接地系统，高压和低压电气设备采用共用的保护接地系统。</w:t>
      </w:r>
    </w:p>
    <w:p w14:paraId="7102FD1A">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井下设总接地网，所有各种电压的电缆金属外皮和电缆接地芯，应不间断地连接起来，构成总的接地网，并与设在水仓中的主接地极和局部接地极连接起来。当采用的电缆无金属外皮可利用时，应另外设置总接地网。移动电缆应有专用的接地芯线。</w:t>
      </w:r>
    </w:p>
    <w:p w14:paraId="1AB4C5C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所有需要接地设备和接地极均应与总接地网连接。</w:t>
      </w:r>
    </w:p>
    <w:p w14:paraId="24155750">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装设的接地装置应使接地部分的计算接触电压不超过36V，距总接地极最远的接地极或其它任何接地极测得的接地网总过渡电阻不得超过2Ω。</w:t>
      </w:r>
    </w:p>
    <w:p w14:paraId="61C36BFB">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主接地极设在-505m水泵房的不同水仓中，均用两块面积不小于0.75m</w:t>
      </w:r>
      <w:r>
        <w:rPr>
          <w:rFonts w:hint="eastAsia" w:asciiTheme="minorHAnsi" w:hAnsiTheme="minorHAnsi" w:cstheme="minorHAnsi"/>
          <w:kern w:val="28"/>
          <w:szCs w:val="20"/>
          <w:vertAlign w:val="superscript"/>
        </w:rPr>
        <w:t>2</w:t>
      </w:r>
      <w:r>
        <w:rPr>
          <w:rFonts w:hint="eastAsia" w:asciiTheme="minorHAnsi" w:hAnsiTheme="minorHAnsi" w:cstheme="minorHAnsi"/>
          <w:kern w:val="28"/>
          <w:szCs w:val="20"/>
        </w:rPr>
        <w:t>、厚度不小于5mm的镀锌钢板。</w:t>
      </w:r>
    </w:p>
    <w:p w14:paraId="211266CF">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下列地点应设置局部接地极：</w:t>
      </w:r>
    </w:p>
    <w:p w14:paraId="59FED8E2">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①每个装有固定电气设备的硐室及单独高压开关装置。</w:t>
      </w:r>
    </w:p>
    <w:p w14:paraId="20D32D18">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②采区变电所和工作面配电点。</w:t>
      </w:r>
    </w:p>
    <w:p w14:paraId="6075C723">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③连接动力铠装电缆的接线盒处。</w:t>
      </w:r>
    </w:p>
    <w:p w14:paraId="21656641">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地表低压电气系统是采用变压器中性点直接接地的三相五线制系统，根据规程规定，当电气设备的保护接地与电气系统的工作接地接在一起时，其接地电阻不应大于4欧姆。</w:t>
      </w:r>
    </w:p>
    <w:p w14:paraId="4A108B9A">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计算机接地采用单独的接地系统，接地电阻不大于4欧姆或按设备要求执行。</w:t>
      </w:r>
    </w:p>
    <w:p w14:paraId="1745A3B1">
      <w:pPr>
        <w:adjustRightInd w:val="0"/>
        <w:snapToGrid w:val="0"/>
        <w:spacing w:line="360" w:lineRule="auto"/>
        <w:ind w:firstLine="560"/>
        <w:rPr>
          <w:rFonts w:asciiTheme="minorHAnsi" w:hAnsiTheme="minorHAnsi" w:cstheme="minorHAnsi"/>
          <w:kern w:val="28"/>
          <w:szCs w:val="20"/>
        </w:rPr>
      </w:pPr>
      <w:r>
        <w:rPr>
          <w:rFonts w:hint="eastAsia" w:asciiTheme="minorHAnsi" w:hAnsiTheme="minorHAnsi" w:cstheme="minorHAnsi"/>
          <w:kern w:val="28"/>
          <w:szCs w:val="20"/>
        </w:rPr>
        <w:t>防雷接地与电气设备接地装置连接时，其接地电阻取其最小值。</w:t>
      </w:r>
    </w:p>
    <w:p w14:paraId="4B4C0E0F">
      <w:pPr>
        <w:adjustRightInd w:val="0"/>
        <w:snapToGrid w:val="0"/>
        <w:spacing w:line="360" w:lineRule="auto"/>
        <w:ind w:firstLine="562"/>
        <w:rPr>
          <w:rFonts w:asciiTheme="minorHAnsi" w:hAnsiTheme="minorHAnsi" w:eastAsiaTheme="minorEastAsia" w:cstheme="minorHAnsi"/>
          <w:b/>
          <w:bCs/>
          <w:kern w:val="0"/>
          <w:szCs w:val="28"/>
        </w:rPr>
      </w:pPr>
      <w:bookmarkStart w:id="77" w:name="_Hlk174006940"/>
      <w:r>
        <w:rPr>
          <w:rFonts w:asciiTheme="minorHAnsi" w:hAnsiTheme="minorHAnsi" w:eastAsiaTheme="minorEastAsia" w:cstheme="minorHAnsi"/>
          <w:b/>
          <w:bCs/>
          <w:kern w:val="0"/>
          <w:szCs w:val="28"/>
        </w:rPr>
        <w:t>（8） 照明</w:t>
      </w:r>
    </w:p>
    <w:bookmarkEnd w:id="77"/>
    <w:p w14:paraId="1DBD40E8">
      <w:pPr>
        <w:adjustRightInd w:val="0"/>
        <w:snapToGrid w:val="0"/>
        <w:spacing w:line="360" w:lineRule="auto"/>
        <w:ind w:firstLine="560"/>
        <w:rPr>
          <w:rFonts w:asciiTheme="minorHAnsi" w:hAnsiTheme="minorHAnsi" w:eastAsiaTheme="minorEastAsia" w:cstheme="minorHAnsi"/>
          <w:kern w:val="0"/>
          <w:szCs w:val="28"/>
        </w:rPr>
      </w:pPr>
      <w:r>
        <w:rPr>
          <w:rFonts w:hint="eastAsia" w:cs="Times New Roman"/>
          <w:bCs/>
          <w:szCs w:val="28"/>
          <w:lang w:bidi="ar"/>
        </w:rPr>
        <w:t>照明变压器采用专用线路供电。照明电源从其供电变压器低压出线侧的断路器之前引出</w:t>
      </w:r>
      <w:r>
        <w:rPr>
          <w:rFonts w:hint="eastAsia"/>
          <w:bCs/>
          <w:szCs w:val="28"/>
        </w:rPr>
        <w:t>。</w:t>
      </w:r>
      <w:r>
        <w:rPr>
          <w:rFonts w:hint="eastAsia" w:asciiTheme="minorHAnsi" w:hAnsiTheme="minorHAnsi" w:eastAsiaTheme="minorEastAsia" w:cstheme="minorHAnsi"/>
          <w:kern w:val="0"/>
          <w:szCs w:val="28"/>
        </w:rPr>
        <w:t>照明电压：井下巷道、硐室固定照明采用220V中性点绝缘系统，人行天井、采矿场工作面及检修照明采用36V。</w:t>
      </w:r>
    </w:p>
    <w:p w14:paraId="006FD821">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井下各变电所均设置应急照明。中央变电所及各高压配电室内安装高压配电装置及低压配电装置，应急照明采用电源转换照明配电箱供电；其它采区变电所及通风变电所内均安装低压配电装置，应急照明采用灯具自带电池供电，应急照明时间不少于30min。</w:t>
      </w:r>
    </w:p>
    <w:p w14:paraId="5DC32747">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运输巷道及硐室采用LED灯，其它地方采用节能灯照明。</w:t>
      </w:r>
    </w:p>
    <w:p w14:paraId="22C6BEF7">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井下巷道照明智能照明系统，控制方式采用工业以太网+CAN总线形式。通过对井下巷道照明实施自动化控制、智能管理，做到人员集中通过时段常亮，其余时间人到灯亮，人离灯熄。当区域检修时，可选择本地控制模式，使检修区域照明灯常亮。</w:t>
      </w:r>
    </w:p>
    <w:p w14:paraId="1169E364">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地表照明采用220/380V中性点直接接地系统。照明电压采用交流220V，事故照明直流电源由免维护直流屏供电。路灯照明采用道路光控系统。生产照明采用金属卤素灯、双线圈电磁感应灯；变电所、主控室、办公室、岗位休息室、值班室用荧光灯；厂区照明采用LED太阳能路灯。厂内设置充足的检修电源开关箱柜，安装电动工具插座，插头可方便操作。</w:t>
      </w:r>
    </w:p>
    <w:p w14:paraId="7AD23E41">
      <w:pPr>
        <w:adjustRightInd w:val="0"/>
        <w:snapToGrid w:val="0"/>
        <w:spacing w:line="360" w:lineRule="auto"/>
        <w:ind w:firstLine="562"/>
        <w:rPr>
          <w:rFonts w:asciiTheme="minorHAnsi" w:hAnsiTheme="minorHAnsi" w:eastAsiaTheme="minorEastAsia" w:cstheme="minorHAnsi"/>
          <w:b/>
          <w:kern w:val="0"/>
          <w:szCs w:val="28"/>
        </w:rPr>
      </w:pPr>
      <w:r>
        <w:rPr>
          <w:rFonts w:hint="eastAsia" w:asciiTheme="minorHAnsi" w:hAnsiTheme="minorHAnsi" w:eastAsiaTheme="minorEastAsia" w:cstheme="minorHAnsi"/>
          <w:b/>
          <w:kern w:val="0"/>
          <w:szCs w:val="28"/>
        </w:rPr>
        <w:t>（9）二期供电</w:t>
      </w:r>
    </w:p>
    <w:p w14:paraId="77AE8A05">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二期采矿仍利用一期-505m井下中央变电所、-565m破碎变电所及-475m 3号通风变电所为生产服务。-505m井下中央变电所为冯家庄综合变电所、冯家庄通风变电所、冯家庄副井及冯家庄副井井口预热变电所供电。供电电源均为两路10kV。</w:t>
      </w:r>
    </w:p>
    <w:p w14:paraId="0AD3A992">
      <w:pPr>
        <w:adjustRightInd w:val="0"/>
        <w:snapToGrid w:val="0"/>
        <w:spacing w:line="360" w:lineRule="auto"/>
        <w:ind w:firstLine="560"/>
        <w:rPr>
          <w:rFonts w:asciiTheme="minorHAnsi" w:hAnsiTheme="minorHAnsi" w:eastAsiaTheme="minorEastAsia" w:cstheme="minorHAnsi"/>
          <w:kern w:val="0"/>
          <w:szCs w:val="28"/>
        </w:rPr>
      </w:pPr>
      <w:r>
        <w:rPr>
          <w:rFonts w:hint="eastAsia" w:asciiTheme="minorHAnsi" w:hAnsiTheme="minorHAnsi" w:eastAsiaTheme="minorEastAsia" w:cstheme="minorHAnsi"/>
          <w:kern w:val="0"/>
          <w:szCs w:val="28"/>
        </w:rPr>
        <w:t>新增-835m井下中央变电所为二期新增排水负荷及二期新增-835m综合变电所、-905m破碎变电所、-655m  4号通风变电所、K1胶带机驱动站变电所及K2胶带机驱动站变电所供电电源均为两路10kV。</w:t>
      </w:r>
    </w:p>
    <w:p w14:paraId="5CA22870">
      <w:pPr>
        <w:pStyle w:val="5"/>
        <w:spacing w:after="190" w:line="360" w:lineRule="auto"/>
        <w:rPr>
          <w:rFonts w:asciiTheme="minorHAnsi" w:hAnsiTheme="minorHAnsi" w:cstheme="minorHAnsi"/>
        </w:rPr>
      </w:pPr>
      <w:bookmarkStart w:id="78" w:name="_Hlk172704257"/>
      <w:r>
        <w:rPr>
          <w:rFonts w:asciiTheme="minorHAnsi" w:hAnsiTheme="minorHAnsi" w:cstheme="minorHAnsi"/>
        </w:rPr>
        <w:t>2.4.8防排水</w:t>
      </w:r>
      <w:r>
        <w:rPr>
          <w:rFonts w:hint="eastAsia" w:asciiTheme="minorHAnsi" w:hAnsiTheme="minorHAnsi" w:cstheme="minorHAnsi"/>
        </w:rPr>
        <w:t>与防灭火</w:t>
      </w:r>
      <w:r>
        <w:rPr>
          <w:rFonts w:asciiTheme="minorHAnsi" w:hAnsiTheme="minorHAnsi" w:cstheme="minorHAnsi"/>
        </w:rPr>
        <w:t>系统</w:t>
      </w:r>
    </w:p>
    <w:bookmarkEnd w:id="78"/>
    <w:p w14:paraId="3F47FB25">
      <w:pPr>
        <w:widowControl/>
        <w:adjustRightInd w:val="0"/>
        <w:snapToGrid w:val="0"/>
        <w:spacing w:line="360" w:lineRule="auto"/>
        <w:ind w:firstLine="0" w:firstLineChars="0"/>
        <w:rPr>
          <w:rFonts w:asciiTheme="minorHAnsi" w:hAnsiTheme="minorHAnsi" w:cstheme="minorHAnsi"/>
          <w:b/>
          <w:kern w:val="0"/>
          <w:szCs w:val="28"/>
        </w:rPr>
      </w:pPr>
      <w:r>
        <w:rPr>
          <w:rFonts w:hint="eastAsia" w:asciiTheme="minorHAnsi" w:hAnsiTheme="minorHAnsi" w:cstheme="minorHAnsi"/>
          <w:b/>
          <w:kern w:val="0"/>
          <w:szCs w:val="28"/>
        </w:rPr>
        <w:t>2</w:t>
      </w:r>
      <w:r>
        <w:rPr>
          <w:rFonts w:asciiTheme="minorHAnsi" w:hAnsiTheme="minorHAnsi" w:cstheme="minorHAnsi"/>
          <w:b/>
          <w:kern w:val="0"/>
          <w:szCs w:val="28"/>
        </w:rPr>
        <w:t>.4.8.1</w:t>
      </w:r>
      <w:r>
        <w:rPr>
          <w:rFonts w:hint="eastAsia" w:asciiTheme="minorHAnsi" w:hAnsiTheme="minorHAnsi" w:cstheme="minorHAnsi"/>
          <w:b/>
          <w:kern w:val="0"/>
          <w:szCs w:val="28"/>
        </w:rPr>
        <w:t>一期</w:t>
      </w:r>
    </w:p>
    <w:p w14:paraId="7CC3DB9A">
      <w:pPr>
        <w:widowControl/>
        <w:adjustRightInd w:val="0"/>
        <w:snapToGrid w:val="0"/>
        <w:spacing w:line="360" w:lineRule="auto"/>
        <w:ind w:firstLine="562"/>
        <w:rPr>
          <w:rFonts w:asciiTheme="minorHAnsi" w:hAnsiTheme="minorHAnsi" w:cstheme="minorHAnsi"/>
          <w:b/>
          <w:kern w:val="0"/>
          <w:szCs w:val="28"/>
        </w:rPr>
      </w:pPr>
      <w:r>
        <w:rPr>
          <w:rFonts w:hint="eastAsia" w:asciiTheme="minorHAnsi" w:hAnsiTheme="minorHAnsi" w:cstheme="minorHAnsi"/>
          <w:b/>
          <w:kern w:val="0"/>
          <w:szCs w:val="28"/>
        </w:rPr>
        <w:t>（1）排水系统</w:t>
      </w:r>
    </w:p>
    <w:p w14:paraId="1A7CE9E4">
      <w:pPr>
        <w:widowControl/>
        <w:adjustRightInd w:val="0"/>
        <w:snapToGrid w:val="0"/>
        <w:spacing w:line="360" w:lineRule="auto"/>
        <w:ind w:firstLine="560"/>
        <w:rPr>
          <w:szCs w:val="28"/>
        </w:rPr>
      </w:pPr>
      <w:r>
        <w:rPr>
          <w:rFonts w:hint="eastAsia"/>
          <w:szCs w:val="28"/>
        </w:rPr>
        <w:t>井下排水</w:t>
      </w:r>
      <w:r>
        <w:rPr>
          <w:szCs w:val="28"/>
        </w:rPr>
        <w:t>采用集中机械</w:t>
      </w:r>
      <w:r>
        <w:rPr>
          <w:rFonts w:hint="eastAsia"/>
          <w:szCs w:val="28"/>
        </w:rPr>
        <w:t>一段</w:t>
      </w:r>
      <w:r>
        <w:rPr>
          <w:szCs w:val="28"/>
        </w:rPr>
        <w:t>排水方式</w:t>
      </w:r>
      <w:r>
        <w:rPr>
          <w:rFonts w:hint="eastAsia"/>
          <w:szCs w:val="28"/>
        </w:rPr>
        <w:t>，</w:t>
      </w:r>
      <w:r>
        <w:rPr>
          <w:szCs w:val="28"/>
        </w:rPr>
        <w:t>在-505m水平副井附近设置泵房</w:t>
      </w:r>
      <w:r>
        <w:rPr>
          <w:rFonts w:hint="eastAsia"/>
          <w:szCs w:val="28"/>
        </w:rPr>
        <w:t>、</w:t>
      </w:r>
      <w:r>
        <w:rPr>
          <w:szCs w:val="28"/>
        </w:rPr>
        <w:t>水仓</w:t>
      </w:r>
      <w:r>
        <w:rPr>
          <w:rFonts w:hint="eastAsia"/>
          <w:szCs w:val="28"/>
        </w:rPr>
        <w:t>、</w:t>
      </w:r>
      <w:r>
        <w:rPr>
          <w:szCs w:val="28"/>
        </w:rPr>
        <w:t>沉淀池排水系统</w:t>
      </w:r>
      <w:r>
        <w:rPr>
          <w:rFonts w:hint="eastAsia"/>
          <w:szCs w:val="28"/>
        </w:rPr>
        <w:t>。</w:t>
      </w:r>
      <w:r>
        <w:rPr>
          <w:szCs w:val="28"/>
        </w:rPr>
        <w:t>全矿各水平井下涌水、生产废水及充填溢流水通过泄水井汇至-505m水仓，通过-505m水泵房经副井排至地表。</w:t>
      </w:r>
    </w:p>
    <w:p w14:paraId="4F1EEB7C">
      <w:pPr>
        <w:adjustRightInd w:val="0"/>
        <w:snapToGrid w:val="0"/>
        <w:spacing w:line="360" w:lineRule="auto"/>
        <w:ind w:firstLine="560"/>
        <w:rPr>
          <w:szCs w:val="28"/>
        </w:rPr>
      </w:pPr>
      <w:r>
        <w:rPr>
          <w:rFonts w:hint="eastAsia"/>
          <w:szCs w:val="28"/>
        </w:rPr>
        <w:t>统筹考虑一期和二期井下排水系统，当一期与二期同时生产时，</w:t>
      </w:r>
      <w:r>
        <w:rPr>
          <w:szCs w:val="28"/>
        </w:rPr>
        <w:t>-505m水仓需容纳</w:t>
      </w:r>
      <w:r>
        <w:rPr>
          <w:rFonts w:hint="eastAsia"/>
          <w:szCs w:val="28"/>
        </w:rPr>
        <w:t>一期井下涌水量、二期彭集矿段及二期冯家庄矿段的全部涌水量，此时全矿</w:t>
      </w:r>
      <w:r>
        <w:rPr>
          <w:szCs w:val="28"/>
        </w:rPr>
        <w:t>的井下涌水量</w:t>
      </w:r>
      <w:r>
        <w:rPr>
          <w:rFonts w:hint="eastAsia"/>
          <w:szCs w:val="28"/>
        </w:rPr>
        <w:t>最大，水仓容积按此涌水量考虑。井下</w:t>
      </w:r>
      <w:r>
        <w:rPr>
          <w:szCs w:val="28"/>
        </w:rPr>
        <w:t>正常涌水量为</w:t>
      </w:r>
      <w:r>
        <w:rPr>
          <w:rFonts w:hint="eastAsia"/>
          <w:szCs w:val="28"/>
        </w:rPr>
        <w:t>15734</w:t>
      </w:r>
      <w:r>
        <w:rPr>
          <w:szCs w:val="28"/>
        </w:rPr>
        <w:t>m</w:t>
      </w:r>
      <w:r>
        <w:rPr>
          <w:szCs w:val="28"/>
          <w:vertAlign w:val="superscript"/>
        </w:rPr>
        <w:t>3</w:t>
      </w:r>
      <w:r>
        <w:rPr>
          <w:szCs w:val="28"/>
        </w:rPr>
        <w:t>/d，</w:t>
      </w:r>
      <w:r>
        <w:rPr>
          <w:rFonts w:hint="eastAsia"/>
          <w:szCs w:val="28"/>
        </w:rPr>
        <w:t>最大涌水量为23611</w:t>
      </w:r>
      <w:r>
        <w:rPr>
          <w:szCs w:val="28"/>
        </w:rPr>
        <w:t>m</w:t>
      </w:r>
      <w:r>
        <w:rPr>
          <w:szCs w:val="28"/>
          <w:vertAlign w:val="superscript"/>
        </w:rPr>
        <w:t>3</w:t>
      </w:r>
      <w:r>
        <w:rPr>
          <w:szCs w:val="28"/>
        </w:rPr>
        <w:t>/d</w:t>
      </w:r>
      <w:r>
        <w:rPr>
          <w:rFonts w:hint="eastAsia"/>
          <w:szCs w:val="28"/>
        </w:rPr>
        <w:t>，</w:t>
      </w:r>
      <w:r>
        <w:rPr>
          <w:szCs w:val="28"/>
        </w:rPr>
        <w:t>生产废水</w:t>
      </w:r>
      <w:r>
        <w:rPr>
          <w:rFonts w:hint="eastAsia"/>
          <w:szCs w:val="28"/>
        </w:rPr>
        <w:t>3146.64</w:t>
      </w:r>
      <w:r>
        <w:rPr>
          <w:szCs w:val="28"/>
        </w:rPr>
        <w:t>m</w:t>
      </w:r>
      <w:r>
        <w:rPr>
          <w:szCs w:val="28"/>
          <w:vertAlign w:val="superscript"/>
        </w:rPr>
        <w:t>3</w:t>
      </w:r>
      <w:r>
        <w:rPr>
          <w:szCs w:val="28"/>
        </w:rPr>
        <w:t>/d，充填析出水</w:t>
      </w:r>
      <w:r>
        <w:rPr>
          <w:rFonts w:hint="eastAsia"/>
          <w:szCs w:val="28"/>
        </w:rPr>
        <w:t>880</w:t>
      </w:r>
      <w:r>
        <w:rPr>
          <w:szCs w:val="28"/>
        </w:rPr>
        <w:t>m</w:t>
      </w:r>
      <w:r>
        <w:rPr>
          <w:szCs w:val="28"/>
          <w:vertAlign w:val="superscript"/>
        </w:rPr>
        <w:t>3</w:t>
      </w:r>
      <w:r>
        <w:rPr>
          <w:szCs w:val="28"/>
        </w:rPr>
        <w:t>/d，总井下正常涌水量为</w:t>
      </w:r>
      <w:r>
        <w:rPr>
          <w:rFonts w:hint="eastAsia"/>
          <w:szCs w:val="28"/>
        </w:rPr>
        <w:t>19760.64m</w:t>
      </w:r>
      <w:r>
        <w:rPr>
          <w:rFonts w:hint="eastAsia"/>
          <w:szCs w:val="28"/>
          <w:vertAlign w:val="superscript"/>
        </w:rPr>
        <w:t>3</w:t>
      </w:r>
      <w:r>
        <w:rPr>
          <w:rFonts w:hint="eastAsia"/>
          <w:szCs w:val="28"/>
        </w:rPr>
        <w:t>/d，总井下最大涌水量为27637.64m</w:t>
      </w:r>
      <w:r>
        <w:rPr>
          <w:rFonts w:hint="eastAsia"/>
          <w:szCs w:val="28"/>
          <w:vertAlign w:val="superscript"/>
        </w:rPr>
        <w:t>3</w:t>
      </w:r>
      <w:r>
        <w:rPr>
          <w:rFonts w:hint="eastAsia"/>
          <w:szCs w:val="28"/>
        </w:rPr>
        <w:t>/d。</w:t>
      </w:r>
    </w:p>
    <w:p w14:paraId="60882AFE">
      <w:pPr>
        <w:snapToGrid w:val="0"/>
        <w:spacing w:line="360" w:lineRule="auto"/>
        <w:ind w:firstLine="560"/>
        <w:jc w:val="center"/>
        <w:rPr>
          <w:szCs w:val="28"/>
        </w:rPr>
      </w:pPr>
      <w:r>
        <w:rPr>
          <w:rFonts w:hint="eastAsia"/>
          <w:szCs w:val="28"/>
        </w:rPr>
        <w:t>表2</w:t>
      </w:r>
      <w:r>
        <w:rPr>
          <w:szCs w:val="28"/>
        </w:rPr>
        <w:t>.4-12泵站水仓参数</w:t>
      </w:r>
    </w:p>
    <w:tbl>
      <w:tblPr>
        <w:tblStyle w:val="54"/>
        <w:tblW w:w="4998" w:type="pct"/>
        <w:tblInd w:w="0" w:type="dxa"/>
        <w:tblLayout w:type="autofit"/>
        <w:tblCellMar>
          <w:top w:w="0" w:type="dxa"/>
          <w:left w:w="108" w:type="dxa"/>
          <w:bottom w:w="0" w:type="dxa"/>
          <w:right w:w="108" w:type="dxa"/>
        </w:tblCellMar>
      </w:tblPr>
      <w:tblGrid>
        <w:gridCol w:w="2070"/>
        <w:gridCol w:w="1317"/>
        <w:gridCol w:w="1910"/>
        <w:gridCol w:w="1579"/>
        <w:gridCol w:w="1317"/>
        <w:gridCol w:w="1317"/>
      </w:tblGrid>
      <w:tr w14:paraId="2312B9B1">
        <w:tblPrEx>
          <w:tblCellMar>
            <w:top w:w="0" w:type="dxa"/>
            <w:left w:w="108" w:type="dxa"/>
            <w:bottom w:w="0" w:type="dxa"/>
            <w:right w:w="108" w:type="dxa"/>
          </w:tblCellMar>
        </w:tblPrEx>
        <w:trPr>
          <w:trHeight w:val="510" w:hRule="atLeast"/>
        </w:trPr>
        <w:tc>
          <w:tcPr>
            <w:tcW w:w="1088" w:type="pct"/>
            <w:tcBorders>
              <w:top w:val="single" w:color="auto" w:sz="4" w:space="0"/>
              <w:left w:val="single" w:color="auto" w:sz="4" w:space="0"/>
              <w:bottom w:val="single" w:color="auto" w:sz="4" w:space="0"/>
              <w:right w:val="single" w:color="auto" w:sz="4" w:space="0"/>
            </w:tcBorders>
            <w:vAlign w:val="center"/>
          </w:tcPr>
          <w:p w14:paraId="62E6382D">
            <w:pPr>
              <w:widowControl/>
              <w:snapToGrid w:val="0"/>
              <w:spacing w:line="240" w:lineRule="auto"/>
              <w:ind w:firstLine="0" w:firstLineChars="0"/>
              <w:jc w:val="center"/>
              <w:rPr>
                <w:w w:val="90"/>
                <w:kern w:val="0"/>
                <w:sz w:val="21"/>
              </w:rPr>
            </w:pPr>
            <w:r>
              <w:rPr>
                <w:w w:val="90"/>
                <w:kern w:val="0"/>
                <w:sz w:val="21"/>
              </w:rPr>
              <w:t>泵站</w:t>
            </w:r>
          </w:p>
        </w:tc>
        <w:tc>
          <w:tcPr>
            <w:tcW w:w="692" w:type="pct"/>
            <w:tcBorders>
              <w:top w:val="single" w:color="auto" w:sz="4" w:space="0"/>
              <w:left w:val="nil"/>
              <w:bottom w:val="single" w:color="auto" w:sz="4" w:space="0"/>
              <w:right w:val="single" w:color="auto" w:sz="4" w:space="0"/>
            </w:tcBorders>
            <w:vAlign w:val="center"/>
          </w:tcPr>
          <w:p w14:paraId="35060864">
            <w:pPr>
              <w:widowControl/>
              <w:snapToGrid w:val="0"/>
              <w:spacing w:line="240" w:lineRule="auto"/>
              <w:ind w:firstLine="0" w:firstLineChars="0"/>
              <w:jc w:val="center"/>
              <w:rPr>
                <w:w w:val="90"/>
                <w:kern w:val="0"/>
                <w:sz w:val="21"/>
              </w:rPr>
            </w:pPr>
            <w:r>
              <w:rPr>
                <w:w w:val="90"/>
                <w:kern w:val="0"/>
                <w:sz w:val="21"/>
              </w:rPr>
              <w:t>正常涌水</w:t>
            </w:r>
          </w:p>
          <w:p w14:paraId="437CA956">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/h）</w:t>
            </w:r>
          </w:p>
        </w:tc>
        <w:tc>
          <w:tcPr>
            <w:tcW w:w="1004" w:type="pct"/>
            <w:tcBorders>
              <w:top w:val="single" w:color="auto" w:sz="4" w:space="0"/>
              <w:left w:val="nil"/>
              <w:bottom w:val="single" w:color="auto" w:sz="4" w:space="0"/>
              <w:right w:val="single" w:color="auto" w:sz="4" w:space="0"/>
            </w:tcBorders>
            <w:vAlign w:val="center"/>
          </w:tcPr>
          <w:p w14:paraId="20792D3F">
            <w:pPr>
              <w:widowControl/>
              <w:snapToGrid w:val="0"/>
              <w:spacing w:line="240" w:lineRule="auto"/>
              <w:ind w:firstLine="0" w:firstLineChars="0"/>
              <w:jc w:val="center"/>
              <w:rPr>
                <w:w w:val="90"/>
                <w:kern w:val="0"/>
                <w:sz w:val="21"/>
              </w:rPr>
            </w:pPr>
            <w:r>
              <w:rPr>
                <w:rFonts w:hint="eastAsia"/>
                <w:w w:val="90"/>
                <w:kern w:val="0"/>
                <w:sz w:val="21"/>
              </w:rPr>
              <w:t>4</w:t>
            </w:r>
            <w:r>
              <w:rPr>
                <w:w w:val="90"/>
                <w:kern w:val="0"/>
                <w:sz w:val="21"/>
              </w:rPr>
              <w:t>h正常涌水量</w:t>
            </w:r>
          </w:p>
          <w:p w14:paraId="63C99E08">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c>
          <w:tcPr>
            <w:tcW w:w="830" w:type="pct"/>
            <w:tcBorders>
              <w:top w:val="single" w:color="auto" w:sz="4" w:space="0"/>
              <w:left w:val="nil"/>
              <w:bottom w:val="single" w:color="auto" w:sz="4" w:space="0"/>
              <w:right w:val="single" w:color="auto" w:sz="4" w:space="0"/>
            </w:tcBorders>
            <w:vAlign w:val="center"/>
          </w:tcPr>
          <w:p w14:paraId="48C07212">
            <w:pPr>
              <w:widowControl/>
              <w:snapToGrid w:val="0"/>
              <w:spacing w:line="240" w:lineRule="auto"/>
              <w:ind w:firstLine="0" w:firstLineChars="0"/>
              <w:jc w:val="center"/>
              <w:rPr>
                <w:w w:val="90"/>
                <w:kern w:val="0"/>
                <w:sz w:val="21"/>
              </w:rPr>
            </w:pPr>
            <w:r>
              <w:rPr>
                <w:w w:val="90"/>
                <w:kern w:val="0"/>
                <w:sz w:val="21"/>
              </w:rPr>
              <w:t>水仓总容积</w:t>
            </w:r>
          </w:p>
          <w:p w14:paraId="19E4FC3A">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c>
          <w:tcPr>
            <w:tcW w:w="692" w:type="pct"/>
            <w:tcBorders>
              <w:top w:val="single" w:color="auto" w:sz="4" w:space="0"/>
              <w:left w:val="nil"/>
              <w:bottom w:val="single" w:color="auto" w:sz="4" w:space="0"/>
              <w:right w:val="single" w:color="auto" w:sz="4" w:space="0"/>
            </w:tcBorders>
            <w:vAlign w:val="center"/>
          </w:tcPr>
          <w:p w14:paraId="00ACEED4">
            <w:pPr>
              <w:widowControl/>
              <w:snapToGrid w:val="0"/>
              <w:spacing w:line="240" w:lineRule="auto"/>
              <w:ind w:firstLine="0" w:firstLineChars="0"/>
              <w:jc w:val="center"/>
              <w:rPr>
                <w:w w:val="90"/>
                <w:kern w:val="0"/>
                <w:sz w:val="21"/>
              </w:rPr>
            </w:pPr>
            <w:r>
              <w:rPr>
                <w:w w:val="90"/>
                <w:kern w:val="0"/>
                <w:sz w:val="21"/>
              </w:rPr>
              <w:t>水仓断面</w:t>
            </w:r>
          </w:p>
          <w:p w14:paraId="0552DF82">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2</w:t>
            </w:r>
            <w:r>
              <w:rPr>
                <w:w w:val="90"/>
                <w:kern w:val="0"/>
                <w:sz w:val="21"/>
              </w:rPr>
              <w:t>）</w:t>
            </w:r>
          </w:p>
        </w:tc>
        <w:tc>
          <w:tcPr>
            <w:tcW w:w="692" w:type="pct"/>
            <w:tcBorders>
              <w:top w:val="single" w:color="auto" w:sz="4" w:space="0"/>
              <w:left w:val="nil"/>
              <w:bottom w:val="single" w:color="auto" w:sz="4" w:space="0"/>
              <w:right w:val="single" w:color="auto" w:sz="4" w:space="0"/>
            </w:tcBorders>
            <w:vAlign w:val="center"/>
          </w:tcPr>
          <w:p w14:paraId="5755434F">
            <w:pPr>
              <w:widowControl/>
              <w:snapToGrid w:val="0"/>
              <w:spacing w:line="240" w:lineRule="auto"/>
              <w:ind w:firstLine="0" w:firstLineChars="0"/>
              <w:jc w:val="center"/>
              <w:rPr>
                <w:w w:val="90"/>
                <w:kern w:val="0"/>
                <w:sz w:val="21"/>
              </w:rPr>
            </w:pPr>
            <w:r>
              <w:rPr>
                <w:w w:val="90"/>
                <w:kern w:val="0"/>
                <w:sz w:val="21"/>
              </w:rPr>
              <w:t>水仓长度</w:t>
            </w:r>
          </w:p>
          <w:p w14:paraId="7D04252A">
            <w:pPr>
              <w:widowControl/>
              <w:snapToGrid w:val="0"/>
              <w:spacing w:line="240" w:lineRule="auto"/>
              <w:ind w:firstLine="0" w:firstLineChars="0"/>
              <w:jc w:val="center"/>
              <w:rPr>
                <w:w w:val="90"/>
                <w:kern w:val="0"/>
                <w:sz w:val="21"/>
              </w:rPr>
            </w:pPr>
            <w:r>
              <w:rPr>
                <w:w w:val="90"/>
                <w:kern w:val="0"/>
                <w:sz w:val="21"/>
              </w:rPr>
              <w:t>（m）</w:t>
            </w:r>
          </w:p>
        </w:tc>
      </w:tr>
      <w:tr w14:paraId="40878F3D">
        <w:tblPrEx>
          <w:tblCellMar>
            <w:top w:w="0" w:type="dxa"/>
            <w:left w:w="108" w:type="dxa"/>
            <w:bottom w:w="0" w:type="dxa"/>
            <w:right w:w="108" w:type="dxa"/>
          </w:tblCellMar>
        </w:tblPrEx>
        <w:trPr>
          <w:trHeight w:val="510" w:hRule="atLeast"/>
        </w:trPr>
        <w:tc>
          <w:tcPr>
            <w:tcW w:w="1088" w:type="pct"/>
            <w:tcBorders>
              <w:top w:val="nil"/>
              <w:left w:val="single" w:color="auto" w:sz="4" w:space="0"/>
              <w:bottom w:val="single" w:color="auto" w:sz="4" w:space="0"/>
              <w:right w:val="single" w:color="auto" w:sz="4" w:space="0"/>
            </w:tcBorders>
            <w:vAlign w:val="center"/>
          </w:tcPr>
          <w:p w14:paraId="206A717A">
            <w:pPr>
              <w:widowControl/>
              <w:snapToGrid w:val="0"/>
              <w:spacing w:line="240" w:lineRule="auto"/>
              <w:ind w:firstLine="0" w:firstLineChars="0"/>
              <w:jc w:val="center"/>
              <w:rPr>
                <w:w w:val="90"/>
                <w:kern w:val="0"/>
                <w:sz w:val="21"/>
              </w:rPr>
            </w:pPr>
            <w:r>
              <w:rPr>
                <w:w w:val="90"/>
                <w:kern w:val="0"/>
                <w:sz w:val="21"/>
              </w:rPr>
              <w:t>-</w:t>
            </w:r>
            <w:r>
              <w:rPr>
                <w:rFonts w:hint="eastAsia"/>
                <w:w w:val="90"/>
                <w:kern w:val="0"/>
                <w:sz w:val="21"/>
              </w:rPr>
              <w:t>505</w:t>
            </w:r>
            <w:r>
              <w:rPr>
                <w:w w:val="90"/>
                <w:kern w:val="0"/>
                <w:sz w:val="21"/>
              </w:rPr>
              <w:t>m水平泵站</w:t>
            </w:r>
          </w:p>
        </w:tc>
        <w:tc>
          <w:tcPr>
            <w:tcW w:w="692" w:type="pct"/>
            <w:tcBorders>
              <w:top w:val="nil"/>
              <w:left w:val="nil"/>
              <w:bottom w:val="single" w:color="auto" w:sz="4" w:space="0"/>
              <w:right w:val="single" w:color="auto" w:sz="4" w:space="0"/>
            </w:tcBorders>
            <w:vAlign w:val="center"/>
          </w:tcPr>
          <w:p w14:paraId="2E90154F">
            <w:pPr>
              <w:widowControl/>
              <w:snapToGrid w:val="0"/>
              <w:spacing w:line="240" w:lineRule="auto"/>
              <w:ind w:firstLine="0" w:firstLineChars="0"/>
              <w:jc w:val="center"/>
              <w:rPr>
                <w:w w:val="90"/>
                <w:kern w:val="0"/>
                <w:sz w:val="21"/>
              </w:rPr>
            </w:pPr>
            <w:r>
              <w:rPr>
                <w:rFonts w:hint="eastAsia"/>
                <w:w w:val="90"/>
                <w:kern w:val="0"/>
                <w:sz w:val="21"/>
              </w:rPr>
              <w:t>823.4</w:t>
            </w:r>
          </w:p>
        </w:tc>
        <w:tc>
          <w:tcPr>
            <w:tcW w:w="1004" w:type="pct"/>
            <w:tcBorders>
              <w:top w:val="nil"/>
              <w:left w:val="nil"/>
              <w:bottom w:val="single" w:color="auto" w:sz="4" w:space="0"/>
              <w:right w:val="single" w:color="auto" w:sz="4" w:space="0"/>
            </w:tcBorders>
            <w:vAlign w:val="center"/>
          </w:tcPr>
          <w:p w14:paraId="688E562F">
            <w:pPr>
              <w:widowControl/>
              <w:snapToGrid w:val="0"/>
              <w:spacing w:line="240" w:lineRule="auto"/>
              <w:ind w:firstLine="0" w:firstLineChars="0"/>
              <w:jc w:val="center"/>
              <w:rPr>
                <w:w w:val="90"/>
                <w:kern w:val="0"/>
                <w:sz w:val="21"/>
              </w:rPr>
            </w:pPr>
            <w:r>
              <w:rPr>
                <w:rFonts w:hint="eastAsia"/>
                <w:w w:val="90"/>
                <w:kern w:val="0"/>
                <w:sz w:val="21"/>
              </w:rPr>
              <w:t>4391.25</w:t>
            </w:r>
          </w:p>
        </w:tc>
        <w:tc>
          <w:tcPr>
            <w:tcW w:w="830" w:type="pct"/>
            <w:tcBorders>
              <w:top w:val="nil"/>
              <w:left w:val="nil"/>
              <w:bottom w:val="single" w:color="auto" w:sz="4" w:space="0"/>
              <w:right w:val="single" w:color="auto" w:sz="4" w:space="0"/>
            </w:tcBorders>
            <w:vAlign w:val="center"/>
          </w:tcPr>
          <w:p w14:paraId="378D24CA">
            <w:pPr>
              <w:widowControl/>
              <w:snapToGrid w:val="0"/>
              <w:spacing w:line="240" w:lineRule="auto"/>
              <w:ind w:firstLine="0" w:firstLineChars="0"/>
              <w:jc w:val="center"/>
              <w:rPr>
                <w:w w:val="90"/>
                <w:kern w:val="0"/>
                <w:sz w:val="21"/>
              </w:rPr>
            </w:pPr>
            <w:r>
              <w:rPr>
                <w:rFonts w:hint="eastAsia"/>
                <w:w w:val="90"/>
                <w:kern w:val="0"/>
                <w:sz w:val="21"/>
              </w:rPr>
              <w:t>4425.3</w:t>
            </w:r>
          </w:p>
        </w:tc>
        <w:tc>
          <w:tcPr>
            <w:tcW w:w="692" w:type="pct"/>
            <w:tcBorders>
              <w:top w:val="nil"/>
              <w:left w:val="nil"/>
              <w:bottom w:val="single" w:color="auto" w:sz="4" w:space="0"/>
              <w:right w:val="single" w:color="auto" w:sz="4" w:space="0"/>
            </w:tcBorders>
            <w:vAlign w:val="center"/>
          </w:tcPr>
          <w:p w14:paraId="3CC91972">
            <w:pPr>
              <w:widowControl/>
              <w:snapToGrid w:val="0"/>
              <w:spacing w:line="240" w:lineRule="auto"/>
              <w:ind w:firstLine="0" w:firstLineChars="0"/>
              <w:jc w:val="center"/>
              <w:rPr>
                <w:w w:val="90"/>
                <w:kern w:val="0"/>
                <w:sz w:val="21"/>
              </w:rPr>
            </w:pPr>
            <w:r>
              <w:rPr>
                <w:rFonts w:hint="eastAsia"/>
                <w:w w:val="90"/>
                <w:kern w:val="0"/>
                <w:sz w:val="21"/>
              </w:rPr>
              <w:t>13.41</w:t>
            </w:r>
          </w:p>
        </w:tc>
        <w:tc>
          <w:tcPr>
            <w:tcW w:w="692" w:type="pct"/>
            <w:tcBorders>
              <w:top w:val="nil"/>
              <w:left w:val="nil"/>
              <w:bottom w:val="single" w:color="auto" w:sz="4" w:space="0"/>
              <w:right w:val="single" w:color="auto" w:sz="4" w:space="0"/>
            </w:tcBorders>
            <w:vAlign w:val="center"/>
          </w:tcPr>
          <w:p w14:paraId="09E20FDF">
            <w:pPr>
              <w:widowControl/>
              <w:snapToGrid w:val="0"/>
              <w:spacing w:line="240" w:lineRule="auto"/>
              <w:ind w:firstLine="0" w:firstLineChars="0"/>
              <w:jc w:val="center"/>
              <w:rPr>
                <w:w w:val="90"/>
                <w:kern w:val="0"/>
                <w:sz w:val="21"/>
              </w:rPr>
            </w:pPr>
            <w:r>
              <w:rPr>
                <w:rFonts w:hint="eastAsia"/>
                <w:w w:val="90"/>
                <w:kern w:val="0"/>
                <w:sz w:val="21"/>
              </w:rPr>
              <w:t>330</w:t>
            </w:r>
          </w:p>
        </w:tc>
      </w:tr>
    </w:tbl>
    <w:p w14:paraId="35DEBB8E">
      <w:pPr>
        <w:snapToGrid w:val="0"/>
        <w:spacing w:line="360" w:lineRule="auto"/>
        <w:ind w:firstLine="560"/>
        <w:jc w:val="center"/>
        <w:rPr>
          <w:szCs w:val="28"/>
        </w:rPr>
      </w:pPr>
      <w:r>
        <w:rPr>
          <w:rFonts w:hint="eastAsia"/>
          <w:szCs w:val="28"/>
        </w:rPr>
        <w:t>表2</w:t>
      </w:r>
      <w:r>
        <w:rPr>
          <w:szCs w:val="28"/>
        </w:rPr>
        <w:t>.4-13 各水泵单条水仓容量计算</w:t>
      </w:r>
      <w:r>
        <w:rPr>
          <w:rFonts w:hint="eastAsia"/>
          <w:szCs w:val="28"/>
        </w:rPr>
        <w:t xml:space="preserve"> </w:t>
      </w:r>
      <w:r>
        <w:rPr>
          <w:szCs w:val="28"/>
        </w:rPr>
        <w:t xml:space="preserve"> </w:t>
      </w:r>
    </w:p>
    <w:tbl>
      <w:tblPr>
        <w:tblStyle w:val="54"/>
        <w:tblW w:w="4998" w:type="pct"/>
        <w:tblInd w:w="0" w:type="dxa"/>
        <w:tblLayout w:type="autofit"/>
        <w:tblCellMar>
          <w:top w:w="0" w:type="dxa"/>
          <w:left w:w="108" w:type="dxa"/>
          <w:bottom w:w="0" w:type="dxa"/>
          <w:right w:w="108" w:type="dxa"/>
        </w:tblCellMar>
      </w:tblPr>
      <w:tblGrid>
        <w:gridCol w:w="1839"/>
        <w:gridCol w:w="1562"/>
        <w:gridCol w:w="2022"/>
        <w:gridCol w:w="2193"/>
        <w:gridCol w:w="1894"/>
      </w:tblGrid>
      <w:tr w14:paraId="0262274A">
        <w:tblPrEx>
          <w:tblCellMar>
            <w:top w:w="0" w:type="dxa"/>
            <w:left w:w="108" w:type="dxa"/>
            <w:bottom w:w="0" w:type="dxa"/>
            <w:right w:w="108" w:type="dxa"/>
          </w:tblCellMar>
        </w:tblPrEx>
        <w:trPr>
          <w:trHeight w:val="425" w:hRule="atLeast"/>
          <w:tblHeader/>
        </w:trPr>
        <w:tc>
          <w:tcPr>
            <w:tcW w:w="967" w:type="pct"/>
            <w:tcBorders>
              <w:top w:val="single" w:color="auto" w:sz="4" w:space="0"/>
              <w:left w:val="single" w:color="auto" w:sz="4" w:space="0"/>
              <w:bottom w:val="single" w:color="auto" w:sz="4" w:space="0"/>
              <w:right w:val="single" w:color="auto" w:sz="4" w:space="0"/>
            </w:tcBorders>
            <w:vAlign w:val="center"/>
          </w:tcPr>
          <w:p w14:paraId="3CCE06D6">
            <w:pPr>
              <w:widowControl/>
              <w:adjustRightInd w:val="0"/>
              <w:snapToGrid w:val="0"/>
              <w:spacing w:line="240" w:lineRule="auto"/>
              <w:ind w:firstLine="0" w:firstLineChars="0"/>
              <w:jc w:val="center"/>
              <w:rPr>
                <w:w w:val="90"/>
                <w:kern w:val="0"/>
                <w:sz w:val="21"/>
              </w:rPr>
            </w:pPr>
            <w:r>
              <w:rPr>
                <w:w w:val="90"/>
                <w:kern w:val="0"/>
                <w:sz w:val="21"/>
              </w:rPr>
              <w:t>泵站</w:t>
            </w:r>
          </w:p>
        </w:tc>
        <w:tc>
          <w:tcPr>
            <w:tcW w:w="821" w:type="pct"/>
            <w:tcBorders>
              <w:top w:val="single" w:color="auto" w:sz="4" w:space="0"/>
              <w:left w:val="nil"/>
              <w:bottom w:val="single" w:color="auto" w:sz="4" w:space="0"/>
              <w:right w:val="single" w:color="auto" w:sz="4" w:space="0"/>
            </w:tcBorders>
            <w:vAlign w:val="center"/>
          </w:tcPr>
          <w:p w14:paraId="46E907D3">
            <w:pPr>
              <w:widowControl/>
              <w:adjustRightInd w:val="0"/>
              <w:snapToGrid w:val="0"/>
              <w:spacing w:line="240" w:lineRule="auto"/>
              <w:ind w:firstLine="0" w:firstLineChars="0"/>
              <w:jc w:val="center"/>
              <w:rPr>
                <w:w w:val="90"/>
                <w:kern w:val="0"/>
                <w:sz w:val="21"/>
              </w:rPr>
            </w:pPr>
            <w:r>
              <w:rPr>
                <w:w w:val="90"/>
                <w:kern w:val="0"/>
                <w:sz w:val="21"/>
              </w:rPr>
              <w:t>水仓名称</w:t>
            </w:r>
          </w:p>
        </w:tc>
        <w:tc>
          <w:tcPr>
            <w:tcW w:w="1063" w:type="pct"/>
            <w:tcBorders>
              <w:top w:val="single" w:color="auto" w:sz="4" w:space="0"/>
              <w:left w:val="nil"/>
              <w:bottom w:val="single" w:color="auto" w:sz="4" w:space="0"/>
              <w:right w:val="single" w:color="auto" w:sz="4" w:space="0"/>
            </w:tcBorders>
            <w:vAlign w:val="center"/>
          </w:tcPr>
          <w:p w14:paraId="74DDF973">
            <w:pPr>
              <w:widowControl/>
              <w:adjustRightInd w:val="0"/>
              <w:snapToGrid w:val="0"/>
              <w:spacing w:line="240" w:lineRule="auto"/>
              <w:ind w:firstLine="0" w:firstLineChars="0"/>
              <w:jc w:val="center"/>
              <w:rPr>
                <w:w w:val="90"/>
                <w:kern w:val="0"/>
                <w:sz w:val="21"/>
              </w:rPr>
            </w:pPr>
            <w:r>
              <w:rPr>
                <w:w w:val="90"/>
                <w:kern w:val="0"/>
                <w:sz w:val="21"/>
              </w:rPr>
              <w:t>水仓长度</w:t>
            </w:r>
          </w:p>
          <w:p w14:paraId="02B79BC7">
            <w:pPr>
              <w:widowControl/>
              <w:adjustRightInd w:val="0"/>
              <w:snapToGrid w:val="0"/>
              <w:spacing w:line="240" w:lineRule="auto"/>
              <w:ind w:firstLine="0" w:firstLineChars="0"/>
              <w:jc w:val="center"/>
              <w:rPr>
                <w:w w:val="90"/>
                <w:kern w:val="0"/>
                <w:sz w:val="21"/>
              </w:rPr>
            </w:pPr>
            <w:r>
              <w:rPr>
                <w:w w:val="90"/>
                <w:kern w:val="0"/>
                <w:sz w:val="21"/>
              </w:rPr>
              <w:t>（m）</w:t>
            </w:r>
          </w:p>
        </w:tc>
        <w:tc>
          <w:tcPr>
            <w:tcW w:w="1153" w:type="pct"/>
            <w:tcBorders>
              <w:top w:val="single" w:color="auto" w:sz="4" w:space="0"/>
              <w:left w:val="nil"/>
              <w:bottom w:val="single" w:color="auto" w:sz="4" w:space="0"/>
              <w:right w:val="single" w:color="auto" w:sz="4" w:space="0"/>
            </w:tcBorders>
            <w:vAlign w:val="center"/>
          </w:tcPr>
          <w:p w14:paraId="58DFE374">
            <w:pPr>
              <w:widowControl/>
              <w:adjustRightInd w:val="0"/>
              <w:snapToGrid w:val="0"/>
              <w:spacing w:line="240" w:lineRule="auto"/>
              <w:ind w:firstLine="0" w:firstLineChars="0"/>
              <w:jc w:val="center"/>
              <w:rPr>
                <w:w w:val="90"/>
                <w:kern w:val="0"/>
                <w:sz w:val="21"/>
              </w:rPr>
            </w:pPr>
            <w:r>
              <w:rPr>
                <w:w w:val="90"/>
                <w:kern w:val="0"/>
                <w:sz w:val="21"/>
              </w:rPr>
              <w:t>水仓断面</w:t>
            </w:r>
          </w:p>
          <w:p w14:paraId="2025C1E5">
            <w:pPr>
              <w:widowControl/>
              <w:adjustRightInd w:val="0"/>
              <w:snapToGrid w:val="0"/>
              <w:spacing w:line="240" w:lineRule="auto"/>
              <w:ind w:firstLine="0" w:firstLineChars="0"/>
              <w:jc w:val="center"/>
              <w:rPr>
                <w:w w:val="90"/>
                <w:kern w:val="0"/>
                <w:sz w:val="21"/>
              </w:rPr>
            </w:pPr>
            <w:r>
              <w:rPr>
                <w:w w:val="90"/>
                <w:kern w:val="0"/>
                <w:sz w:val="21"/>
              </w:rPr>
              <w:t>（m</w:t>
            </w:r>
            <w:r>
              <w:rPr>
                <w:w w:val="90"/>
                <w:kern w:val="0"/>
                <w:sz w:val="21"/>
                <w:vertAlign w:val="superscript"/>
              </w:rPr>
              <w:t>2</w:t>
            </w:r>
            <w:r>
              <w:rPr>
                <w:w w:val="90"/>
                <w:kern w:val="0"/>
                <w:sz w:val="21"/>
              </w:rPr>
              <w:t>）</w:t>
            </w:r>
          </w:p>
        </w:tc>
        <w:tc>
          <w:tcPr>
            <w:tcW w:w="997" w:type="pct"/>
            <w:tcBorders>
              <w:top w:val="single" w:color="auto" w:sz="4" w:space="0"/>
              <w:left w:val="nil"/>
              <w:bottom w:val="single" w:color="auto" w:sz="4" w:space="0"/>
              <w:right w:val="single" w:color="auto" w:sz="4" w:space="0"/>
            </w:tcBorders>
            <w:vAlign w:val="center"/>
          </w:tcPr>
          <w:p w14:paraId="638C361F">
            <w:pPr>
              <w:widowControl/>
              <w:adjustRightInd w:val="0"/>
              <w:snapToGrid w:val="0"/>
              <w:spacing w:line="240" w:lineRule="auto"/>
              <w:ind w:firstLine="0" w:firstLineChars="0"/>
              <w:jc w:val="center"/>
              <w:rPr>
                <w:w w:val="90"/>
                <w:kern w:val="0"/>
                <w:sz w:val="21"/>
              </w:rPr>
            </w:pPr>
            <w:r>
              <w:rPr>
                <w:w w:val="90"/>
                <w:kern w:val="0"/>
                <w:sz w:val="21"/>
              </w:rPr>
              <w:t>水仓容积</w:t>
            </w:r>
          </w:p>
          <w:p w14:paraId="15052B7D">
            <w:pPr>
              <w:widowControl/>
              <w:adjustRightInd w:val="0"/>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r>
      <w:tr w14:paraId="016837F2">
        <w:tblPrEx>
          <w:tblCellMar>
            <w:top w:w="0" w:type="dxa"/>
            <w:left w:w="108" w:type="dxa"/>
            <w:bottom w:w="0" w:type="dxa"/>
            <w:right w:w="108" w:type="dxa"/>
          </w:tblCellMar>
        </w:tblPrEx>
        <w:trPr>
          <w:trHeight w:val="425" w:hRule="atLeast"/>
        </w:trPr>
        <w:tc>
          <w:tcPr>
            <w:tcW w:w="967" w:type="pct"/>
            <w:vMerge w:val="restart"/>
            <w:tcBorders>
              <w:top w:val="nil"/>
              <w:left w:val="single" w:color="auto" w:sz="4" w:space="0"/>
              <w:bottom w:val="single" w:color="auto" w:sz="4" w:space="0"/>
              <w:right w:val="single" w:color="auto" w:sz="4" w:space="0"/>
            </w:tcBorders>
            <w:vAlign w:val="center"/>
          </w:tcPr>
          <w:p w14:paraId="0A8A034C">
            <w:pPr>
              <w:widowControl/>
              <w:adjustRightInd w:val="0"/>
              <w:snapToGrid w:val="0"/>
              <w:spacing w:line="240" w:lineRule="auto"/>
              <w:ind w:firstLine="0" w:firstLineChars="0"/>
              <w:jc w:val="center"/>
              <w:rPr>
                <w:w w:val="90"/>
                <w:kern w:val="0"/>
                <w:sz w:val="21"/>
              </w:rPr>
            </w:pPr>
            <w:r>
              <w:rPr>
                <w:w w:val="90"/>
                <w:kern w:val="0"/>
                <w:sz w:val="21"/>
              </w:rPr>
              <w:t>-</w:t>
            </w:r>
            <w:r>
              <w:rPr>
                <w:rFonts w:hint="eastAsia"/>
                <w:w w:val="90"/>
                <w:kern w:val="0"/>
                <w:sz w:val="21"/>
              </w:rPr>
              <w:t>505</w:t>
            </w:r>
            <w:r>
              <w:rPr>
                <w:w w:val="90"/>
                <w:kern w:val="0"/>
                <w:sz w:val="21"/>
              </w:rPr>
              <w:t>m泵站</w:t>
            </w:r>
          </w:p>
        </w:tc>
        <w:tc>
          <w:tcPr>
            <w:tcW w:w="821" w:type="pct"/>
            <w:tcBorders>
              <w:top w:val="nil"/>
              <w:left w:val="nil"/>
              <w:bottom w:val="single" w:color="auto" w:sz="4" w:space="0"/>
              <w:right w:val="single" w:color="auto" w:sz="4" w:space="0"/>
            </w:tcBorders>
            <w:vAlign w:val="center"/>
          </w:tcPr>
          <w:p w14:paraId="6BAD440A">
            <w:pPr>
              <w:widowControl/>
              <w:adjustRightInd w:val="0"/>
              <w:snapToGrid w:val="0"/>
              <w:spacing w:line="240" w:lineRule="auto"/>
              <w:ind w:firstLine="0" w:firstLineChars="0"/>
              <w:jc w:val="center"/>
              <w:rPr>
                <w:w w:val="90"/>
                <w:kern w:val="0"/>
                <w:sz w:val="21"/>
              </w:rPr>
            </w:pPr>
            <w:r>
              <w:rPr>
                <w:w w:val="90"/>
                <w:kern w:val="0"/>
                <w:sz w:val="21"/>
              </w:rPr>
              <w:t>水仓1</w:t>
            </w:r>
          </w:p>
        </w:tc>
        <w:tc>
          <w:tcPr>
            <w:tcW w:w="1063" w:type="pct"/>
            <w:tcBorders>
              <w:top w:val="nil"/>
              <w:left w:val="nil"/>
              <w:bottom w:val="single" w:color="auto" w:sz="4" w:space="0"/>
              <w:right w:val="single" w:color="auto" w:sz="4" w:space="0"/>
            </w:tcBorders>
            <w:vAlign w:val="center"/>
          </w:tcPr>
          <w:p w14:paraId="711824C3">
            <w:pPr>
              <w:widowControl/>
              <w:adjustRightInd w:val="0"/>
              <w:snapToGrid w:val="0"/>
              <w:spacing w:line="240" w:lineRule="auto"/>
              <w:ind w:firstLine="0" w:firstLineChars="0"/>
              <w:jc w:val="center"/>
              <w:rPr>
                <w:w w:val="90"/>
                <w:kern w:val="0"/>
                <w:sz w:val="21"/>
              </w:rPr>
            </w:pPr>
            <w:r>
              <w:rPr>
                <w:rFonts w:hint="eastAsia"/>
                <w:w w:val="90"/>
                <w:kern w:val="0"/>
                <w:sz w:val="21"/>
              </w:rPr>
              <w:t>147.7</w:t>
            </w:r>
          </w:p>
        </w:tc>
        <w:tc>
          <w:tcPr>
            <w:tcW w:w="1153" w:type="pct"/>
            <w:tcBorders>
              <w:top w:val="nil"/>
              <w:left w:val="nil"/>
              <w:bottom w:val="single" w:color="auto" w:sz="4" w:space="0"/>
              <w:right w:val="single" w:color="auto" w:sz="4" w:space="0"/>
            </w:tcBorders>
            <w:vAlign w:val="center"/>
          </w:tcPr>
          <w:p w14:paraId="4647488C">
            <w:pPr>
              <w:widowControl/>
              <w:adjustRightInd w:val="0"/>
              <w:snapToGrid w:val="0"/>
              <w:spacing w:line="240" w:lineRule="auto"/>
              <w:ind w:firstLine="0" w:firstLineChars="0"/>
              <w:jc w:val="center"/>
              <w:rPr>
                <w:w w:val="90"/>
                <w:kern w:val="0"/>
                <w:sz w:val="21"/>
              </w:rPr>
            </w:pPr>
            <w:r>
              <w:rPr>
                <w:rFonts w:hint="eastAsia"/>
                <w:w w:val="90"/>
                <w:kern w:val="0"/>
                <w:sz w:val="21"/>
              </w:rPr>
              <w:t>13.41</w:t>
            </w:r>
          </w:p>
        </w:tc>
        <w:tc>
          <w:tcPr>
            <w:tcW w:w="997" w:type="pct"/>
            <w:tcBorders>
              <w:top w:val="nil"/>
              <w:left w:val="nil"/>
              <w:bottom w:val="single" w:color="auto" w:sz="4" w:space="0"/>
              <w:right w:val="single" w:color="auto" w:sz="4" w:space="0"/>
            </w:tcBorders>
            <w:vAlign w:val="center"/>
          </w:tcPr>
          <w:p w14:paraId="37B6F881">
            <w:pPr>
              <w:widowControl/>
              <w:adjustRightInd w:val="0"/>
              <w:snapToGrid w:val="0"/>
              <w:spacing w:line="240" w:lineRule="auto"/>
              <w:ind w:firstLine="0" w:firstLineChars="0"/>
              <w:jc w:val="center"/>
              <w:rPr>
                <w:w w:val="90"/>
                <w:kern w:val="0"/>
                <w:sz w:val="21"/>
              </w:rPr>
            </w:pPr>
            <w:r>
              <w:rPr>
                <w:rFonts w:hint="eastAsia"/>
                <w:w w:val="90"/>
                <w:kern w:val="0"/>
                <w:sz w:val="21"/>
              </w:rPr>
              <w:t>1980.66</w:t>
            </w:r>
          </w:p>
        </w:tc>
      </w:tr>
      <w:tr w14:paraId="6E65A8F7">
        <w:tblPrEx>
          <w:tblCellMar>
            <w:top w:w="0" w:type="dxa"/>
            <w:left w:w="108" w:type="dxa"/>
            <w:bottom w:w="0" w:type="dxa"/>
            <w:right w:w="108" w:type="dxa"/>
          </w:tblCellMar>
        </w:tblPrEx>
        <w:trPr>
          <w:trHeight w:val="425" w:hRule="atLeast"/>
        </w:trPr>
        <w:tc>
          <w:tcPr>
            <w:tcW w:w="967" w:type="pct"/>
            <w:vMerge w:val="continue"/>
            <w:tcBorders>
              <w:top w:val="nil"/>
              <w:left w:val="single" w:color="auto" w:sz="4" w:space="0"/>
              <w:bottom w:val="single" w:color="auto" w:sz="4" w:space="0"/>
              <w:right w:val="single" w:color="auto" w:sz="4" w:space="0"/>
            </w:tcBorders>
            <w:vAlign w:val="center"/>
          </w:tcPr>
          <w:p w14:paraId="1636F28B">
            <w:pPr>
              <w:widowControl/>
              <w:adjustRightInd w:val="0"/>
              <w:snapToGrid w:val="0"/>
              <w:spacing w:line="240" w:lineRule="auto"/>
              <w:ind w:firstLine="0" w:firstLineChars="0"/>
              <w:jc w:val="center"/>
              <w:rPr>
                <w:w w:val="90"/>
                <w:kern w:val="0"/>
                <w:sz w:val="21"/>
              </w:rPr>
            </w:pPr>
          </w:p>
        </w:tc>
        <w:tc>
          <w:tcPr>
            <w:tcW w:w="821" w:type="pct"/>
            <w:tcBorders>
              <w:top w:val="nil"/>
              <w:left w:val="nil"/>
              <w:bottom w:val="single" w:color="auto" w:sz="4" w:space="0"/>
              <w:right w:val="single" w:color="auto" w:sz="4" w:space="0"/>
            </w:tcBorders>
            <w:vAlign w:val="center"/>
          </w:tcPr>
          <w:p w14:paraId="550377BE">
            <w:pPr>
              <w:widowControl/>
              <w:adjustRightInd w:val="0"/>
              <w:snapToGrid w:val="0"/>
              <w:spacing w:line="240" w:lineRule="auto"/>
              <w:ind w:firstLine="0" w:firstLineChars="0"/>
              <w:jc w:val="center"/>
              <w:rPr>
                <w:w w:val="90"/>
                <w:kern w:val="0"/>
                <w:sz w:val="21"/>
              </w:rPr>
            </w:pPr>
            <w:r>
              <w:rPr>
                <w:w w:val="90"/>
                <w:kern w:val="0"/>
                <w:sz w:val="21"/>
              </w:rPr>
              <w:t>水仓2</w:t>
            </w:r>
          </w:p>
        </w:tc>
        <w:tc>
          <w:tcPr>
            <w:tcW w:w="1063" w:type="pct"/>
            <w:tcBorders>
              <w:top w:val="nil"/>
              <w:left w:val="nil"/>
              <w:bottom w:val="single" w:color="auto" w:sz="4" w:space="0"/>
              <w:right w:val="single" w:color="auto" w:sz="4" w:space="0"/>
            </w:tcBorders>
            <w:vAlign w:val="center"/>
          </w:tcPr>
          <w:p w14:paraId="011590AD">
            <w:pPr>
              <w:widowControl/>
              <w:adjustRightInd w:val="0"/>
              <w:snapToGrid w:val="0"/>
              <w:spacing w:line="240" w:lineRule="auto"/>
              <w:ind w:firstLine="0" w:firstLineChars="0"/>
              <w:jc w:val="center"/>
              <w:rPr>
                <w:w w:val="90"/>
                <w:kern w:val="0"/>
                <w:sz w:val="21"/>
              </w:rPr>
            </w:pPr>
            <w:r>
              <w:rPr>
                <w:rFonts w:hint="eastAsia"/>
                <w:w w:val="90"/>
                <w:kern w:val="0"/>
                <w:sz w:val="21"/>
              </w:rPr>
              <w:t>182.3</w:t>
            </w:r>
          </w:p>
        </w:tc>
        <w:tc>
          <w:tcPr>
            <w:tcW w:w="1153" w:type="pct"/>
            <w:tcBorders>
              <w:top w:val="nil"/>
              <w:left w:val="nil"/>
              <w:bottom w:val="single" w:color="auto" w:sz="4" w:space="0"/>
              <w:right w:val="single" w:color="auto" w:sz="4" w:space="0"/>
            </w:tcBorders>
            <w:vAlign w:val="center"/>
          </w:tcPr>
          <w:p w14:paraId="335BF425">
            <w:pPr>
              <w:widowControl/>
              <w:adjustRightInd w:val="0"/>
              <w:snapToGrid w:val="0"/>
              <w:spacing w:line="240" w:lineRule="auto"/>
              <w:ind w:firstLine="0" w:firstLineChars="0"/>
              <w:jc w:val="center"/>
              <w:rPr>
                <w:w w:val="90"/>
                <w:kern w:val="0"/>
                <w:sz w:val="21"/>
              </w:rPr>
            </w:pPr>
            <w:r>
              <w:rPr>
                <w:rFonts w:hint="eastAsia"/>
                <w:w w:val="90"/>
                <w:kern w:val="0"/>
                <w:sz w:val="21"/>
              </w:rPr>
              <w:t>13.41</w:t>
            </w:r>
          </w:p>
        </w:tc>
        <w:tc>
          <w:tcPr>
            <w:tcW w:w="997" w:type="pct"/>
            <w:tcBorders>
              <w:top w:val="nil"/>
              <w:left w:val="nil"/>
              <w:bottom w:val="single" w:color="auto" w:sz="4" w:space="0"/>
              <w:right w:val="single" w:color="auto" w:sz="4" w:space="0"/>
            </w:tcBorders>
            <w:vAlign w:val="center"/>
          </w:tcPr>
          <w:p w14:paraId="69B20B3A">
            <w:pPr>
              <w:widowControl/>
              <w:adjustRightInd w:val="0"/>
              <w:snapToGrid w:val="0"/>
              <w:spacing w:line="240" w:lineRule="auto"/>
              <w:ind w:firstLine="0" w:firstLineChars="0"/>
              <w:jc w:val="center"/>
              <w:rPr>
                <w:w w:val="90"/>
                <w:kern w:val="0"/>
                <w:sz w:val="21"/>
              </w:rPr>
            </w:pPr>
            <w:r>
              <w:rPr>
                <w:rFonts w:hint="eastAsia"/>
                <w:w w:val="90"/>
                <w:kern w:val="0"/>
                <w:sz w:val="21"/>
              </w:rPr>
              <w:t>2444.64</w:t>
            </w:r>
          </w:p>
        </w:tc>
      </w:tr>
    </w:tbl>
    <w:p w14:paraId="1C0CDF4B">
      <w:pPr>
        <w:widowControl/>
        <w:adjustRightInd w:val="0"/>
        <w:snapToGrid w:val="0"/>
        <w:spacing w:line="360" w:lineRule="auto"/>
        <w:ind w:firstLine="560"/>
        <w:rPr>
          <w:szCs w:val="28"/>
        </w:rPr>
      </w:pPr>
      <w:r>
        <w:rPr>
          <w:rFonts w:hint="eastAsia"/>
          <w:bCs/>
          <w:szCs w:val="28"/>
        </w:rPr>
        <w:t>在-505m水平设排水泵房一座，安装4台MD500-57×11型矿用耐磨多级离心泵，单台水泵流量500m</w:t>
      </w:r>
      <w:r>
        <w:rPr>
          <w:rFonts w:hint="eastAsia"/>
          <w:bCs/>
          <w:szCs w:val="28"/>
          <w:vertAlign w:val="superscript"/>
        </w:rPr>
        <w:t>3</w:t>
      </w:r>
      <w:r>
        <w:rPr>
          <w:rFonts w:hint="eastAsia"/>
          <w:bCs/>
          <w:szCs w:val="28"/>
        </w:rPr>
        <w:t>/h，扬程627m，配电机功率1250kW，电压10kV。井下正常涌水时，2台工作，1台备用，1台检修；最大排水量时，3台工作，1台检修。</w:t>
      </w:r>
    </w:p>
    <w:p w14:paraId="34DF0E06">
      <w:pPr>
        <w:widowControl/>
        <w:adjustRightInd w:val="0"/>
        <w:snapToGrid w:val="0"/>
        <w:spacing w:line="360" w:lineRule="auto"/>
        <w:ind w:firstLine="560"/>
        <w:rPr>
          <w:iCs/>
        </w:rPr>
      </w:pPr>
      <w:r>
        <w:rPr>
          <w:rFonts w:hint="eastAsia"/>
          <w:bCs/>
          <w:szCs w:val="28"/>
        </w:rPr>
        <w:t>排水管道选用2根Φ426×18无缝钢管，正常涌水时，1根工作，1根备用；最大排水量时，2根同时工作。排水管道由排水泵房接出，经排水管道斜巷、副井井筒敷设至地表沉淀池。</w:t>
      </w:r>
    </w:p>
    <w:p w14:paraId="1A34531F">
      <w:pPr>
        <w:widowControl/>
        <w:adjustRightInd w:val="0"/>
        <w:snapToGrid w:val="0"/>
        <w:spacing w:line="360" w:lineRule="auto"/>
        <w:ind w:firstLine="562"/>
        <w:rPr>
          <w:rFonts w:asciiTheme="minorHAnsi" w:hAnsiTheme="minorHAnsi" w:cstheme="minorHAnsi"/>
          <w:b/>
          <w:kern w:val="0"/>
          <w:szCs w:val="28"/>
        </w:rPr>
      </w:pPr>
      <w:r>
        <w:rPr>
          <w:rFonts w:hint="eastAsia" w:asciiTheme="minorHAnsi" w:hAnsiTheme="minorHAnsi" w:cstheme="minorHAnsi"/>
          <w:b/>
          <w:kern w:val="0"/>
          <w:szCs w:val="28"/>
        </w:rPr>
        <w:t>（2） 井下防火</w:t>
      </w:r>
    </w:p>
    <w:p w14:paraId="64659C82">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坑内湿度高，井巷装备大部分为钢结构，火源产生的可能性不大，但防火工作仍不可忽视，消防原则是：“以防为主、以救为辅”的原则。坑内防火采取下列措施：</w:t>
      </w:r>
    </w:p>
    <w:p w14:paraId="293215AC">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1）利用井下供水管网，每50～100m设支管和供水管网接头，作为消防用水。</w:t>
      </w:r>
    </w:p>
    <w:p w14:paraId="0176374A">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2）井下变电硐室及其他硐室应制定防火规程，并配备相应的灭火器材。</w:t>
      </w:r>
    </w:p>
    <w:p w14:paraId="2F33B028">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3）禁止使用电热器和灯泡防湿、烤干和采暖，使用过的废油、棉纱、废纸和擦布等易燃品，应放在盖严的铁桶内，并及时运出井外处理。</w:t>
      </w:r>
    </w:p>
    <w:p w14:paraId="6CF9B0B1">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4）井下柴油设备或液压设备漏油要及时修复，每台柴油设备应配备灭火装置。</w:t>
      </w:r>
    </w:p>
    <w:p w14:paraId="51C901E8">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5）井下每年应编制防火计划，包括防火措施、撤出人员和抢救遇难人员的行动路线、扑灭火灾的措施和各级人员的职责等。</w:t>
      </w:r>
    </w:p>
    <w:p w14:paraId="6A5648F4">
      <w:pPr>
        <w:widowControl/>
        <w:adjustRightInd w:val="0"/>
        <w:snapToGrid w:val="0"/>
        <w:spacing w:line="360" w:lineRule="auto"/>
        <w:ind w:firstLine="0" w:firstLineChars="0"/>
        <w:rPr>
          <w:rFonts w:asciiTheme="minorHAnsi" w:hAnsiTheme="minorHAnsi" w:cstheme="minorHAnsi"/>
          <w:b/>
          <w:kern w:val="0"/>
          <w:szCs w:val="28"/>
        </w:rPr>
      </w:pPr>
      <w:r>
        <w:rPr>
          <w:rFonts w:hint="eastAsia" w:asciiTheme="minorHAnsi" w:hAnsiTheme="minorHAnsi" w:cstheme="minorHAnsi"/>
          <w:b/>
          <w:kern w:val="0"/>
          <w:szCs w:val="28"/>
        </w:rPr>
        <w:t>2</w:t>
      </w:r>
      <w:r>
        <w:rPr>
          <w:rFonts w:asciiTheme="minorHAnsi" w:hAnsiTheme="minorHAnsi" w:cstheme="minorHAnsi"/>
          <w:b/>
          <w:kern w:val="0"/>
          <w:szCs w:val="28"/>
        </w:rPr>
        <w:t>.4.8.2</w:t>
      </w:r>
      <w:r>
        <w:rPr>
          <w:rFonts w:hint="eastAsia" w:asciiTheme="minorHAnsi" w:hAnsiTheme="minorHAnsi" w:cstheme="minorHAnsi"/>
          <w:b/>
          <w:kern w:val="0"/>
          <w:szCs w:val="28"/>
        </w:rPr>
        <w:t>二期</w:t>
      </w:r>
    </w:p>
    <w:p w14:paraId="0B39A571">
      <w:pPr>
        <w:widowControl/>
        <w:adjustRightInd w:val="0"/>
        <w:snapToGrid w:val="0"/>
        <w:spacing w:line="360" w:lineRule="auto"/>
        <w:ind w:firstLine="562"/>
        <w:rPr>
          <w:rFonts w:asciiTheme="minorHAnsi" w:hAnsiTheme="minorHAnsi" w:cstheme="minorHAnsi"/>
          <w:b/>
          <w:kern w:val="0"/>
          <w:szCs w:val="28"/>
        </w:rPr>
      </w:pPr>
      <w:r>
        <w:rPr>
          <w:rFonts w:hint="eastAsia" w:asciiTheme="minorHAnsi" w:hAnsiTheme="minorHAnsi" w:cstheme="minorHAnsi"/>
          <w:b/>
          <w:kern w:val="0"/>
          <w:szCs w:val="28"/>
        </w:rPr>
        <w:t>（1）排水系统</w:t>
      </w:r>
    </w:p>
    <w:p w14:paraId="2020EFF7">
      <w:pPr>
        <w:widowControl/>
        <w:adjustRightInd w:val="0"/>
        <w:snapToGrid w:val="0"/>
        <w:spacing w:line="360" w:lineRule="auto"/>
        <w:ind w:firstLine="560"/>
        <w:rPr>
          <w:szCs w:val="28"/>
        </w:rPr>
      </w:pPr>
      <w:r>
        <w:rPr>
          <w:rFonts w:hint="eastAsia"/>
          <w:szCs w:val="28"/>
        </w:rPr>
        <w:t>1）彭集矿段</w:t>
      </w:r>
    </w:p>
    <w:p w14:paraId="77CBDD28">
      <w:pPr>
        <w:widowControl/>
        <w:adjustRightInd w:val="0"/>
        <w:snapToGrid w:val="0"/>
        <w:spacing w:line="360" w:lineRule="auto"/>
        <w:ind w:firstLine="560"/>
        <w:rPr>
          <w:bCs/>
          <w:szCs w:val="28"/>
        </w:rPr>
      </w:pPr>
      <w:r>
        <w:rPr>
          <w:rFonts w:hint="eastAsia" w:cs="Times New Roman"/>
          <w:bCs/>
          <w:szCs w:val="28"/>
        </w:rPr>
        <w:t>二期采用接力排水方式，在-835m水平设一座排水泵房，通过敷设在副井井筒内的排水管道将水排至一期已建成的-505m水平水仓，再利用一期已建成的-505m水平排水泵房接力排水，最终将水排至地表</w:t>
      </w:r>
      <w:r>
        <w:rPr>
          <w:rFonts w:hint="eastAsia"/>
          <w:bCs/>
          <w:szCs w:val="28"/>
        </w:rPr>
        <w:t>沉淀池（进水口标高+47.5m），经沉淀处理后送至井下供矿山生产除尘使用。</w:t>
      </w:r>
    </w:p>
    <w:p w14:paraId="730346F4">
      <w:pPr>
        <w:widowControl/>
        <w:adjustRightInd w:val="0"/>
        <w:snapToGrid w:val="0"/>
        <w:spacing w:line="360" w:lineRule="auto"/>
        <w:ind w:firstLine="560"/>
        <w:rPr>
          <w:szCs w:val="28"/>
        </w:rPr>
      </w:pPr>
      <w:r>
        <w:rPr>
          <w:rFonts w:hint="eastAsia"/>
          <w:szCs w:val="28"/>
        </w:rPr>
        <w:t>二期彭集矿段井下</w:t>
      </w:r>
      <w:r>
        <w:rPr>
          <w:szCs w:val="28"/>
        </w:rPr>
        <w:t>正常涌水量为</w:t>
      </w:r>
      <w:r>
        <w:rPr>
          <w:rFonts w:hint="eastAsia"/>
          <w:szCs w:val="28"/>
        </w:rPr>
        <w:t>12180</w:t>
      </w:r>
      <w:r>
        <w:rPr>
          <w:szCs w:val="28"/>
        </w:rPr>
        <w:t>m</w:t>
      </w:r>
      <w:r>
        <w:rPr>
          <w:szCs w:val="28"/>
          <w:vertAlign w:val="superscript"/>
        </w:rPr>
        <w:t>3</w:t>
      </w:r>
      <w:r>
        <w:rPr>
          <w:szCs w:val="28"/>
        </w:rPr>
        <w:t>/d，</w:t>
      </w:r>
      <w:r>
        <w:rPr>
          <w:rFonts w:hint="eastAsia"/>
          <w:szCs w:val="28"/>
        </w:rPr>
        <w:t>最大涌水量为18279</w:t>
      </w:r>
      <w:r>
        <w:rPr>
          <w:szCs w:val="28"/>
        </w:rPr>
        <w:t>m</w:t>
      </w:r>
      <w:r>
        <w:rPr>
          <w:szCs w:val="28"/>
          <w:vertAlign w:val="superscript"/>
        </w:rPr>
        <w:t>3</w:t>
      </w:r>
      <w:r>
        <w:rPr>
          <w:szCs w:val="28"/>
        </w:rPr>
        <w:t>/d</w:t>
      </w:r>
      <w:r>
        <w:rPr>
          <w:rFonts w:hint="eastAsia"/>
          <w:szCs w:val="28"/>
        </w:rPr>
        <w:t>，</w:t>
      </w:r>
      <w:r>
        <w:rPr>
          <w:szCs w:val="28"/>
        </w:rPr>
        <w:t>生产废水</w:t>
      </w:r>
      <w:r>
        <w:rPr>
          <w:rFonts w:hint="eastAsia"/>
          <w:szCs w:val="28"/>
        </w:rPr>
        <w:t>1463.10</w:t>
      </w:r>
      <w:r>
        <w:rPr>
          <w:szCs w:val="28"/>
        </w:rPr>
        <w:t>m</w:t>
      </w:r>
      <w:r>
        <w:rPr>
          <w:szCs w:val="28"/>
          <w:vertAlign w:val="superscript"/>
        </w:rPr>
        <w:t>3</w:t>
      </w:r>
      <w:r>
        <w:rPr>
          <w:szCs w:val="28"/>
        </w:rPr>
        <w:t>/d，充填析出水</w:t>
      </w:r>
      <w:r>
        <w:rPr>
          <w:rFonts w:hint="eastAsia"/>
          <w:szCs w:val="28"/>
        </w:rPr>
        <w:t>500</w:t>
      </w:r>
      <w:r>
        <w:rPr>
          <w:szCs w:val="28"/>
        </w:rPr>
        <w:t>m</w:t>
      </w:r>
      <w:r>
        <w:rPr>
          <w:szCs w:val="28"/>
          <w:vertAlign w:val="superscript"/>
        </w:rPr>
        <w:t>3</w:t>
      </w:r>
      <w:r>
        <w:rPr>
          <w:szCs w:val="28"/>
        </w:rPr>
        <w:t>/d，总井下正常涌水量为</w:t>
      </w:r>
      <w:r>
        <w:rPr>
          <w:rFonts w:hint="eastAsia"/>
          <w:szCs w:val="28"/>
        </w:rPr>
        <w:t>14143.1m</w:t>
      </w:r>
      <w:r>
        <w:rPr>
          <w:rFonts w:hint="eastAsia"/>
          <w:szCs w:val="28"/>
          <w:vertAlign w:val="superscript"/>
        </w:rPr>
        <w:t>3</w:t>
      </w:r>
      <w:r>
        <w:rPr>
          <w:rFonts w:hint="eastAsia"/>
          <w:szCs w:val="28"/>
        </w:rPr>
        <w:t>/d，总井下最大涌水量为20242.1m</w:t>
      </w:r>
      <w:r>
        <w:rPr>
          <w:rFonts w:hint="eastAsia"/>
          <w:szCs w:val="28"/>
          <w:vertAlign w:val="superscript"/>
        </w:rPr>
        <w:t>3</w:t>
      </w:r>
      <w:r>
        <w:rPr>
          <w:rFonts w:hint="eastAsia"/>
          <w:szCs w:val="28"/>
        </w:rPr>
        <w:t>/d。</w:t>
      </w:r>
    </w:p>
    <w:p w14:paraId="44471E37">
      <w:pPr>
        <w:snapToGrid w:val="0"/>
        <w:spacing w:line="360" w:lineRule="auto"/>
        <w:ind w:firstLine="560"/>
        <w:jc w:val="center"/>
        <w:rPr>
          <w:szCs w:val="28"/>
        </w:rPr>
      </w:pPr>
      <w:r>
        <w:rPr>
          <w:rFonts w:hint="eastAsia"/>
          <w:szCs w:val="28"/>
        </w:rPr>
        <w:t>表2</w:t>
      </w:r>
      <w:r>
        <w:rPr>
          <w:szCs w:val="28"/>
        </w:rPr>
        <w:t>.4-14泵站水仓参数</w:t>
      </w:r>
    </w:p>
    <w:tbl>
      <w:tblPr>
        <w:tblStyle w:val="54"/>
        <w:tblW w:w="4998" w:type="pct"/>
        <w:tblInd w:w="0" w:type="dxa"/>
        <w:tblLayout w:type="autofit"/>
        <w:tblCellMar>
          <w:top w:w="0" w:type="dxa"/>
          <w:left w:w="108" w:type="dxa"/>
          <w:bottom w:w="0" w:type="dxa"/>
          <w:right w:w="108" w:type="dxa"/>
        </w:tblCellMar>
      </w:tblPr>
      <w:tblGrid>
        <w:gridCol w:w="2070"/>
        <w:gridCol w:w="1317"/>
        <w:gridCol w:w="1910"/>
        <w:gridCol w:w="1579"/>
        <w:gridCol w:w="1317"/>
        <w:gridCol w:w="1317"/>
      </w:tblGrid>
      <w:tr w14:paraId="54B4EAE8">
        <w:tblPrEx>
          <w:tblCellMar>
            <w:top w:w="0" w:type="dxa"/>
            <w:left w:w="108" w:type="dxa"/>
            <w:bottom w:w="0" w:type="dxa"/>
            <w:right w:w="108" w:type="dxa"/>
          </w:tblCellMar>
        </w:tblPrEx>
        <w:trPr>
          <w:trHeight w:val="510" w:hRule="atLeast"/>
        </w:trPr>
        <w:tc>
          <w:tcPr>
            <w:tcW w:w="1088" w:type="pct"/>
            <w:tcBorders>
              <w:top w:val="single" w:color="auto" w:sz="4" w:space="0"/>
              <w:left w:val="single" w:color="auto" w:sz="4" w:space="0"/>
              <w:bottom w:val="single" w:color="auto" w:sz="4" w:space="0"/>
              <w:right w:val="single" w:color="auto" w:sz="4" w:space="0"/>
            </w:tcBorders>
            <w:vAlign w:val="center"/>
          </w:tcPr>
          <w:p w14:paraId="775F00AA">
            <w:pPr>
              <w:widowControl/>
              <w:snapToGrid w:val="0"/>
              <w:spacing w:line="240" w:lineRule="auto"/>
              <w:ind w:firstLine="0" w:firstLineChars="0"/>
              <w:jc w:val="center"/>
              <w:rPr>
                <w:w w:val="90"/>
                <w:kern w:val="0"/>
                <w:sz w:val="21"/>
              </w:rPr>
            </w:pPr>
            <w:r>
              <w:rPr>
                <w:w w:val="90"/>
                <w:kern w:val="0"/>
                <w:sz w:val="21"/>
              </w:rPr>
              <w:t>泵站</w:t>
            </w:r>
          </w:p>
        </w:tc>
        <w:tc>
          <w:tcPr>
            <w:tcW w:w="692" w:type="pct"/>
            <w:tcBorders>
              <w:top w:val="single" w:color="auto" w:sz="4" w:space="0"/>
              <w:left w:val="nil"/>
              <w:bottom w:val="single" w:color="auto" w:sz="4" w:space="0"/>
              <w:right w:val="single" w:color="auto" w:sz="4" w:space="0"/>
            </w:tcBorders>
            <w:vAlign w:val="center"/>
          </w:tcPr>
          <w:p w14:paraId="12A96E0D">
            <w:pPr>
              <w:widowControl/>
              <w:snapToGrid w:val="0"/>
              <w:spacing w:line="240" w:lineRule="auto"/>
              <w:ind w:firstLine="0" w:firstLineChars="0"/>
              <w:jc w:val="center"/>
              <w:rPr>
                <w:w w:val="90"/>
                <w:kern w:val="0"/>
                <w:sz w:val="21"/>
              </w:rPr>
            </w:pPr>
            <w:r>
              <w:rPr>
                <w:w w:val="90"/>
                <w:kern w:val="0"/>
                <w:sz w:val="21"/>
              </w:rPr>
              <w:t>正常涌水</w:t>
            </w:r>
          </w:p>
          <w:p w14:paraId="08EF989B">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/h）</w:t>
            </w:r>
          </w:p>
        </w:tc>
        <w:tc>
          <w:tcPr>
            <w:tcW w:w="1004" w:type="pct"/>
            <w:tcBorders>
              <w:top w:val="single" w:color="auto" w:sz="4" w:space="0"/>
              <w:left w:val="nil"/>
              <w:bottom w:val="single" w:color="auto" w:sz="4" w:space="0"/>
              <w:right w:val="single" w:color="auto" w:sz="4" w:space="0"/>
            </w:tcBorders>
            <w:vAlign w:val="center"/>
          </w:tcPr>
          <w:p w14:paraId="6ABE2868">
            <w:pPr>
              <w:widowControl/>
              <w:snapToGrid w:val="0"/>
              <w:spacing w:line="240" w:lineRule="auto"/>
              <w:ind w:firstLine="0" w:firstLineChars="0"/>
              <w:jc w:val="center"/>
              <w:rPr>
                <w:w w:val="90"/>
                <w:kern w:val="0"/>
                <w:sz w:val="21"/>
              </w:rPr>
            </w:pPr>
            <w:r>
              <w:rPr>
                <w:rFonts w:hint="eastAsia"/>
                <w:w w:val="90"/>
                <w:kern w:val="0"/>
                <w:sz w:val="21"/>
              </w:rPr>
              <w:t>4</w:t>
            </w:r>
            <w:r>
              <w:rPr>
                <w:w w:val="90"/>
                <w:kern w:val="0"/>
                <w:sz w:val="21"/>
              </w:rPr>
              <w:t>h正常涌水量</w:t>
            </w:r>
          </w:p>
          <w:p w14:paraId="1C20FD2B">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c>
          <w:tcPr>
            <w:tcW w:w="830" w:type="pct"/>
            <w:tcBorders>
              <w:top w:val="single" w:color="auto" w:sz="4" w:space="0"/>
              <w:left w:val="nil"/>
              <w:bottom w:val="single" w:color="auto" w:sz="4" w:space="0"/>
              <w:right w:val="single" w:color="auto" w:sz="4" w:space="0"/>
            </w:tcBorders>
            <w:vAlign w:val="center"/>
          </w:tcPr>
          <w:p w14:paraId="389D16DD">
            <w:pPr>
              <w:widowControl/>
              <w:snapToGrid w:val="0"/>
              <w:spacing w:line="240" w:lineRule="auto"/>
              <w:ind w:firstLine="0" w:firstLineChars="0"/>
              <w:jc w:val="center"/>
              <w:rPr>
                <w:w w:val="90"/>
                <w:kern w:val="0"/>
                <w:sz w:val="21"/>
              </w:rPr>
            </w:pPr>
            <w:r>
              <w:rPr>
                <w:w w:val="90"/>
                <w:kern w:val="0"/>
                <w:sz w:val="21"/>
              </w:rPr>
              <w:t>水仓总容积</w:t>
            </w:r>
          </w:p>
          <w:p w14:paraId="7D82F79F">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c>
          <w:tcPr>
            <w:tcW w:w="692" w:type="pct"/>
            <w:tcBorders>
              <w:top w:val="single" w:color="auto" w:sz="4" w:space="0"/>
              <w:left w:val="nil"/>
              <w:bottom w:val="single" w:color="auto" w:sz="4" w:space="0"/>
              <w:right w:val="single" w:color="auto" w:sz="4" w:space="0"/>
            </w:tcBorders>
            <w:vAlign w:val="center"/>
          </w:tcPr>
          <w:p w14:paraId="246278B6">
            <w:pPr>
              <w:widowControl/>
              <w:snapToGrid w:val="0"/>
              <w:spacing w:line="240" w:lineRule="auto"/>
              <w:ind w:firstLine="0" w:firstLineChars="0"/>
              <w:jc w:val="center"/>
              <w:rPr>
                <w:w w:val="90"/>
                <w:kern w:val="0"/>
                <w:sz w:val="21"/>
              </w:rPr>
            </w:pPr>
            <w:r>
              <w:rPr>
                <w:w w:val="90"/>
                <w:kern w:val="0"/>
                <w:sz w:val="21"/>
              </w:rPr>
              <w:t>水仓断面</w:t>
            </w:r>
          </w:p>
          <w:p w14:paraId="70BDB1F6">
            <w:pPr>
              <w:widowControl/>
              <w:snapToGrid w:val="0"/>
              <w:spacing w:line="240" w:lineRule="auto"/>
              <w:ind w:firstLine="0" w:firstLineChars="0"/>
              <w:jc w:val="center"/>
              <w:rPr>
                <w:w w:val="90"/>
                <w:kern w:val="0"/>
                <w:sz w:val="21"/>
              </w:rPr>
            </w:pPr>
            <w:r>
              <w:rPr>
                <w:w w:val="90"/>
                <w:kern w:val="0"/>
                <w:sz w:val="21"/>
              </w:rPr>
              <w:t>（m</w:t>
            </w:r>
            <w:r>
              <w:rPr>
                <w:w w:val="90"/>
                <w:kern w:val="0"/>
                <w:sz w:val="21"/>
                <w:vertAlign w:val="superscript"/>
              </w:rPr>
              <w:t>2</w:t>
            </w:r>
            <w:r>
              <w:rPr>
                <w:w w:val="90"/>
                <w:kern w:val="0"/>
                <w:sz w:val="21"/>
              </w:rPr>
              <w:t>）</w:t>
            </w:r>
          </w:p>
        </w:tc>
        <w:tc>
          <w:tcPr>
            <w:tcW w:w="692" w:type="pct"/>
            <w:tcBorders>
              <w:top w:val="single" w:color="auto" w:sz="4" w:space="0"/>
              <w:left w:val="nil"/>
              <w:bottom w:val="single" w:color="auto" w:sz="4" w:space="0"/>
              <w:right w:val="single" w:color="auto" w:sz="4" w:space="0"/>
            </w:tcBorders>
            <w:vAlign w:val="center"/>
          </w:tcPr>
          <w:p w14:paraId="38610E06">
            <w:pPr>
              <w:widowControl/>
              <w:snapToGrid w:val="0"/>
              <w:spacing w:line="240" w:lineRule="auto"/>
              <w:ind w:firstLine="0" w:firstLineChars="0"/>
              <w:jc w:val="center"/>
              <w:rPr>
                <w:w w:val="90"/>
                <w:kern w:val="0"/>
                <w:sz w:val="21"/>
              </w:rPr>
            </w:pPr>
            <w:r>
              <w:rPr>
                <w:w w:val="90"/>
                <w:kern w:val="0"/>
                <w:sz w:val="21"/>
              </w:rPr>
              <w:t>水仓长度</w:t>
            </w:r>
          </w:p>
          <w:p w14:paraId="7E63C621">
            <w:pPr>
              <w:widowControl/>
              <w:snapToGrid w:val="0"/>
              <w:spacing w:line="240" w:lineRule="auto"/>
              <w:ind w:firstLine="0" w:firstLineChars="0"/>
              <w:jc w:val="center"/>
              <w:rPr>
                <w:w w:val="90"/>
                <w:kern w:val="0"/>
                <w:sz w:val="21"/>
              </w:rPr>
            </w:pPr>
            <w:r>
              <w:rPr>
                <w:w w:val="90"/>
                <w:kern w:val="0"/>
                <w:sz w:val="21"/>
              </w:rPr>
              <w:t>（m）</w:t>
            </w:r>
          </w:p>
        </w:tc>
      </w:tr>
      <w:tr w14:paraId="7363A8AE">
        <w:tblPrEx>
          <w:tblCellMar>
            <w:top w:w="0" w:type="dxa"/>
            <w:left w:w="108" w:type="dxa"/>
            <w:bottom w:w="0" w:type="dxa"/>
            <w:right w:w="108" w:type="dxa"/>
          </w:tblCellMar>
        </w:tblPrEx>
        <w:trPr>
          <w:trHeight w:val="510" w:hRule="atLeast"/>
        </w:trPr>
        <w:tc>
          <w:tcPr>
            <w:tcW w:w="1088" w:type="pct"/>
            <w:tcBorders>
              <w:top w:val="nil"/>
              <w:left w:val="single" w:color="auto" w:sz="4" w:space="0"/>
              <w:bottom w:val="single" w:color="auto" w:sz="4" w:space="0"/>
              <w:right w:val="single" w:color="auto" w:sz="4" w:space="0"/>
            </w:tcBorders>
            <w:vAlign w:val="center"/>
          </w:tcPr>
          <w:p w14:paraId="3BA49721">
            <w:pPr>
              <w:widowControl/>
              <w:snapToGrid w:val="0"/>
              <w:spacing w:line="240" w:lineRule="auto"/>
              <w:ind w:firstLine="0" w:firstLineChars="0"/>
              <w:jc w:val="center"/>
              <w:rPr>
                <w:w w:val="90"/>
                <w:kern w:val="0"/>
                <w:sz w:val="21"/>
              </w:rPr>
            </w:pPr>
            <w:r>
              <w:rPr>
                <w:w w:val="90"/>
                <w:kern w:val="0"/>
                <w:sz w:val="21"/>
              </w:rPr>
              <w:t>-</w:t>
            </w:r>
            <w:r>
              <w:rPr>
                <w:rFonts w:hint="eastAsia"/>
                <w:w w:val="90"/>
                <w:kern w:val="0"/>
                <w:sz w:val="21"/>
              </w:rPr>
              <w:t>835</w:t>
            </w:r>
            <w:r>
              <w:rPr>
                <w:w w:val="90"/>
                <w:kern w:val="0"/>
                <w:sz w:val="21"/>
              </w:rPr>
              <w:t>m水平泵站</w:t>
            </w:r>
          </w:p>
        </w:tc>
        <w:tc>
          <w:tcPr>
            <w:tcW w:w="692" w:type="pct"/>
            <w:tcBorders>
              <w:top w:val="nil"/>
              <w:left w:val="nil"/>
              <w:bottom w:val="single" w:color="auto" w:sz="4" w:space="0"/>
              <w:right w:val="single" w:color="auto" w:sz="4" w:space="0"/>
            </w:tcBorders>
            <w:vAlign w:val="center"/>
          </w:tcPr>
          <w:p w14:paraId="3446A674">
            <w:pPr>
              <w:widowControl/>
              <w:snapToGrid w:val="0"/>
              <w:spacing w:line="240" w:lineRule="auto"/>
              <w:ind w:firstLine="0" w:firstLineChars="0"/>
              <w:jc w:val="center"/>
              <w:rPr>
                <w:w w:val="90"/>
                <w:kern w:val="0"/>
                <w:sz w:val="21"/>
              </w:rPr>
            </w:pPr>
            <w:r>
              <w:rPr>
                <w:rFonts w:hint="eastAsia"/>
                <w:w w:val="90"/>
                <w:kern w:val="0"/>
                <w:sz w:val="21"/>
              </w:rPr>
              <w:t>589.3</w:t>
            </w:r>
          </w:p>
        </w:tc>
        <w:tc>
          <w:tcPr>
            <w:tcW w:w="1004" w:type="pct"/>
            <w:tcBorders>
              <w:top w:val="nil"/>
              <w:left w:val="nil"/>
              <w:bottom w:val="single" w:color="auto" w:sz="4" w:space="0"/>
              <w:right w:val="single" w:color="auto" w:sz="4" w:space="0"/>
            </w:tcBorders>
            <w:vAlign w:val="center"/>
          </w:tcPr>
          <w:p w14:paraId="156C8556">
            <w:pPr>
              <w:widowControl/>
              <w:snapToGrid w:val="0"/>
              <w:spacing w:line="240" w:lineRule="auto"/>
              <w:ind w:firstLine="0" w:firstLineChars="0"/>
              <w:jc w:val="center"/>
              <w:rPr>
                <w:w w:val="90"/>
                <w:kern w:val="0"/>
                <w:sz w:val="21"/>
              </w:rPr>
            </w:pPr>
            <w:r>
              <w:rPr>
                <w:rFonts w:hint="eastAsia"/>
                <w:w w:val="90"/>
                <w:kern w:val="0"/>
                <w:sz w:val="21"/>
              </w:rPr>
              <w:t>3142.91</w:t>
            </w:r>
          </w:p>
        </w:tc>
        <w:tc>
          <w:tcPr>
            <w:tcW w:w="830" w:type="pct"/>
            <w:tcBorders>
              <w:top w:val="nil"/>
              <w:left w:val="nil"/>
              <w:bottom w:val="single" w:color="auto" w:sz="4" w:space="0"/>
              <w:right w:val="single" w:color="auto" w:sz="4" w:space="0"/>
            </w:tcBorders>
            <w:vAlign w:val="center"/>
          </w:tcPr>
          <w:p w14:paraId="7F43FBDF">
            <w:pPr>
              <w:widowControl/>
              <w:snapToGrid w:val="0"/>
              <w:spacing w:line="240" w:lineRule="auto"/>
              <w:ind w:firstLine="0" w:firstLineChars="0"/>
              <w:jc w:val="center"/>
              <w:rPr>
                <w:w w:val="90"/>
                <w:kern w:val="0"/>
                <w:sz w:val="21"/>
              </w:rPr>
            </w:pPr>
            <w:r>
              <w:rPr>
                <w:rFonts w:hint="eastAsia"/>
                <w:w w:val="90"/>
                <w:kern w:val="0"/>
                <w:sz w:val="21"/>
              </w:rPr>
              <w:t>3151.35</w:t>
            </w:r>
          </w:p>
        </w:tc>
        <w:tc>
          <w:tcPr>
            <w:tcW w:w="692" w:type="pct"/>
            <w:tcBorders>
              <w:top w:val="nil"/>
              <w:left w:val="nil"/>
              <w:bottom w:val="single" w:color="auto" w:sz="4" w:space="0"/>
              <w:right w:val="single" w:color="auto" w:sz="4" w:space="0"/>
            </w:tcBorders>
            <w:vAlign w:val="center"/>
          </w:tcPr>
          <w:p w14:paraId="6E228CB9">
            <w:pPr>
              <w:widowControl/>
              <w:snapToGrid w:val="0"/>
              <w:spacing w:line="240" w:lineRule="auto"/>
              <w:ind w:firstLine="0" w:firstLineChars="0"/>
              <w:jc w:val="center"/>
              <w:rPr>
                <w:w w:val="90"/>
                <w:kern w:val="0"/>
                <w:sz w:val="21"/>
              </w:rPr>
            </w:pPr>
            <w:r>
              <w:rPr>
                <w:rFonts w:hint="eastAsia"/>
                <w:w w:val="90"/>
                <w:kern w:val="0"/>
                <w:sz w:val="21"/>
              </w:rPr>
              <w:t>13.41</w:t>
            </w:r>
          </w:p>
        </w:tc>
        <w:tc>
          <w:tcPr>
            <w:tcW w:w="692" w:type="pct"/>
            <w:tcBorders>
              <w:top w:val="nil"/>
              <w:left w:val="nil"/>
              <w:bottom w:val="single" w:color="auto" w:sz="4" w:space="0"/>
              <w:right w:val="single" w:color="auto" w:sz="4" w:space="0"/>
            </w:tcBorders>
            <w:vAlign w:val="center"/>
          </w:tcPr>
          <w:p w14:paraId="3E7D9902">
            <w:pPr>
              <w:widowControl/>
              <w:snapToGrid w:val="0"/>
              <w:spacing w:line="240" w:lineRule="auto"/>
              <w:ind w:firstLine="0" w:firstLineChars="0"/>
              <w:jc w:val="center"/>
              <w:rPr>
                <w:w w:val="90"/>
                <w:kern w:val="0"/>
                <w:sz w:val="21"/>
              </w:rPr>
            </w:pPr>
            <w:r>
              <w:rPr>
                <w:rFonts w:hint="eastAsia"/>
                <w:w w:val="90"/>
                <w:kern w:val="0"/>
                <w:sz w:val="21"/>
              </w:rPr>
              <w:t>235</w:t>
            </w:r>
          </w:p>
        </w:tc>
      </w:tr>
    </w:tbl>
    <w:p w14:paraId="497BA26D">
      <w:pPr>
        <w:snapToGrid w:val="0"/>
        <w:spacing w:line="360" w:lineRule="auto"/>
        <w:ind w:firstLine="560"/>
        <w:jc w:val="center"/>
        <w:rPr>
          <w:szCs w:val="28"/>
        </w:rPr>
      </w:pPr>
      <w:r>
        <w:rPr>
          <w:rFonts w:hint="eastAsia"/>
          <w:szCs w:val="28"/>
        </w:rPr>
        <w:t>表2</w:t>
      </w:r>
      <w:r>
        <w:rPr>
          <w:szCs w:val="28"/>
        </w:rPr>
        <w:t>.4-15各水泵单条水仓容量计算</w:t>
      </w:r>
    </w:p>
    <w:tbl>
      <w:tblPr>
        <w:tblStyle w:val="54"/>
        <w:tblW w:w="4998" w:type="pct"/>
        <w:tblInd w:w="0" w:type="dxa"/>
        <w:tblLayout w:type="autofit"/>
        <w:tblCellMar>
          <w:top w:w="0" w:type="dxa"/>
          <w:left w:w="108" w:type="dxa"/>
          <w:bottom w:w="0" w:type="dxa"/>
          <w:right w:w="108" w:type="dxa"/>
        </w:tblCellMar>
      </w:tblPr>
      <w:tblGrid>
        <w:gridCol w:w="1839"/>
        <w:gridCol w:w="1562"/>
        <w:gridCol w:w="2022"/>
        <w:gridCol w:w="2193"/>
        <w:gridCol w:w="1894"/>
      </w:tblGrid>
      <w:tr w14:paraId="6D2706AC">
        <w:tblPrEx>
          <w:tblCellMar>
            <w:top w:w="0" w:type="dxa"/>
            <w:left w:w="108" w:type="dxa"/>
            <w:bottom w:w="0" w:type="dxa"/>
            <w:right w:w="108" w:type="dxa"/>
          </w:tblCellMar>
        </w:tblPrEx>
        <w:trPr>
          <w:trHeight w:val="425" w:hRule="atLeast"/>
          <w:tblHeader/>
        </w:trPr>
        <w:tc>
          <w:tcPr>
            <w:tcW w:w="967" w:type="pct"/>
            <w:tcBorders>
              <w:top w:val="single" w:color="auto" w:sz="4" w:space="0"/>
              <w:left w:val="single" w:color="auto" w:sz="4" w:space="0"/>
              <w:bottom w:val="single" w:color="auto" w:sz="4" w:space="0"/>
              <w:right w:val="single" w:color="auto" w:sz="4" w:space="0"/>
            </w:tcBorders>
            <w:vAlign w:val="center"/>
          </w:tcPr>
          <w:p w14:paraId="2712FA14">
            <w:pPr>
              <w:widowControl/>
              <w:spacing w:line="240" w:lineRule="auto"/>
              <w:ind w:firstLine="0" w:firstLineChars="0"/>
              <w:jc w:val="center"/>
              <w:rPr>
                <w:w w:val="90"/>
                <w:kern w:val="0"/>
                <w:sz w:val="21"/>
              </w:rPr>
            </w:pPr>
            <w:r>
              <w:rPr>
                <w:w w:val="90"/>
                <w:kern w:val="0"/>
                <w:sz w:val="21"/>
              </w:rPr>
              <w:t>泵站</w:t>
            </w:r>
          </w:p>
        </w:tc>
        <w:tc>
          <w:tcPr>
            <w:tcW w:w="821" w:type="pct"/>
            <w:tcBorders>
              <w:top w:val="single" w:color="auto" w:sz="4" w:space="0"/>
              <w:left w:val="nil"/>
              <w:bottom w:val="single" w:color="auto" w:sz="4" w:space="0"/>
              <w:right w:val="single" w:color="auto" w:sz="4" w:space="0"/>
            </w:tcBorders>
            <w:vAlign w:val="center"/>
          </w:tcPr>
          <w:p w14:paraId="1E1099E0">
            <w:pPr>
              <w:widowControl/>
              <w:spacing w:line="240" w:lineRule="auto"/>
              <w:ind w:firstLine="0" w:firstLineChars="0"/>
              <w:jc w:val="center"/>
              <w:rPr>
                <w:w w:val="90"/>
                <w:kern w:val="0"/>
                <w:sz w:val="21"/>
              </w:rPr>
            </w:pPr>
            <w:r>
              <w:rPr>
                <w:w w:val="90"/>
                <w:kern w:val="0"/>
                <w:sz w:val="21"/>
              </w:rPr>
              <w:t>水仓名称</w:t>
            </w:r>
          </w:p>
        </w:tc>
        <w:tc>
          <w:tcPr>
            <w:tcW w:w="1063" w:type="pct"/>
            <w:tcBorders>
              <w:top w:val="single" w:color="auto" w:sz="4" w:space="0"/>
              <w:left w:val="nil"/>
              <w:bottom w:val="single" w:color="auto" w:sz="4" w:space="0"/>
              <w:right w:val="single" w:color="auto" w:sz="4" w:space="0"/>
            </w:tcBorders>
            <w:vAlign w:val="center"/>
          </w:tcPr>
          <w:p w14:paraId="7DEBDA39">
            <w:pPr>
              <w:widowControl/>
              <w:spacing w:line="240" w:lineRule="auto"/>
              <w:ind w:firstLine="0" w:firstLineChars="0"/>
              <w:jc w:val="center"/>
              <w:rPr>
                <w:w w:val="90"/>
                <w:kern w:val="0"/>
                <w:sz w:val="21"/>
              </w:rPr>
            </w:pPr>
            <w:r>
              <w:rPr>
                <w:w w:val="90"/>
                <w:kern w:val="0"/>
                <w:sz w:val="21"/>
              </w:rPr>
              <w:t>水仓长度</w:t>
            </w:r>
          </w:p>
          <w:p w14:paraId="5C1FB138">
            <w:pPr>
              <w:widowControl/>
              <w:spacing w:line="240" w:lineRule="auto"/>
              <w:ind w:firstLine="0" w:firstLineChars="0"/>
              <w:jc w:val="center"/>
              <w:rPr>
                <w:w w:val="90"/>
                <w:kern w:val="0"/>
                <w:sz w:val="21"/>
              </w:rPr>
            </w:pPr>
            <w:r>
              <w:rPr>
                <w:w w:val="90"/>
                <w:kern w:val="0"/>
                <w:sz w:val="21"/>
              </w:rPr>
              <w:t>（m）</w:t>
            </w:r>
          </w:p>
        </w:tc>
        <w:tc>
          <w:tcPr>
            <w:tcW w:w="1153" w:type="pct"/>
            <w:tcBorders>
              <w:top w:val="single" w:color="auto" w:sz="4" w:space="0"/>
              <w:left w:val="nil"/>
              <w:bottom w:val="single" w:color="auto" w:sz="4" w:space="0"/>
              <w:right w:val="single" w:color="auto" w:sz="4" w:space="0"/>
            </w:tcBorders>
            <w:vAlign w:val="center"/>
          </w:tcPr>
          <w:p w14:paraId="46DE9C91">
            <w:pPr>
              <w:widowControl/>
              <w:spacing w:line="240" w:lineRule="auto"/>
              <w:ind w:firstLine="0" w:firstLineChars="0"/>
              <w:jc w:val="center"/>
              <w:rPr>
                <w:w w:val="90"/>
                <w:kern w:val="0"/>
                <w:sz w:val="21"/>
              </w:rPr>
            </w:pPr>
            <w:r>
              <w:rPr>
                <w:w w:val="90"/>
                <w:kern w:val="0"/>
                <w:sz w:val="21"/>
              </w:rPr>
              <w:t>水仓断面</w:t>
            </w:r>
          </w:p>
          <w:p w14:paraId="65293DBE">
            <w:pPr>
              <w:widowControl/>
              <w:spacing w:line="240" w:lineRule="auto"/>
              <w:ind w:firstLine="0" w:firstLineChars="0"/>
              <w:jc w:val="center"/>
              <w:rPr>
                <w:w w:val="90"/>
                <w:kern w:val="0"/>
                <w:sz w:val="21"/>
              </w:rPr>
            </w:pPr>
            <w:r>
              <w:rPr>
                <w:w w:val="90"/>
                <w:kern w:val="0"/>
                <w:sz w:val="21"/>
              </w:rPr>
              <w:t>（m</w:t>
            </w:r>
            <w:r>
              <w:rPr>
                <w:w w:val="90"/>
                <w:kern w:val="0"/>
                <w:sz w:val="21"/>
                <w:vertAlign w:val="superscript"/>
              </w:rPr>
              <w:t>2</w:t>
            </w:r>
            <w:r>
              <w:rPr>
                <w:w w:val="90"/>
                <w:kern w:val="0"/>
                <w:sz w:val="21"/>
              </w:rPr>
              <w:t>）</w:t>
            </w:r>
          </w:p>
        </w:tc>
        <w:tc>
          <w:tcPr>
            <w:tcW w:w="997" w:type="pct"/>
            <w:tcBorders>
              <w:top w:val="single" w:color="auto" w:sz="4" w:space="0"/>
              <w:left w:val="nil"/>
              <w:bottom w:val="single" w:color="auto" w:sz="4" w:space="0"/>
              <w:right w:val="single" w:color="auto" w:sz="4" w:space="0"/>
            </w:tcBorders>
            <w:vAlign w:val="center"/>
          </w:tcPr>
          <w:p w14:paraId="7A327E68">
            <w:pPr>
              <w:widowControl/>
              <w:spacing w:line="240" w:lineRule="auto"/>
              <w:ind w:firstLine="0" w:firstLineChars="0"/>
              <w:jc w:val="center"/>
              <w:rPr>
                <w:w w:val="90"/>
                <w:kern w:val="0"/>
                <w:sz w:val="21"/>
              </w:rPr>
            </w:pPr>
            <w:r>
              <w:rPr>
                <w:w w:val="90"/>
                <w:kern w:val="0"/>
                <w:sz w:val="21"/>
              </w:rPr>
              <w:t>水仓容积</w:t>
            </w:r>
          </w:p>
          <w:p w14:paraId="7E285A8E">
            <w:pPr>
              <w:widowControl/>
              <w:spacing w:line="240" w:lineRule="auto"/>
              <w:ind w:firstLine="0" w:firstLineChars="0"/>
              <w:jc w:val="center"/>
              <w:rPr>
                <w:w w:val="90"/>
                <w:kern w:val="0"/>
                <w:sz w:val="21"/>
              </w:rPr>
            </w:pPr>
            <w:r>
              <w:rPr>
                <w:w w:val="90"/>
                <w:kern w:val="0"/>
                <w:sz w:val="21"/>
              </w:rPr>
              <w:t>（m</w:t>
            </w:r>
            <w:r>
              <w:rPr>
                <w:w w:val="90"/>
                <w:kern w:val="0"/>
                <w:sz w:val="21"/>
                <w:vertAlign w:val="superscript"/>
              </w:rPr>
              <w:t>3</w:t>
            </w:r>
            <w:r>
              <w:rPr>
                <w:w w:val="90"/>
                <w:kern w:val="0"/>
                <w:sz w:val="21"/>
              </w:rPr>
              <w:t>）</w:t>
            </w:r>
          </w:p>
        </w:tc>
      </w:tr>
      <w:tr w14:paraId="3E7FC1D1">
        <w:tblPrEx>
          <w:tblCellMar>
            <w:top w:w="0" w:type="dxa"/>
            <w:left w:w="108" w:type="dxa"/>
            <w:bottom w:w="0" w:type="dxa"/>
            <w:right w:w="108" w:type="dxa"/>
          </w:tblCellMar>
        </w:tblPrEx>
        <w:trPr>
          <w:trHeight w:val="425" w:hRule="atLeast"/>
        </w:trPr>
        <w:tc>
          <w:tcPr>
            <w:tcW w:w="967" w:type="pct"/>
            <w:vMerge w:val="restart"/>
            <w:tcBorders>
              <w:top w:val="nil"/>
              <w:left w:val="single" w:color="auto" w:sz="4" w:space="0"/>
              <w:bottom w:val="single" w:color="auto" w:sz="4" w:space="0"/>
              <w:right w:val="single" w:color="auto" w:sz="4" w:space="0"/>
            </w:tcBorders>
            <w:vAlign w:val="center"/>
          </w:tcPr>
          <w:p w14:paraId="0D37F5E4">
            <w:pPr>
              <w:widowControl/>
              <w:spacing w:line="240" w:lineRule="auto"/>
              <w:ind w:firstLine="0" w:firstLineChars="0"/>
              <w:jc w:val="center"/>
              <w:rPr>
                <w:w w:val="90"/>
                <w:kern w:val="0"/>
                <w:sz w:val="21"/>
              </w:rPr>
            </w:pPr>
            <w:r>
              <w:rPr>
                <w:w w:val="90"/>
                <w:kern w:val="0"/>
                <w:sz w:val="21"/>
              </w:rPr>
              <w:t>-</w:t>
            </w:r>
            <w:r>
              <w:rPr>
                <w:rFonts w:hint="eastAsia"/>
                <w:w w:val="90"/>
                <w:kern w:val="0"/>
                <w:sz w:val="21"/>
              </w:rPr>
              <w:t>835</w:t>
            </w:r>
            <w:r>
              <w:rPr>
                <w:w w:val="90"/>
                <w:kern w:val="0"/>
                <w:sz w:val="21"/>
              </w:rPr>
              <w:t>m泵站</w:t>
            </w:r>
          </w:p>
        </w:tc>
        <w:tc>
          <w:tcPr>
            <w:tcW w:w="821" w:type="pct"/>
            <w:tcBorders>
              <w:top w:val="nil"/>
              <w:left w:val="nil"/>
              <w:bottom w:val="single" w:color="auto" w:sz="4" w:space="0"/>
              <w:right w:val="single" w:color="auto" w:sz="4" w:space="0"/>
            </w:tcBorders>
            <w:vAlign w:val="center"/>
          </w:tcPr>
          <w:p w14:paraId="36E0D39E">
            <w:pPr>
              <w:widowControl/>
              <w:spacing w:line="240" w:lineRule="auto"/>
              <w:ind w:firstLine="0" w:firstLineChars="0"/>
              <w:jc w:val="center"/>
              <w:rPr>
                <w:w w:val="90"/>
                <w:kern w:val="0"/>
                <w:sz w:val="21"/>
              </w:rPr>
            </w:pPr>
            <w:r>
              <w:rPr>
                <w:w w:val="90"/>
                <w:kern w:val="0"/>
                <w:sz w:val="21"/>
              </w:rPr>
              <w:t>水仓1</w:t>
            </w:r>
          </w:p>
        </w:tc>
        <w:tc>
          <w:tcPr>
            <w:tcW w:w="1063" w:type="pct"/>
            <w:tcBorders>
              <w:top w:val="nil"/>
              <w:left w:val="nil"/>
              <w:bottom w:val="single" w:color="auto" w:sz="4" w:space="0"/>
              <w:right w:val="single" w:color="auto" w:sz="4" w:space="0"/>
            </w:tcBorders>
            <w:vAlign w:val="center"/>
          </w:tcPr>
          <w:p w14:paraId="6A23192E">
            <w:pPr>
              <w:widowControl/>
              <w:spacing w:line="240" w:lineRule="auto"/>
              <w:ind w:firstLine="0" w:firstLineChars="0"/>
              <w:jc w:val="center"/>
              <w:rPr>
                <w:w w:val="90"/>
                <w:kern w:val="0"/>
                <w:sz w:val="21"/>
              </w:rPr>
            </w:pPr>
            <w:r>
              <w:rPr>
                <w:rFonts w:hint="eastAsia"/>
                <w:w w:val="90"/>
                <w:kern w:val="0"/>
                <w:sz w:val="21"/>
              </w:rPr>
              <w:t>100.2</w:t>
            </w:r>
          </w:p>
        </w:tc>
        <w:tc>
          <w:tcPr>
            <w:tcW w:w="1153" w:type="pct"/>
            <w:tcBorders>
              <w:top w:val="nil"/>
              <w:left w:val="nil"/>
              <w:bottom w:val="single" w:color="auto" w:sz="4" w:space="0"/>
              <w:right w:val="single" w:color="auto" w:sz="4" w:space="0"/>
            </w:tcBorders>
            <w:vAlign w:val="center"/>
          </w:tcPr>
          <w:p w14:paraId="5F89F02C">
            <w:pPr>
              <w:widowControl/>
              <w:spacing w:line="240" w:lineRule="auto"/>
              <w:ind w:firstLine="0" w:firstLineChars="0"/>
              <w:jc w:val="center"/>
              <w:rPr>
                <w:w w:val="90"/>
                <w:kern w:val="0"/>
                <w:sz w:val="21"/>
              </w:rPr>
            </w:pPr>
            <w:r>
              <w:rPr>
                <w:rFonts w:hint="eastAsia"/>
                <w:w w:val="90"/>
                <w:kern w:val="0"/>
                <w:sz w:val="21"/>
              </w:rPr>
              <w:t>13.41</w:t>
            </w:r>
          </w:p>
        </w:tc>
        <w:tc>
          <w:tcPr>
            <w:tcW w:w="997" w:type="pct"/>
            <w:tcBorders>
              <w:top w:val="nil"/>
              <w:left w:val="nil"/>
              <w:bottom w:val="single" w:color="auto" w:sz="4" w:space="0"/>
              <w:right w:val="single" w:color="auto" w:sz="4" w:space="0"/>
            </w:tcBorders>
            <w:vAlign w:val="center"/>
          </w:tcPr>
          <w:p w14:paraId="49CFA87E">
            <w:pPr>
              <w:widowControl/>
              <w:spacing w:line="240" w:lineRule="auto"/>
              <w:ind w:firstLine="0" w:firstLineChars="0"/>
              <w:jc w:val="center"/>
              <w:rPr>
                <w:w w:val="90"/>
                <w:kern w:val="0"/>
                <w:sz w:val="21"/>
              </w:rPr>
            </w:pPr>
            <w:r>
              <w:rPr>
                <w:rFonts w:hint="eastAsia"/>
                <w:w w:val="90"/>
                <w:kern w:val="0"/>
                <w:sz w:val="21"/>
              </w:rPr>
              <w:t>1343.68</w:t>
            </w:r>
          </w:p>
        </w:tc>
      </w:tr>
      <w:tr w14:paraId="47DBAEDF">
        <w:tblPrEx>
          <w:tblCellMar>
            <w:top w:w="0" w:type="dxa"/>
            <w:left w:w="108" w:type="dxa"/>
            <w:bottom w:w="0" w:type="dxa"/>
            <w:right w:w="108" w:type="dxa"/>
          </w:tblCellMar>
        </w:tblPrEx>
        <w:trPr>
          <w:trHeight w:val="425" w:hRule="atLeast"/>
        </w:trPr>
        <w:tc>
          <w:tcPr>
            <w:tcW w:w="967" w:type="pct"/>
            <w:vMerge w:val="continue"/>
            <w:tcBorders>
              <w:top w:val="nil"/>
              <w:left w:val="single" w:color="auto" w:sz="4" w:space="0"/>
              <w:bottom w:val="single" w:color="auto" w:sz="4" w:space="0"/>
              <w:right w:val="single" w:color="auto" w:sz="4" w:space="0"/>
            </w:tcBorders>
            <w:vAlign w:val="center"/>
          </w:tcPr>
          <w:p w14:paraId="463B32D0">
            <w:pPr>
              <w:widowControl/>
              <w:spacing w:line="240" w:lineRule="auto"/>
              <w:ind w:firstLine="0" w:firstLineChars="0"/>
              <w:jc w:val="center"/>
              <w:rPr>
                <w:w w:val="90"/>
                <w:kern w:val="0"/>
                <w:sz w:val="21"/>
              </w:rPr>
            </w:pPr>
          </w:p>
        </w:tc>
        <w:tc>
          <w:tcPr>
            <w:tcW w:w="821" w:type="pct"/>
            <w:tcBorders>
              <w:top w:val="nil"/>
              <w:left w:val="nil"/>
              <w:bottom w:val="single" w:color="auto" w:sz="4" w:space="0"/>
              <w:right w:val="single" w:color="auto" w:sz="4" w:space="0"/>
            </w:tcBorders>
            <w:vAlign w:val="center"/>
          </w:tcPr>
          <w:p w14:paraId="68191EC4">
            <w:pPr>
              <w:widowControl/>
              <w:spacing w:line="240" w:lineRule="auto"/>
              <w:ind w:firstLine="0" w:firstLineChars="0"/>
              <w:jc w:val="center"/>
              <w:rPr>
                <w:w w:val="90"/>
                <w:kern w:val="0"/>
                <w:sz w:val="21"/>
              </w:rPr>
            </w:pPr>
            <w:r>
              <w:rPr>
                <w:w w:val="90"/>
                <w:kern w:val="0"/>
                <w:sz w:val="21"/>
              </w:rPr>
              <w:t>水仓2</w:t>
            </w:r>
          </w:p>
        </w:tc>
        <w:tc>
          <w:tcPr>
            <w:tcW w:w="1063" w:type="pct"/>
            <w:tcBorders>
              <w:top w:val="nil"/>
              <w:left w:val="nil"/>
              <w:bottom w:val="single" w:color="auto" w:sz="4" w:space="0"/>
              <w:right w:val="single" w:color="auto" w:sz="4" w:space="0"/>
            </w:tcBorders>
            <w:vAlign w:val="center"/>
          </w:tcPr>
          <w:p w14:paraId="26BE30CD">
            <w:pPr>
              <w:widowControl/>
              <w:spacing w:line="240" w:lineRule="auto"/>
              <w:ind w:firstLine="0" w:firstLineChars="0"/>
              <w:jc w:val="center"/>
              <w:rPr>
                <w:w w:val="90"/>
                <w:kern w:val="0"/>
                <w:sz w:val="21"/>
              </w:rPr>
            </w:pPr>
            <w:r>
              <w:rPr>
                <w:rFonts w:hint="eastAsia"/>
                <w:w w:val="90"/>
                <w:kern w:val="0"/>
                <w:sz w:val="21"/>
              </w:rPr>
              <w:t>134.8</w:t>
            </w:r>
          </w:p>
        </w:tc>
        <w:tc>
          <w:tcPr>
            <w:tcW w:w="1153" w:type="pct"/>
            <w:tcBorders>
              <w:top w:val="nil"/>
              <w:left w:val="nil"/>
              <w:bottom w:val="single" w:color="auto" w:sz="4" w:space="0"/>
              <w:right w:val="single" w:color="auto" w:sz="4" w:space="0"/>
            </w:tcBorders>
            <w:vAlign w:val="center"/>
          </w:tcPr>
          <w:p w14:paraId="6962FC04">
            <w:pPr>
              <w:widowControl/>
              <w:spacing w:line="240" w:lineRule="auto"/>
              <w:ind w:firstLine="0" w:firstLineChars="0"/>
              <w:jc w:val="center"/>
              <w:rPr>
                <w:w w:val="90"/>
                <w:kern w:val="0"/>
                <w:sz w:val="21"/>
              </w:rPr>
            </w:pPr>
            <w:r>
              <w:rPr>
                <w:rFonts w:hint="eastAsia"/>
                <w:w w:val="90"/>
                <w:kern w:val="0"/>
                <w:sz w:val="21"/>
              </w:rPr>
              <w:t>13.41</w:t>
            </w:r>
          </w:p>
        </w:tc>
        <w:tc>
          <w:tcPr>
            <w:tcW w:w="997" w:type="pct"/>
            <w:tcBorders>
              <w:top w:val="nil"/>
              <w:left w:val="nil"/>
              <w:bottom w:val="single" w:color="auto" w:sz="4" w:space="0"/>
              <w:right w:val="single" w:color="auto" w:sz="4" w:space="0"/>
            </w:tcBorders>
            <w:vAlign w:val="center"/>
          </w:tcPr>
          <w:p w14:paraId="156B139A">
            <w:pPr>
              <w:widowControl/>
              <w:spacing w:line="240" w:lineRule="auto"/>
              <w:ind w:firstLine="0" w:firstLineChars="0"/>
              <w:jc w:val="center"/>
              <w:rPr>
                <w:w w:val="90"/>
                <w:kern w:val="0"/>
                <w:sz w:val="21"/>
              </w:rPr>
            </w:pPr>
            <w:r>
              <w:rPr>
                <w:rFonts w:hint="eastAsia"/>
                <w:w w:val="90"/>
                <w:kern w:val="0"/>
                <w:sz w:val="21"/>
              </w:rPr>
              <w:t>1807.67</w:t>
            </w:r>
          </w:p>
        </w:tc>
      </w:tr>
    </w:tbl>
    <w:p w14:paraId="37ADB93D">
      <w:pPr>
        <w:widowControl/>
        <w:adjustRightInd w:val="0"/>
        <w:snapToGrid w:val="0"/>
        <w:spacing w:line="360" w:lineRule="auto"/>
        <w:ind w:firstLine="560"/>
        <w:rPr>
          <w:rFonts w:asciiTheme="minorHAnsi" w:hAnsiTheme="minorHAnsi" w:cstheme="minorHAnsi"/>
          <w:kern w:val="0"/>
          <w:szCs w:val="28"/>
        </w:rPr>
      </w:pPr>
    </w:p>
    <w:p w14:paraId="07A795F0">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在-835m水平设排水泵房一座，安装4台MD500-57×7型矿用耐磨多级离心泵，单台水泵流量500m</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/h，扬程399m，配电机功率800kW，电压10kV。井下正常涌水时，2台工作，1台备用，1台检修；最大排水量时，3台工作，1台检修。</w:t>
      </w:r>
    </w:p>
    <w:p w14:paraId="1B8E0B78">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排水管道选用2根Φ426×14无缝钢管，最大流速2.24m/s，正常涌水时，1根工作，1根备用；最大排水量时，2根同时工作。排水管道由排水泵房接出，经排水管道斜巷、副井井筒、-505m水平副井石门敷设至-505m水平水仓。</w:t>
      </w:r>
    </w:p>
    <w:p w14:paraId="5852E45E">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2）冯家庄矿段</w:t>
      </w:r>
    </w:p>
    <w:p w14:paraId="7F0FCC9A">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二期冯家庄矿段利用一期彭集矿段排水系统，井下涌水通过泄水井汇至-505m运输水平，经与彭集矿段连通的运输巷道水沟流至彭集矿段-505m水仓，经-505m水泵房排出地表。</w:t>
      </w:r>
    </w:p>
    <w:p w14:paraId="09E7ECE7">
      <w:pPr>
        <w:widowControl/>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一期彭集矿段-505m水仓按照一期与二期同时生产状态设计，可容纳一期彭集矿段、二期彭集矿段和二期冯家庄矿段的涌水量。</w:t>
      </w:r>
    </w:p>
    <w:p w14:paraId="6E6B95F2">
      <w:pPr>
        <w:pStyle w:val="5"/>
        <w:spacing w:after="190" w:line="360" w:lineRule="auto"/>
        <w:rPr>
          <w:rFonts w:asciiTheme="minorHAnsi" w:hAnsiTheme="minorHAnsi" w:cstheme="minorHAnsi"/>
        </w:rPr>
      </w:pPr>
      <w:r>
        <w:rPr>
          <w:rFonts w:asciiTheme="minorHAnsi" w:hAnsiTheme="minorHAnsi" w:cstheme="minorHAnsi"/>
        </w:rPr>
        <w:t>2.4.9</w:t>
      </w:r>
      <w:r>
        <w:rPr>
          <w:rFonts w:hint="eastAsia" w:asciiTheme="minorHAnsi" w:hAnsiTheme="minorHAnsi" w:cstheme="minorHAnsi"/>
        </w:rPr>
        <w:t>安全避险“六大系统”</w:t>
      </w:r>
    </w:p>
    <w:p w14:paraId="3064590E">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（1）监测监控系统</w:t>
      </w:r>
    </w:p>
    <w:p w14:paraId="34D5088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 有毒有害及环境监测</w:t>
      </w:r>
    </w:p>
    <w:p w14:paraId="63BA41E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采矿井下设计有毒有害及环境监测系统。系统分为便携式和在线式，其中在线式系统由主机及软件、传感器分站、固定式传感器组成。有毒有害及环境监测与通风监测、通信联络、人员定位系统进行总体设计。</w:t>
      </w:r>
    </w:p>
    <w:p w14:paraId="7B7E362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便携式气体检测报警仪：报警仪应能测量一氧化碳、氧气、二氧化氮浓度，并具有报警参数设置和声光报警功能，报警仪按工作面数量配备。</w:t>
      </w:r>
    </w:p>
    <w:p w14:paraId="33F0086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主机及软件：有毒有害及环境监测主机和通风监测主机共用，设置在地表行政办公楼集控中心的机房内且双机备份，在集控大厅操作台设置显示终端。</w:t>
      </w:r>
    </w:p>
    <w:p w14:paraId="1A7E2A1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传感器分站：在井下各个水平固定式传感器集中处设置传感器分站，传感器分站安装在便于人员观察、调试、检验，且围岩稳固、支护良好、无淋水、无杂物的进风巷道或硐室中。</w:t>
      </w:r>
    </w:p>
    <w:p w14:paraId="752248D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固定式传感器：在生产中段和分段的进回风巷靠近采场位置、压入式通风的独头掘进巷道距回风出口5～10m回风流中、抽出式和混合式通风的独头掘进巷道风筒出风口后10～15m处设置一氧化碳或二氧化氮传感器；在带式输送机滚筒下风侧10～15m处设置一氧化碳和烟雾传感器；在避灾硐室内设置一氧化碳、二氧化碳、氧气、温湿度、大气压传感器。</w:t>
      </w:r>
    </w:p>
    <w:p w14:paraId="3F5143A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报警浓度设置：一氧化碳报警浓度不应高于24ppm，二氧化氮报警浓度不应高于2.5ppm。</w:t>
      </w:r>
    </w:p>
    <w:p w14:paraId="2B9E79D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系统管理基本功能：实时显示各个监测点的监测数据，并可以图表等形式显示历史监测数据；设置预警参数，并能实现声光预警。</w:t>
      </w:r>
    </w:p>
    <w:p w14:paraId="79B55B8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备用电源：主机、传感器分站备用电源应能保证连续工作2h以上。</w:t>
      </w:r>
    </w:p>
    <w:p w14:paraId="3D85919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设备选择：设备应符合相关标准规定，井下设备应取得矿用产品安全标志。</w:t>
      </w:r>
    </w:p>
    <w:p w14:paraId="28D335B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线缆选择：井下线缆采用低烟无卤阻燃型。</w:t>
      </w:r>
    </w:p>
    <w:p w14:paraId="0C702040">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2</w:t>
      </w:r>
      <w:r>
        <w:rPr>
          <w:rFonts w:hint="eastAsia" w:asciiTheme="minorHAnsi" w:hAnsiTheme="minorHAnsi" w:cstheme="minorHAnsi"/>
          <w:szCs w:val="28"/>
        </w:rPr>
        <w:t>）通风监测</w:t>
      </w:r>
    </w:p>
    <w:p w14:paraId="4491EC2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采矿井下设计通风监测系统。系统由主机及软件、传感器分站、固定式传感器组成。通风监测与有毒有害及环境监测、通信联络、人员定位系统进行总体设计。</w:t>
      </w:r>
    </w:p>
    <w:p w14:paraId="2D1D50C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主机及软件：通风监测主机和有毒有害及环境监测主机共用，设置在地表行政办公楼集控中心的机房内且双机备份，在集控大厅操作台设置显示终端。</w:t>
      </w:r>
    </w:p>
    <w:p w14:paraId="58B106D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传感器分站：在井下各个水平固定式传感器集中处设置传感器分站，传感器分站安装在便于人员观察、调试、检验，且围岩稳固、支护良好、无淋水、无杂物的进风巷道或硐室中。</w:t>
      </w:r>
    </w:p>
    <w:p w14:paraId="1A60151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固定式传感器：井下总回风巷、各个生产中段和分段的回风巷应设置风速传感器；主要通风机应设置风压传感器；主要通风机、辅助通风机、局部通风机应安装开停传感器。</w:t>
      </w:r>
    </w:p>
    <w:p w14:paraId="7315C28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报警值设置：具体不同地点的风速传感器报警值需根据《金属非金属地下矿山通风技术规范通风系统》AQ2013.1确定。</w:t>
      </w:r>
    </w:p>
    <w:p w14:paraId="24D5D26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系统管理基本功能：实时显示各个监测点的监测数据，并可以图表等形式显示历史监测数据；设置预警参数，并能实现声光预警。</w:t>
      </w:r>
    </w:p>
    <w:p w14:paraId="39F6576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备用电源：主机、传感器分站备用电源应能保证连续工作2h以上。</w:t>
      </w:r>
    </w:p>
    <w:p w14:paraId="3A848A1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设备选择：设备应符合相关标准规定，应取得矿用产品安全标志。</w:t>
      </w:r>
    </w:p>
    <w:p w14:paraId="133824E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线缆选择：井下线缆采用低烟无卤阻燃型。</w:t>
      </w:r>
    </w:p>
    <w:p w14:paraId="652B1C2F">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（2）</w:t>
      </w:r>
      <w:r>
        <w:rPr>
          <w:rFonts w:hint="eastAsia" w:asciiTheme="minorHAnsi" w:hAnsiTheme="minorHAnsi" w:cstheme="minorHAnsi"/>
          <w:b/>
          <w:bCs/>
          <w:szCs w:val="28"/>
        </w:rPr>
        <w:t>人员定位系统</w:t>
      </w:r>
    </w:p>
    <w:p w14:paraId="324FC84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井下各个水平设计人员定位系统，采用UWB技术精准定位。系统由主机及软件、综合基站、人员定位卡、井口唯一性检测等设备组成。人员定位系统与有毒有害及环境监测、通风监测、通信联络系统进行总体设计。</w:t>
      </w:r>
    </w:p>
    <w:p w14:paraId="39C4279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主机及软件：人员定位主机设置在地表行政办公楼集控中心的机房内且双机备份，在集控大厅操作台设置显示终端。</w:t>
      </w:r>
    </w:p>
    <w:p w14:paraId="35306C4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综合基站：人员定位系统与无线通信系统集成在1套综合基站内，在井下各个水平及关键硐室设置综合基站，综合基站安装在便于定位、观察、调试、检验，且围岩稳固、支护良好、无淋水、无杂物、不容易受到损害的位置。</w:t>
      </w:r>
    </w:p>
    <w:p w14:paraId="1DB5D8A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人员定位卡：为经常下井的人员配备定位卡下井人员应携带定位卡下井，工作时不得与定位卡分离，</w:t>
      </w:r>
      <w:r>
        <w:rPr>
          <w:rFonts w:hint="eastAsia" w:asciiTheme="minorHAnsi" w:hAnsiTheme="minorHAnsi" w:cstheme="minorHAnsi"/>
          <w:b/>
          <w:szCs w:val="28"/>
        </w:rPr>
        <w:t>一期</w:t>
      </w:r>
      <w:r>
        <w:rPr>
          <w:rFonts w:hint="eastAsia" w:asciiTheme="minorHAnsi" w:hAnsiTheme="minorHAnsi" w:cstheme="minorHAnsi"/>
          <w:szCs w:val="28"/>
        </w:rPr>
        <w:t>约600个定位卡；并按经常下井人员总数的10%配置备用卡，约60个备用定位卡。</w:t>
      </w:r>
      <w:r>
        <w:rPr>
          <w:rFonts w:hint="eastAsia" w:asciiTheme="minorHAnsi" w:hAnsiTheme="minorHAnsi" w:cstheme="minorHAnsi"/>
          <w:b/>
          <w:szCs w:val="28"/>
        </w:rPr>
        <w:t>二期</w:t>
      </w:r>
      <w:r>
        <w:rPr>
          <w:rFonts w:hint="eastAsia" w:ascii="宋体" w:hAnsi="宋体"/>
          <w:szCs w:val="28"/>
        </w:rPr>
        <w:t>约</w:t>
      </w:r>
      <w:r>
        <w:rPr>
          <w:rFonts w:ascii="宋体" w:hAnsi="宋体"/>
          <w:szCs w:val="28"/>
        </w:rPr>
        <w:t>180</w:t>
      </w:r>
      <w:r>
        <w:rPr>
          <w:rFonts w:hint="eastAsia" w:ascii="宋体" w:hAnsi="宋体"/>
          <w:szCs w:val="28"/>
        </w:rPr>
        <w:t>个定位卡；并按经常下井人员总数的10%配置备用卡，约</w:t>
      </w:r>
      <w:r>
        <w:rPr>
          <w:rFonts w:ascii="宋体" w:hAnsi="宋体"/>
          <w:szCs w:val="28"/>
        </w:rPr>
        <w:t>20</w:t>
      </w:r>
      <w:r>
        <w:rPr>
          <w:rFonts w:hint="eastAsia" w:ascii="宋体" w:hAnsi="宋体"/>
          <w:szCs w:val="28"/>
        </w:rPr>
        <w:t>个备用定位卡。</w:t>
      </w:r>
    </w:p>
    <w:p w14:paraId="644431E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井口唯一性检测装置：在下井的出入口处设置唯一性检测设备，当班下井人员及定位卡不匹配或不正常严禁入井。</w:t>
      </w:r>
    </w:p>
    <w:p w14:paraId="273AC16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系统基本检测功能：监测携卡人员出/入井时刻、出/入重点区域时刻等；识别多个人员同时进入识别区域。</w:t>
      </w:r>
    </w:p>
    <w:p w14:paraId="141A9AD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系统基本管理功能：携卡人员个人基本信息，主要包括卡号、姓名、身份证号、出生年月、职务或工种、所在部门或区队班组；携卡人员出入井总数、个人下井工作时间及出入井时刻信息；重点区域携卡人员基本信息及分布；携卡工作异常人员基本信息及分布，并报警；携卡人员下井活动路线信息；携卡人员统计信息，主要包括工作地点、月下井次数、时间等；按部门、区域、时间、分站（读卡器）、人员等分类信息查询功能；各种信息存储、显示、统计、声光报警、打印等功能。</w:t>
      </w:r>
    </w:p>
    <w:p w14:paraId="5BB3A8D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系统基本技术指标：最大位移识别速度不小于5m/s；并发识别数量不小于80；漏读率不大于10-4；巡检周期不大于30s；定位卡与综合基站之间的无线传输距离不小于10m。</w:t>
      </w:r>
    </w:p>
    <w:p w14:paraId="1661EFF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备用电源：主机及综合基站备用电源应能保证连续工作2h以上。</w:t>
      </w:r>
    </w:p>
    <w:p w14:paraId="463EB93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设备选择：设备应符合相关标准规定，井下设备应取得矿用产品安全标志。</w:t>
      </w:r>
    </w:p>
    <w:p w14:paraId="201CDB3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线缆选择：井下线缆采用低烟无卤阻燃型。</w:t>
      </w:r>
    </w:p>
    <w:p w14:paraId="111EF520">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（3）紧急避险系统</w:t>
      </w:r>
    </w:p>
    <w:p w14:paraId="060757B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一期在-475m水平设1座普通型避灾硐室，额定人数按100人考虑，额定防护时间8h。</w:t>
      </w:r>
    </w:p>
    <w:p w14:paraId="3073002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二期在冯家庄矿段-475m水平设1座普通型避灾硐室，额定人数按20人考虑，额定防护时间8h；在彭集深部-805m水平设1座普通型避灾硐室，额定人数按50人考虑，额定防护时间8h。</w:t>
      </w:r>
    </w:p>
    <w:p w14:paraId="62BBC3D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井下压风自救系统、供水施救系统、通信联络系统、供电系统的管道和线缆，以及监测监控系统的视频监控设备等均接入避灾硐室内。避灾硐室内设有供额定人数休息的座凳、与矿调度室直通的电话、持续时间不少于8h的应急照明、供额定人数生存不低于8h所需的应急食品和饮用水、急救箱、工具箱、人体排泄物收集处理装置等设施设备。</w:t>
      </w:r>
    </w:p>
    <w:p w14:paraId="74210BE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避灾硐室采用钢筋混凝土支护，底板高出相连巷道底板0.5m，净空高不低于2m，并确保每人有不低于1.0m</w:t>
      </w:r>
      <w:r>
        <w:rPr>
          <w:rFonts w:hint="eastAsia" w:asciiTheme="minorHAnsi" w:hAnsiTheme="minorHAnsi" w:cstheme="minorHAnsi"/>
          <w:szCs w:val="28"/>
          <w:vertAlign w:val="superscript"/>
        </w:rPr>
        <w:t>2</w:t>
      </w:r>
      <w:r>
        <w:rPr>
          <w:rFonts w:hint="eastAsia" w:asciiTheme="minorHAnsi" w:hAnsiTheme="minorHAnsi" w:cstheme="minorHAnsi"/>
          <w:szCs w:val="28"/>
        </w:rPr>
        <w:t>的有效使用面积。在避灾硐室进出口设有一道向外开启的防火门。</w:t>
      </w:r>
    </w:p>
    <w:p w14:paraId="1FA080B1">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（4）压风自救系统</w:t>
      </w:r>
    </w:p>
    <w:p w14:paraId="62F06863">
      <w:pPr>
        <w:widowControl/>
        <w:adjustRightInd w:val="0"/>
        <w:snapToGrid w:val="0"/>
        <w:spacing w:line="360" w:lineRule="auto"/>
        <w:ind w:firstLine="560"/>
        <w:rPr>
          <w:bCs/>
          <w:szCs w:val="28"/>
        </w:rPr>
      </w:pPr>
      <w:r>
        <w:rPr>
          <w:rFonts w:hint="eastAsia"/>
          <w:bCs/>
          <w:szCs w:val="28"/>
        </w:rPr>
        <w:t>考虑部分管理、服务人员下井需求，井下同时工作最大班人数按170人考虑，进入避灾硐室内的人员供风量为每人不低于0.3m</w:t>
      </w:r>
      <w:r>
        <w:rPr>
          <w:rFonts w:hint="eastAsia"/>
          <w:bCs/>
          <w:szCs w:val="28"/>
          <w:vertAlign w:val="superscript"/>
        </w:rPr>
        <w:t>3</w:t>
      </w:r>
      <w:r>
        <w:rPr>
          <w:rFonts w:hint="eastAsia"/>
          <w:bCs/>
          <w:szCs w:val="28"/>
        </w:rPr>
        <w:t>/min，巷道内的人员供风量为每人不低于0.1m</w:t>
      </w:r>
      <w:r>
        <w:rPr>
          <w:rFonts w:hint="eastAsia"/>
          <w:bCs/>
          <w:szCs w:val="28"/>
          <w:vertAlign w:val="superscript"/>
        </w:rPr>
        <w:t>3</w:t>
      </w:r>
      <w:r>
        <w:rPr>
          <w:rFonts w:hint="eastAsia"/>
          <w:bCs/>
          <w:szCs w:val="28"/>
        </w:rPr>
        <w:t>/min，考虑高原修正系数、管网漏气系数和设备下降系数等，压风自救最大用气量为47.56m</w:t>
      </w:r>
      <w:r>
        <w:rPr>
          <w:rFonts w:hint="eastAsia"/>
          <w:bCs/>
          <w:szCs w:val="28"/>
          <w:vertAlign w:val="superscript"/>
        </w:rPr>
        <w:t>3</w:t>
      </w:r>
      <w:r>
        <w:rPr>
          <w:rFonts w:hint="eastAsia"/>
          <w:bCs/>
          <w:szCs w:val="28"/>
        </w:rPr>
        <w:t>/min。</w:t>
      </w:r>
    </w:p>
    <w:p w14:paraId="3BE1793B">
      <w:pPr>
        <w:widowControl/>
        <w:adjustRightInd w:val="0"/>
        <w:snapToGrid w:val="0"/>
        <w:spacing w:line="360" w:lineRule="auto"/>
        <w:ind w:firstLine="560"/>
        <w:rPr>
          <w:szCs w:val="28"/>
        </w:rPr>
      </w:pPr>
      <w:bookmarkStart w:id="79" w:name="_Toc517962124"/>
      <w:r>
        <w:rPr>
          <w:rFonts w:hint="eastAsia"/>
          <w:bCs/>
          <w:szCs w:val="28"/>
        </w:rPr>
        <w:t>矿山地表空压机站内设有2台DLGF 40/8-250矿用螺杆式空气压缩机，单台排气量为40Nm</w:t>
      </w:r>
      <w:r>
        <w:rPr>
          <w:rFonts w:hint="eastAsia"/>
          <w:bCs/>
          <w:szCs w:val="28"/>
          <w:vertAlign w:val="superscript"/>
        </w:rPr>
        <w:t>3</w:t>
      </w:r>
      <w:r>
        <w:rPr>
          <w:rFonts w:hint="eastAsia"/>
          <w:bCs/>
          <w:szCs w:val="28"/>
        </w:rPr>
        <w:t>/min，排气压力0.8MPa，电机功率250kW，电压380V。井下遇险时，2台同时工作，可以满足井下压风自救系统的用气要求</w:t>
      </w:r>
      <w:bookmarkEnd w:id="79"/>
      <w:r>
        <w:rPr>
          <w:rFonts w:hint="eastAsia"/>
          <w:bCs/>
          <w:szCs w:val="28"/>
        </w:rPr>
        <w:t>。</w:t>
      </w:r>
    </w:p>
    <w:p w14:paraId="53F49484">
      <w:pPr>
        <w:widowControl/>
        <w:adjustRightInd w:val="0"/>
        <w:snapToGrid w:val="0"/>
        <w:spacing w:line="360" w:lineRule="auto"/>
        <w:ind w:firstLine="560"/>
        <w:rPr>
          <w:bCs/>
          <w:szCs w:val="28"/>
        </w:rPr>
      </w:pPr>
      <w:bookmarkStart w:id="80" w:name="_Toc355715337"/>
      <w:bookmarkStart w:id="81" w:name="_Toc356225636"/>
      <w:r>
        <w:rPr>
          <w:rFonts w:hint="eastAsia"/>
          <w:bCs/>
          <w:szCs w:val="28"/>
        </w:rPr>
        <w:t>压风自救系统与生产压风系统共用，压风主管道为Φ159×7的无缝钢管（-505m水平以上为Φ159×7无缝钢管，-505m水平以下为Φ133×7无缝钢管），由空压机站接出，经副井、采区人行回风天井敷设至井下各水平，并延伸至井下采掘作业场所、爆破时人员集中地点、避灾硐室等主要地点。主压风管道上安装油水分离器。在各主要生产中段和分段进风巷道的压风管道上每隔不大于200m安设一组供气阀门；在独头掘进巷道距掘进工作面不大于100m处的压风管道上安设一组供气阀门，相邻两组供气阀门的安设间距不大于200m；在爆破时撤离人员集中地点的压风管道上安设一组供气阀门；在避灾硐室内的压风管道上安设供气阀门，并在接入避灾硐室的压风管路上设置减压、消音、过滤装置和控制阀。</w:t>
      </w:r>
    </w:p>
    <w:bookmarkEnd w:id="80"/>
    <w:bookmarkEnd w:id="81"/>
    <w:p w14:paraId="721E0DBD">
      <w:pPr>
        <w:adjustRightInd w:val="0"/>
        <w:snapToGrid w:val="0"/>
        <w:spacing w:line="360" w:lineRule="auto"/>
        <w:ind w:firstLine="562"/>
        <w:rPr>
          <w:rFonts w:asciiTheme="minorHAnsi" w:hAnsiTheme="minorHAnsi" w:cstheme="minorHAnsi"/>
          <w:szCs w:val="28"/>
        </w:rPr>
      </w:pPr>
      <w:r>
        <w:rPr>
          <w:rFonts w:asciiTheme="minorHAnsi" w:hAnsiTheme="minorHAnsi" w:cstheme="minorHAnsi"/>
          <w:b/>
          <w:bCs/>
          <w:szCs w:val="28"/>
        </w:rPr>
        <w:t>（5）供水施救系统</w:t>
      </w:r>
    </w:p>
    <w:p w14:paraId="6DE751F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供水施救系统供水管道与生产及消防供水管道共用。在地表，生活供水管道与送入井下的生产供水管道相接，设阀门，施救时切换成符合生活饮用水水质卫生要求的生活水。</w:t>
      </w:r>
    </w:p>
    <w:p w14:paraId="5E3FA77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考虑部分管理、服务人员下井需求，井下同时工作最大班人数按170人考虑。供水量按个人生活饮用水每人每天不低于6L计算，供水施救系统供水量为为1020L/d。</w:t>
      </w:r>
    </w:p>
    <w:p w14:paraId="13D959B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供水施救系统供水管道延伸至井下采掘作业场所、爆破时撤离人员集中地点、避灾硐室等主要地点。在各主要生产中段和分段进风巷道的供水管道上每隔不大于200m安设一组供水阀门；在独头掘进巷道距掘进工作面不大于100m处的供水管道上安设一组供水阀门，相邻两组供水阀门的安设间距不大于200m；在爆破时撤离人员集中地点的供水管道上安设一组供水阀门；在接入避灾硐室的供水管道上安设阀门及过滤装置。</w:t>
      </w:r>
    </w:p>
    <w:p w14:paraId="14536659">
      <w:pPr>
        <w:adjustRightInd w:val="0"/>
        <w:snapToGrid w:val="0"/>
        <w:spacing w:line="360" w:lineRule="auto"/>
        <w:ind w:firstLine="562"/>
        <w:rPr>
          <w:rFonts w:asciiTheme="minorHAnsi" w:hAnsiTheme="minorHAnsi" w:cstheme="minorHAnsi"/>
          <w:szCs w:val="28"/>
        </w:rPr>
      </w:pPr>
      <w:r>
        <w:rPr>
          <w:rFonts w:asciiTheme="minorHAnsi" w:hAnsiTheme="minorHAnsi" w:cstheme="minorHAnsi"/>
          <w:b/>
          <w:bCs/>
          <w:szCs w:val="28"/>
        </w:rPr>
        <w:t>（6）井下通信联络系统</w:t>
      </w:r>
    </w:p>
    <w:p w14:paraId="2AA286F2">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井下各个水平、地表公辅建筑物、生活办公区建筑物设计通信联络系统，通信联络系统包括有线通信联络系统、无线通信联络系统，其中有线通信联络系统分为行政管理电话、生产调度电话、应急广播电话站。通信联络系统与有毒有害及环境监测、通风监测、人员定位系统进行总体设计。</w:t>
      </w:r>
    </w:p>
    <w:p w14:paraId="381FCCF4">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无线通信联络系统：采用Wi-Fi6及以上技术，对井下主要人员流动的巷道、硐室内进行覆盖，Wi-Fi6模块与人员定位系统集成在1套综合基站内，人员配备无线通信终端手持机，暂按100台考虑。</w:t>
      </w:r>
    </w:p>
    <w:p w14:paraId="37067AB7">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行政管理电话：在办公生活区的行政办公楼、采矿服务楼、选矿服务楼等办公管理部门设置行政管理电话，供日常公务对外联系用。电话的基本功能及特殊需求由综合语音服务平台设置。</w:t>
      </w:r>
    </w:p>
    <w:p w14:paraId="0E9EA2A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生产调度电话：在井下的井底车场、马头门、井下运输调度室、主要机电硐室、井下变电所、井下各中段采区、主要泵房、主要通风机房、井下紧急避险设施、爆破时撤离人员集中地点、提升机房、装卸矿点等处设置生产调度电话；在地表的空压机、充填站等公辅车间及各类库房等处设置生产调度电话。电话的基本功能及特殊需求由综合语音服务平台设置。</w:t>
      </w:r>
    </w:p>
    <w:p w14:paraId="76D3019C">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应急广播话站：在井下的井底车场、马头门、井下运输调度室、主要机电硐室、井下变电所、井下各中段采区、主要泵房、主要通风机房、井下紧急避险设施、爆破时撤离人员集中地点、提升机房、装卸矿点等处设置应急广播话站。话站的基本功能及特殊需求由综合语音服务平台设置。</w:t>
      </w:r>
    </w:p>
    <w:p w14:paraId="17F1C42C">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系统功能：终端设备与控制中心之间的双向语音且无阻塞通信功能；由控制中心发起的组呼、全呼、选呼、强拆、强插、紧呼及监听功能；由终端设备向控制中心发起的紧急呼叫功能；能够显示发起通信的终端设备的位置；能够储存备份通信历史记录并可进行查询；自动或手动启动的录音功能；终端设备之间通信联络的功能。</w:t>
      </w:r>
    </w:p>
    <w:p w14:paraId="30FF8142">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设备选择：设备应符合相关标准规定，井下设备应取得矿用产品安全标志。</w:t>
      </w:r>
    </w:p>
    <w:p w14:paraId="550EA06F">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通信主干线路：通信主干线缆应分设两条（副井和1号回风井），从不同的井筒进入井下配线设备，其中任何一条通信线缆发生故障时，另外一条线缆的容量应能担负井下各通信终端的通信能力。</w:t>
      </w:r>
    </w:p>
    <w:p w14:paraId="74DC998E">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线缆选择：井下线缆采用低烟无卤阻燃型，地表线缆采用阻燃型。</w:t>
      </w:r>
    </w:p>
    <w:p w14:paraId="4DFBD4D8">
      <w:pPr>
        <w:pStyle w:val="5"/>
        <w:spacing w:after="190"/>
        <w:rPr>
          <w:rFonts w:asciiTheme="minorHAnsi" w:hAnsiTheme="minorHAnsi" w:cstheme="minorHAnsi"/>
        </w:rPr>
      </w:pPr>
      <w:r>
        <w:rPr>
          <w:rFonts w:asciiTheme="minorHAnsi" w:hAnsiTheme="minorHAnsi" w:cstheme="minorHAnsi"/>
        </w:rPr>
        <w:t>2.4.10压风及供水系统</w:t>
      </w:r>
    </w:p>
    <w:p w14:paraId="3EA07FE0">
      <w:pPr>
        <w:adjustRightInd w:val="0"/>
        <w:snapToGrid w:val="0"/>
        <w:spacing w:line="360" w:lineRule="auto"/>
        <w:ind w:firstLine="0" w:firstLineChars="0"/>
        <w:rPr>
          <w:rFonts w:asciiTheme="minorHAnsi" w:hAnsiTheme="minorHAnsi" w:cstheme="minorHAnsi"/>
          <w:b/>
          <w:bCs/>
          <w:szCs w:val="28"/>
        </w:rPr>
      </w:pPr>
      <w:bookmarkStart w:id="82" w:name="_Hlk172708247"/>
      <w:r>
        <w:rPr>
          <w:rFonts w:hint="eastAsia" w:asciiTheme="minorHAnsi" w:hAnsiTheme="minorHAnsi" w:cstheme="minorHAnsi"/>
          <w:b/>
          <w:bCs/>
          <w:szCs w:val="28"/>
        </w:rPr>
        <w:t>2</w:t>
      </w:r>
      <w:r>
        <w:rPr>
          <w:rFonts w:asciiTheme="minorHAnsi" w:hAnsiTheme="minorHAnsi" w:cstheme="minorHAnsi"/>
          <w:b/>
          <w:bCs/>
          <w:szCs w:val="28"/>
        </w:rPr>
        <w:t>.4.10.1</w:t>
      </w:r>
      <w:r>
        <w:rPr>
          <w:rFonts w:hint="eastAsia" w:asciiTheme="minorHAnsi" w:hAnsiTheme="minorHAnsi" w:cstheme="minorHAnsi"/>
          <w:b/>
          <w:bCs/>
          <w:szCs w:val="28"/>
        </w:rPr>
        <w:t>一期</w:t>
      </w:r>
    </w:p>
    <w:p w14:paraId="512150D6">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（1）压气设备选择</w:t>
      </w:r>
    </w:p>
    <w:p w14:paraId="062710F1">
      <w:pPr>
        <w:snapToGrid w:val="0"/>
        <w:spacing w:line="360" w:lineRule="auto"/>
        <w:ind w:firstLine="482" w:firstLineChars="0"/>
        <w:rPr>
          <w:rFonts w:asciiTheme="minorHAnsi" w:hAnsiTheme="minorHAnsi" w:cstheme="minorHAnsi"/>
          <w:szCs w:val="28"/>
        </w:rPr>
      </w:pPr>
      <w:r>
        <w:rPr>
          <w:rFonts w:hint="eastAsia" w:asciiTheme="minorHAnsi" w:hAnsiTheme="minorHAnsi" w:cstheme="minorHAnsi"/>
          <w:szCs w:val="28"/>
        </w:rPr>
        <w:t>井下用气设备</w:t>
      </w:r>
      <w:r>
        <w:rPr>
          <w:rFonts w:asciiTheme="minorHAnsi" w:hAnsiTheme="minorHAnsi" w:cstheme="minorHAnsi"/>
          <w:szCs w:val="28"/>
        </w:rPr>
        <w:t>用气量见表2.4-16</w:t>
      </w:r>
      <w:r>
        <w:rPr>
          <w:rFonts w:hint="eastAsia" w:asciiTheme="minorHAnsi" w:hAnsiTheme="minorHAnsi" w:cstheme="minorHAnsi"/>
          <w:szCs w:val="28"/>
        </w:rPr>
        <w:t>，</w:t>
      </w:r>
      <w:r>
        <w:rPr>
          <w:rFonts w:hint="eastAsia"/>
          <w:bCs/>
          <w:szCs w:val="28"/>
        </w:rPr>
        <w:t>地表工业场地用气设备及耗气量见表2.4-1</w:t>
      </w:r>
      <w:r>
        <w:rPr>
          <w:bCs/>
          <w:szCs w:val="28"/>
        </w:rPr>
        <w:t>7</w:t>
      </w:r>
      <w:r>
        <w:rPr>
          <w:rFonts w:hint="eastAsia"/>
          <w:bCs/>
          <w:szCs w:val="28"/>
        </w:rPr>
        <w:t>。</w:t>
      </w:r>
    </w:p>
    <w:p w14:paraId="23C18FF2">
      <w:pPr>
        <w:ind w:firstLine="0" w:firstLineChars="0"/>
        <w:jc w:val="center"/>
        <w:rPr>
          <w:rFonts w:asciiTheme="minorHAnsi" w:hAnsiTheme="minorHAnsi" w:cstheme="minorHAnsi"/>
          <w:szCs w:val="28"/>
        </w:rPr>
      </w:pPr>
      <w:r>
        <w:rPr>
          <w:rFonts w:asciiTheme="minorHAnsi" w:hAnsiTheme="minorHAnsi" w:cstheme="minorHAnsi"/>
          <w:szCs w:val="28"/>
        </w:rPr>
        <w:t xml:space="preserve">表2.4-16 </w:t>
      </w:r>
      <w:r>
        <w:rPr>
          <w:rFonts w:hint="eastAsia" w:asciiTheme="minorHAnsi" w:hAnsiTheme="minorHAnsi" w:cstheme="minorHAnsi"/>
          <w:szCs w:val="28"/>
        </w:rPr>
        <w:t>井下用气设备及耗气量表</w:t>
      </w:r>
    </w:p>
    <w:tbl>
      <w:tblPr>
        <w:tblStyle w:val="54"/>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3197"/>
        <w:gridCol w:w="671"/>
        <w:gridCol w:w="1502"/>
        <w:gridCol w:w="919"/>
        <w:gridCol w:w="660"/>
        <w:gridCol w:w="1004"/>
        <w:gridCol w:w="1111"/>
      </w:tblGrid>
      <w:tr w14:paraId="1786E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87" w:type="pct"/>
            <w:vAlign w:val="center"/>
          </w:tcPr>
          <w:p w14:paraId="00DC13DC">
            <w:pPr>
              <w:snapToGrid w:val="0"/>
              <w:spacing w:line="240" w:lineRule="auto"/>
              <w:ind w:left="-140" w:leftChars="-50" w:right="-140" w:rightChars="-50" w:firstLine="0" w:firstLineChars="0"/>
              <w:jc w:val="center"/>
              <w:rPr>
                <w:w w:val="80"/>
                <w:sz w:val="21"/>
                <w:szCs w:val="21"/>
              </w:rPr>
            </w:pPr>
            <w:r>
              <w:rPr>
                <w:w w:val="80"/>
                <w:sz w:val="21"/>
                <w:szCs w:val="21"/>
              </w:rPr>
              <w:t>序</w:t>
            </w:r>
          </w:p>
          <w:p w14:paraId="15F29480">
            <w:pPr>
              <w:snapToGrid w:val="0"/>
              <w:spacing w:line="240" w:lineRule="auto"/>
              <w:ind w:left="-140" w:leftChars="-50" w:right="-140" w:rightChars="-50" w:firstLine="0" w:firstLineChars="0"/>
              <w:jc w:val="center"/>
              <w:rPr>
                <w:w w:val="80"/>
                <w:sz w:val="21"/>
                <w:szCs w:val="21"/>
              </w:rPr>
            </w:pPr>
            <w:r>
              <w:rPr>
                <w:w w:val="80"/>
                <w:sz w:val="21"/>
                <w:szCs w:val="21"/>
              </w:rPr>
              <w:t>号</w:t>
            </w:r>
          </w:p>
        </w:tc>
        <w:tc>
          <w:tcPr>
            <w:tcW w:w="1662" w:type="pct"/>
            <w:vAlign w:val="center"/>
          </w:tcPr>
          <w:p w14:paraId="1637A11C">
            <w:pPr>
              <w:snapToGrid w:val="0"/>
              <w:spacing w:line="240" w:lineRule="auto"/>
              <w:ind w:firstLine="0" w:firstLineChars="0"/>
              <w:jc w:val="center"/>
              <w:rPr>
                <w:w w:val="80"/>
                <w:sz w:val="21"/>
                <w:szCs w:val="21"/>
              </w:rPr>
            </w:pPr>
            <w:r>
              <w:rPr>
                <w:w w:val="80"/>
                <w:sz w:val="21"/>
                <w:szCs w:val="21"/>
              </w:rPr>
              <w:t>设备名称</w:t>
            </w:r>
          </w:p>
        </w:tc>
        <w:tc>
          <w:tcPr>
            <w:tcW w:w="349" w:type="pct"/>
            <w:vAlign w:val="center"/>
          </w:tcPr>
          <w:p w14:paraId="6F2C6D66">
            <w:pPr>
              <w:snapToGrid w:val="0"/>
              <w:spacing w:line="240" w:lineRule="auto"/>
              <w:ind w:firstLine="0" w:firstLineChars="0"/>
              <w:jc w:val="center"/>
              <w:rPr>
                <w:w w:val="80"/>
                <w:sz w:val="21"/>
                <w:szCs w:val="21"/>
              </w:rPr>
            </w:pPr>
            <w:r>
              <w:rPr>
                <w:w w:val="80"/>
                <w:sz w:val="21"/>
                <w:szCs w:val="21"/>
              </w:rPr>
              <w:t>数量</w:t>
            </w:r>
          </w:p>
          <w:p w14:paraId="166DC96C">
            <w:pPr>
              <w:snapToGrid w:val="0"/>
              <w:spacing w:line="240" w:lineRule="auto"/>
              <w:ind w:firstLine="0" w:firstLineChars="0"/>
              <w:jc w:val="center"/>
              <w:rPr>
                <w:w w:val="80"/>
                <w:sz w:val="21"/>
                <w:szCs w:val="21"/>
              </w:rPr>
            </w:pPr>
            <w:r>
              <w:rPr>
                <w:rFonts w:hint="eastAsia"/>
                <w:w w:val="80"/>
                <w:sz w:val="21"/>
                <w:szCs w:val="21"/>
              </w:rPr>
              <w:t>(</w:t>
            </w:r>
            <w:r>
              <w:rPr>
                <w:w w:val="80"/>
                <w:sz w:val="21"/>
                <w:szCs w:val="21"/>
              </w:rPr>
              <w:t>台</w:t>
            </w:r>
            <w:r>
              <w:rPr>
                <w:rFonts w:hint="eastAsia"/>
                <w:w w:val="80"/>
                <w:sz w:val="21"/>
                <w:szCs w:val="21"/>
              </w:rPr>
              <w:t>)</w:t>
            </w:r>
          </w:p>
        </w:tc>
        <w:tc>
          <w:tcPr>
            <w:tcW w:w="781" w:type="pct"/>
            <w:vAlign w:val="center"/>
          </w:tcPr>
          <w:p w14:paraId="0CD4EA90">
            <w:pPr>
              <w:snapToGrid w:val="0"/>
              <w:spacing w:line="240" w:lineRule="auto"/>
              <w:ind w:firstLine="0" w:firstLineChars="0"/>
              <w:jc w:val="center"/>
              <w:rPr>
                <w:w w:val="80"/>
                <w:sz w:val="21"/>
                <w:szCs w:val="21"/>
              </w:rPr>
            </w:pPr>
            <w:r>
              <w:rPr>
                <w:w w:val="80"/>
                <w:sz w:val="21"/>
                <w:szCs w:val="21"/>
              </w:rPr>
              <w:t>单台压气耗量</w:t>
            </w: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c>
          <w:tcPr>
            <w:tcW w:w="478" w:type="pct"/>
            <w:vAlign w:val="center"/>
          </w:tcPr>
          <w:p w14:paraId="5F373DE0">
            <w:pPr>
              <w:snapToGrid w:val="0"/>
              <w:spacing w:line="240" w:lineRule="auto"/>
              <w:ind w:firstLine="0" w:firstLineChars="0"/>
              <w:jc w:val="center"/>
              <w:rPr>
                <w:w w:val="80"/>
                <w:sz w:val="21"/>
                <w:szCs w:val="21"/>
              </w:rPr>
            </w:pPr>
            <w:r>
              <w:rPr>
                <w:w w:val="80"/>
                <w:sz w:val="21"/>
                <w:szCs w:val="21"/>
              </w:rPr>
              <w:t>同时工作系数</w:t>
            </w:r>
          </w:p>
        </w:tc>
        <w:tc>
          <w:tcPr>
            <w:tcW w:w="343" w:type="pct"/>
            <w:vAlign w:val="center"/>
          </w:tcPr>
          <w:p w14:paraId="654D909E">
            <w:pPr>
              <w:snapToGrid w:val="0"/>
              <w:spacing w:line="240" w:lineRule="auto"/>
              <w:ind w:firstLine="0" w:firstLineChars="0"/>
              <w:jc w:val="center"/>
              <w:rPr>
                <w:w w:val="80"/>
                <w:sz w:val="21"/>
                <w:szCs w:val="21"/>
              </w:rPr>
            </w:pPr>
            <w:r>
              <w:rPr>
                <w:w w:val="80"/>
                <w:sz w:val="21"/>
                <w:szCs w:val="21"/>
              </w:rPr>
              <w:t>磨损系数</w:t>
            </w:r>
          </w:p>
        </w:tc>
        <w:tc>
          <w:tcPr>
            <w:tcW w:w="522" w:type="pct"/>
            <w:vAlign w:val="center"/>
          </w:tcPr>
          <w:p w14:paraId="6BB1D9DC">
            <w:pPr>
              <w:snapToGrid w:val="0"/>
              <w:spacing w:line="240" w:lineRule="auto"/>
              <w:ind w:firstLine="0" w:firstLineChars="0"/>
              <w:jc w:val="center"/>
              <w:rPr>
                <w:sz w:val="21"/>
                <w:szCs w:val="21"/>
              </w:rPr>
            </w:pPr>
            <w:r>
              <w:rPr>
                <w:rFonts w:hint="eastAsia"/>
                <w:w w:val="80"/>
                <w:sz w:val="21"/>
                <w:szCs w:val="21"/>
              </w:rPr>
              <w:t>风压(MPa)</w:t>
            </w:r>
          </w:p>
        </w:tc>
        <w:tc>
          <w:tcPr>
            <w:tcW w:w="579" w:type="pct"/>
            <w:vAlign w:val="center"/>
          </w:tcPr>
          <w:p w14:paraId="20FFAC4F">
            <w:pPr>
              <w:snapToGrid w:val="0"/>
              <w:spacing w:line="240" w:lineRule="auto"/>
              <w:ind w:firstLine="0" w:firstLineChars="0"/>
              <w:jc w:val="center"/>
              <w:rPr>
                <w:w w:val="80"/>
                <w:sz w:val="21"/>
                <w:szCs w:val="21"/>
              </w:rPr>
            </w:pPr>
            <w:r>
              <w:rPr>
                <w:w w:val="80"/>
                <w:sz w:val="21"/>
                <w:szCs w:val="21"/>
              </w:rPr>
              <w:t>合计</w:t>
            </w:r>
          </w:p>
          <w:p w14:paraId="0B820F05">
            <w:pPr>
              <w:snapToGrid w:val="0"/>
              <w:spacing w:line="240" w:lineRule="auto"/>
              <w:ind w:firstLine="0" w:firstLineChars="0"/>
              <w:jc w:val="center"/>
              <w:rPr>
                <w:w w:val="80"/>
                <w:sz w:val="21"/>
                <w:szCs w:val="21"/>
              </w:rPr>
            </w:pP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r>
      <w:tr w14:paraId="6B83E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2E826E4E">
            <w:pPr>
              <w:snapToGrid w:val="0"/>
              <w:spacing w:line="240" w:lineRule="auto"/>
              <w:ind w:left="-140" w:leftChars="-50" w:right="-140" w:rightChars="-50" w:firstLine="0" w:firstLineChars="0"/>
              <w:jc w:val="center"/>
              <w:rPr>
                <w:w w:val="80"/>
                <w:sz w:val="21"/>
                <w:szCs w:val="21"/>
              </w:rPr>
            </w:pPr>
            <w:r>
              <w:rPr>
                <w:rFonts w:hint="eastAsia"/>
                <w:w w:val="80"/>
                <w:sz w:val="21"/>
                <w:szCs w:val="21"/>
              </w:rPr>
              <w:t>1</w:t>
            </w:r>
          </w:p>
        </w:tc>
        <w:tc>
          <w:tcPr>
            <w:tcW w:w="1662" w:type="pct"/>
            <w:vAlign w:val="center"/>
          </w:tcPr>
          <w:p w14:paraId="5CCE7A67">
            <w:pPr>
              <w:snapToGrid w:val="0"/>
              <w:spacing w:line="240" w:lineRule="auto"/>
              <w:ind w:firstLine="0" w:firstLineChars="0"/>
              <w:jc w:val="left"/>
              <w:rPr>
                <w:w w:val="80"/>
                <w:sz w:val="21"/>
                <w:szCs w:val="21"/>
              </w:rPr>
            </w:pPr>
            <w:r>
              <w:rPr>
                <w:rFonts w:hint="eastAsia"/>
                <w:w w:val="80"/>
                <w:sz w:val="21"/>
                <w:szCs w:val="21"/>
              </w:rPr>
              <w:t>移动式空压机供气</w:t>
            </w:r>
          </w:p>
        </w:tc>
        <w:tc>
          <w:tcPr>
            <w:tcW w:w="349" w:type="pct"/>
            <w:vAlign w:val="center"/>
          </w:tcPr>
          <w:p w14:paraId="783AB9F9">
            <w:pPr>
              <w:snapToGrid w:val="0"/>
              <w:spacing w:line="240" w:lineRule="auto"/>
              <w:ind w:firstLine="0" w:firstLineChars="0"/>
              <w:jc w:val="center"/>
              <w:rPr>
                <w:w w:val="80"/>
                <w:sz w:val="21"/>
                <w:szCs w:val="21"/>
              </w:rPr>
            </w:pPr>
          </w:p>
        </w:tc>
        <w:tc>
          <w:tcPr>
            <w:tcW w:w="781" w:type="pct"/>
            <w:vAlign w:val="center"/>
          </w:tcPr>
          <w:p w14:paraId="7FFD8F9F">
            <w:pPr>
              <w:snapToGrid w:val="0"/>
              <w:spacing w:line="240" w:lineRule="auto"/>
              <w:ind w:firstLine="0" w:firstLineChars="0"/>
              <w:jc w:val="center"/>
              <w:rPr>
                <w:w w:val="80"/>
                <w:sz w:val="21"/>
                <w:szCs w:val="21"/>
              </w:rPr>
            </w:pPr>
          </w:p>
        </w:tc>
        <w:tc>
          <w:tcPr>
            <w:tcW w:w="478" w:type="pct"/>
            <w:vAlign w:val="center"/>
          </w:tcPr>
          <w:p w14:paraId="3D7BC4DE">
            <w:pPr>
              <w:snapToGrid w:val="0"/>
              <w:spacing w:line="240" w:lineRule="auto"/>
              <w:ind w:firstLine="0" w:firstLineChars="0"/>
              <w:jc w:val="center"/>
              <w:rPr>
                <w:w w:val="80"/>
                <w:sz w:val="21"/>
                <w:szCs w:val="21"/>
              </w:rPr>
            </w:pPr>
          </w:p>
        </w:tc>
        <w:tc>
          <w:tcPr>
            <w:tcW w:w="343" w:type="pct"/>
            <w:vAlign w:val="center"/>
          </w:tcPr>
          <w:p w14:paraId="503C4719">
            <w:pPr>
              <w:snapToGrid w:val="0"/>
              <w:spacing w:line="240" w:lineRule="auto"/>
              <w:ind w:firstLine="0" w:firstLineChars="0"/>
              <w:jc w:val="center"/>
              <w:rPr>
                <w:w w:val="80"/>
                <w:sz w:val="21"/>
                <w:szCs w:val="21"/>
              </w:rPr>
            </w:pPr>
          </w:p>
        </w:tc>
        <w:tc>
          <w:tcPr>
            <w:tcW w:w="522" w:type="pct"/>
            <w:vAlign w:val="center"/>
          </w:tcPr>
          <w:p w14:paraId="33806ABE">
            <w:pPr>
              <w:snapToGrid w:val="0"/>
              <w:spacing w:line="240" w:lineRule="auto"/>
              <w:ind w:firstLine="0" w:firstLineChars="0"/>
              <w:jc w:val="center"/>
              <w:rPr>
                <w:w w:val="80"/>
                <w:sz w:val="21"/>
                <w:szCs w:val="21"/>
              </w:rPr>
            </w:pPr>
          </w:p>
        </w:tc>
        <w:tc>
          <w:tcPr>
            <w:tcW w:w="579" w:type="pct"/>
            <w:vAlign w:val="center"/>
          </w:tcPr>
          <w:p w14:paraId="608BBAA3">
            <w:pPr>
              <w:snapToGrid w:val="0"/>
              <w:spacing w:line="240" w:lineRule="auto"/>
              <w:ind w:firstLine="0" w:firstLineChars="0"/>
              <w:jc w:val="center"/>
              <w:rPr>
                <w:w w:val="80"/>
                <w:sz w:val="21"/>
                <w:szCs w:val="21"/>
              </w:rPr>
            </w:pPr>
          </w:p>
        </w:tc>
      </w:tr>
      <w:tr w14:paraId="421F5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3D6411A9">
            <w:pPr>
              <w:snapToGrid w:val="0"/>
              <w:spacing w:line="240" w:lineRule="auto"/>
              <w:ind w:firstLine="0" w:firstLineChars="0"/>
              <w:jc w:val="center"/>
              <w:rPr>
                <w:w w:val="80"/>
                <w:sz w:val="21"/>
                <w:szCs w:val="21"/>
              </w:rPr>
            </w:pPr>
            <w:r>
              <w:rPr>
                <w:w w:val="80"/>
                <w:sz w:val="21"/>
                <w:szCs w:val="21"/>
              </w:rPr>
              <w:t>1</w:t>
            </w:r>
            <w:r>
              <w:rPr>
                <w:rFonts w:hint="eastAsia"/>
                <w:w w:val="80"/>
                <w:sz w:val="21"/>
                <w:szCs w:val="21"/>
              </w:rPr>
              <w:t>.1</w:t>
            </w:r>
          </w:p>
        </w:tc>
        <w:tc>
          <w:tcPr>
            <w:tcW w:w="1662" w:type="pct"/>
            <w:vAlign w:val="center"/>
          </w:tcPr>
          <w:p w14:paraId="43066506">
            <w:pPr>
              <w:snapToGrid w:val="0"/>
              <w:spacing w:line="240" w:lineRule="auto"/>
              <w:ind w:firstLine="0" w:firstLineChars="0"/>
              <w:jc w:val="left"/>
              <w:rPr>
                <w:w w:val="80"/>
                <w:sz w:val="21"/>
                <w:szCs w:val="21"/>
              </w:rPr>
            </w:pPr>
            <w:r>
              <w:rPr>
                <w:w w:val="80"/>
                <w:sz w:val="21"/>
                <w:szCs w:val="21"/>
              </w:rPr>
              <w:t>YSP-45凿岩机</w:t>
            </w:r>
          </w:p>
        </w:tc>
        <w:tc>
          <w:tcPr>
            <w:tcW w:w="349" w:type="pct"/>
            <w:vAlign w:val="center"/>
          </w:tcPr>
          <w:p w14:paraId="675E6ED8">
            <w:pPr>
              <w:snapToGrid w:val="0"/>
              <w:spacing w:line="240" w:lineRule="auto"/>
              <w:ind w:firstLine="0" w:firstLineChars="0"/>
              <w:jc w:val="center"/>
              <w:rPr>
                <w:w w:val="80"/>
                <w:sz w:val="21"/>
                <w:szCs w:val="21"/>
              </w:rPr>
            </w:pPr>
            <w:r>
              <w:rPr>
                <w:rFonts w:hint="eastAsia"/>
                <w:w w:val="80"/>
                <w:sz w:val="21"/>
                <w:szCs w:val="21"/>
              </w:rPr>
              <w:t>6</w:t>
            </w:r>
          </w:p>
        </w:tc>
        <w:tc>
          <w:tcPr>
            <w:tcW w:w="781" w:type="pct"/>
            <w:vAlign w:val="center"/>
          </w:tcPr>
          <w:p w14:paraId="2CCF423D">
            <w:pPr>
              <w:snapToGrid w:val="0"/>
              <w:spacing w:line="240" w:lineRule="auto"/>
              <w:ind w:firstLine="0" w:firstLineChars="0"/>
              <w:jc w:val="center"/>
              <w:rPr>
                <w:w w:val="80"/>
                <w:sz w:val="21"/>
                <w:szCs w:val="21"/>
              </w:rPr>
            </w:pPr>
            <w:r>
              <w:rPr>
                <w:w w:val="80"/>
                <w:sz w:val="21"/>
                <w:szCs w:val="21"/>
              </w:rPr>
              <w:t>5</w:t>
            </w:r>
          </w:p>
        </w:tc>
        <w:tc>
          <w:tcPr>
            <w:tcW w:w="478" w:type="pct"/>
            <w:vAlign w:val="center"/>
          </w:tcPr>
          <w:p w14:paraId="262CFBF9">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26CB42D2">
            <w:pPr>
              <w:snapToGrid w:val="0"/>
              <w:spacing w:line="240" w:lineRule="auto"/>
              <w:ind w:firstLine="0" w:firstLineChars="0"/>
              <w:jc w:val="center"/>
              <w:rPr>
                <w:w w:val="80"/>
                <w:sz w:val="21"/>
                <w:szCs w:val="21"/>
              </w:rPr>
            </w:pPr>
            <w:r>
              <w:rPr>
                <w:w w:val="80"/>
                <w:sz w:val="21"/>
                <w:szCs w:val="21"/>
              </w:rPr>
              <w:t>1.15</w:t>
            </w:r>
          </w:p>
        </w:tc>
        <w:tc>
          <w:tcPr>
            <w:tcW w:w="522" w:type="pct"/>
            <w:vAlign w:val="center"/>
          </w:tcPr>
          <w:p w14:paraId="5ECF3114">
            <w:pPr>
              <w:snapToGrid w:val="0"/>
              <w:spacing w:line="240" w:lineRule="auto"/>
              <w:ind w:firstLine="0" w:firstLineChars="0"/>
              <w:jc w:val="center"/>
              <w:rPr>
                <w:w w:val="80"/>
                <w:sz w:val="21"/>
                <w:szCs w:val="21"/>
              </w:rPr>
            </w:pPr>
            <w:r>
              <w:rPr>
                <w:rFonts w:hint="eastAsia"/>
                <w:w w:val="80"/>
                <w:sz w:val="21"/>
                <w:szCs w:val="21"/>
              </w:rPr>
              <w:t>0.5</w:t>
            </w:r>
          </w:p>
        </w:tc>
        <w:tc>
          <w:tcPr>
            <w:tcW w:w="579" w:type="pct"/>
            <w:vAlign w:val="center"/>
          </w:tcPr>
          <w:p w14:paraId="4D9AAE59">
            <w:pPr>
              <w:snapToGrid w:val="0"/>
              <w:spacing w:line="240" w:lineRule="auto"/>
              <w:ind w:firstLine="0" w:firstLineChars="0"/>
              <w:jc w:val="center"/>
              <w:rPr>
                <w:w w:val="80"/>
                <w:sz w:val="21"/>
                <w:szCs w:val="21"/>
              </w:rPr>
            </w:pPr>
            <w:r>
              <w:rPr>
                <w:rFonts w:hint="eastAsia"/>
                <w:w w:val="80"/>
                <w:sz w:val="21"/>
                <w:szCs w:val="21"/>
              </w:rPr>
              <w:t>17.25</w:t>
            </w:r>
          </w:p>
        </w:tc>
      </w:tr>
      <w:tr w14:paraId="41D54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849670C">
            <w:pPr>
              <w:snapToGrid w:val="0"/>
              <w:spacing w:line="240" w:lineRule="auto"/>
              <w:ind w:firstLine="0" w:firstLineChars="0"/>
              <w:jc w:val="center"/>
              <w:rPr>
                <w:w w:val="80"/>
                <w:sz w:val="21"/>
                <w:szCs w:val="21"/>
              </w:rPr>
            </w:pPr>
            <w:r>
              <w:rPr>
                <w:rFonts w:hint="eastAsia"/>
                <w:w w:val="80"/>
                <w:sz w:val="21"/>
                <w:szCs w:val="21"/>
              </w:rPr>
              <w:t>1.2</w:t>
            </w:r>
          </w:p>
        </w:tc>
        <w:tc>
          <w:tcPr>
            <w:tcW w:w="1662" w:type="pct"/>
            <w:vAlign w:val="center"/>
          </w:tcPr>
          <w:p w14:paraId="4303086F">
            <w:pPr>
              <w:snapToGrid w:val="0"/>
              <w:spacing w:line="240" w:lineRule="auto"/>
              <w:ind w:firstLine="0" w:firstLineChars="0"/>
              <w:jc w:val="left"/>
              <w:rPr>
                <w:w w:val="80"/>
                <w:sz w:val="21"/>
                <w:szCs w:val="21"/>
              </w:rPr>
            </w:pPr>
            <w:r>
              <w:rPr>
                <w:w w:val="80"/>
                <w:sz w:val="21"/>
                <w:szCs w:val="21"/>
              </w:rPr>
              <w:t>KQG-150</w:t>
            </w:r>
            <w:r>
              <w:rPr>
                <w:rFonts w:hint="eastAsia"/>
                <w:w w:val="80"/>
                <w:sz w:val="21"/>
                <w:szCs w:val="21"/>
              </w:rPr>
              <w:t>采矿凿岩台车</w:t>
            </w:r>
          </w:p>
        </w:tc>
        <w:tc>
          <w:tcPr>
            <w:tcW w:w="349" w:type="pct"/>
            <w:vAlign w:val="center"/>
          </w:tcPr>
          <w:p w14:paraId="66675254">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24CE4FB6">
            <w:pPr>
              <w:snapToGrid w:val="0"/>
              <w:spacing w:line="240" w:lineRule="auto"/>
              <w:ind w:firstLine="0" w:firstLineChars="0"/>
              <w:jc w:val="center"/>
              <w:rPr>
                <w:w w:val="80"/>
                <w:sz w:val="21"/>
                <w:szCs w:val="21"/>
              </w:rPr>
            </w:pPr>
            <w:r>
              <w:rPr>
                <w:rFonts w:hint="eastAsia"/>
                <w:w w:val="80"/>
                <w:sz w:val="21"/>
                <w:szCs w:val="21"/>
              </w:rPr>
              <w:t>17.7</w:t>
            </w:r>
          </w:p>
        </w:tc>
        <w:tc>
          <w:tcPr>
            <w:tcW w:w="478" w:type="pct"/>
            <w:vAlign w:val="center"/>
          </w:tcPr>
          <w:p w14:paraId="19D4C1E0">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121E702A">
            <w:pPr>
              <w:snapToGrid w:val="0"/>
              <w:spacing w:line="240" w:lineRule="auto"/>
              <w:ind w:firstLine="0" w:firstLineChars="0"/>
              <w:jc w:val="center"/>
              <w:rPr>
                <w:w w:val="80"/>
                <w:sz w:val="21"/>
                <w:szCs w:val="21"/>
              </w:rPr>
            </w:pPr>
            <w:r>
              <w:rPr>
                <w:rFonts w:hint="eastAsia"/>
                <w:w w:val="80"/>
                <w:sz w:val="21"/>
                <w:szCs w:val="21"/>
              </w:rPr>
              <w:t>1.15</w:t>
            </w:r>
          </w:p>
        </w:tc>
        <w:tc>
          <w:tcPr>
            <w:tcW w:w="522" w:type="pct"/>
            <w:vAlign w:val="center"/>
          </w:tcPr>
          <w:p w14:paraId="34C1C12B">
            <w:pPr>
              <w:snapToGrid w:val="0"/>
              <w:spacing w:line="240" w:lineRule="auto"/>
              <w:ind w:firstLine="0" w:firstLineChars="0"/>
              <w:jc w:val="center"/>
              <w:rPr>
                <w:w w:val="80"/>
                <w:sz w:val="21"/>
                <w:szCs w:val="21"/>
              </w:rPr>
            </w:pPr>
            <w:r>
              <w:rPr>
                <w:rFonts w:hint="eastAsia"/>
                <w:w w:val="80"/>
                <w:sz w:val="21"/>
                <w:szCs w:val="21"/>
              </w:rPr>
              <w:t>1.6</w:t>
            </w:r>
          </w:p>
        </w:tc>
        <w:tc>
          <w:tcPr>
            <w:tcW w:w="579" w:type="pct"/>
            <w:vAlign w:val="center"/>
          </w:tcPr>
          <w:p w14:paraId="081C5429">
            <w:pPr>
              <w:snapToGrid w:val="0"/>
              <w:spacing w:line="240" w:lineRule="auto"/>
              <w:ind w:firstLine="0" w:firstLineChars="0"/>
              <w:jc w:val="center"/>
              <w:rPr>
                <w:w w:val="80"/>
                <w:sz w:val="21"/>
                <w:szCs w:val="21"/>
              </w:rPr>
            </w:pPr>
            <w:r>
              <w:rPr>
                <w:rFonts w:hint="eastAsia"/>
                <w:w w:val="80"/>
                <w:sz w:val="21"/>
                <w:szCs w:val="21"/>
              </w:rPr>
              <w:t>20.36</w:t>
            </w:r>
          </w:p>
        </w:tc>
      </w:tr>
      <w:tr w14:paraId="0E527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2EC19727">
            <w:pPr>
              <w:snapToGrid w:val="0"/>
              <w:spacing w:line="240" w:lineRule="auto"/>
              <w:ind w:firstLine="0" w:firstLineChars="0"/>
              <w:jc w:val="center"/>
              <w:rPr>
                <w:w w:val="80"/>
                <w:sz w:val="21"/>
                <w:szCs w:val="21"/>
              </w:rPr>
            </w:pPr>
          </w:p>
        </w:tc>
        <w:tc>
          <w:tcPr>
            <w:tcW w:w="4135" w:type="pct"/>
            <w:gridSpan w:val="6"/>
            <w:vAlign w:val="center"/>
          </w:tcPr>
          <w:p w14:paraId="53D08EF4">
            <w:pPr>
              <w:snapToGrid w:val="0"/>
              <w:spacing w:line="240" w:lineRule="auto"/>
              <w:ind w:firstLine="0" w:firstLineChars="0"/>
              <w:jc w:val="center"/>
              <w:rPr>
                <w:w w:val="80"/>
                <w:sz w:val="21"/>
                <w:szCs w:val="21"/>
              </w:rPr>
            </w:pPr>
            <w:r>
              <w:rPr>
                <w:rFonts w:hint="eastAsia"/>
                <w:w w:val="80"/>
                <w:sz w:val="21"/>
                <w:szCs w:val="21"/>
              </w:rPr>
              <w:t>合  计</w:t>
            </w:r>
          </w:p>
        </w:tc>
        <w:tc>
          <w:tcPr>
            <w:tcW w:w="579" w:type="pct"/>
            <w:vAlign w:val="center"/>
          </w:tcPr>
          <w:p w14:paraId="0309140A">
            <w:pPr>
              <w:snapToGrid w:val="0"/>
              <w:spacing w:line="240" w:lineRule="auto"/>
              <w:ind w:firstLine="0" w:firstLineChars="0"/>
              <w:jc w:val="center"/>
              <w:rPr>
                <w:w w:val="80"/>
                <w:sz w:val="21"/>
                <w:szCs w:val="21"/>
              </w:rPr>
            </w:pPr>
            <w:r>
              <w:rPr>
                <w:rFonts w:hint="eastAsia"/>
                <w:w w:val="80"/>
                <w:sz w:val="21"/>
                <w:szCs w:val="21"/>
              </w:rPr>
              <w:t>37.61</w:t>
            </w:r>
          </w:p>
        </w:tc>
      </w:tr>
      <w:tr w14:paraId="0EA40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0DCFB1EB">
            <w:pPr>
              <w:snapToGrid w:val="0"/>
              <w:spacing w:line="240" w:lineRule="auto"/>
              <w:ind w:firstLine="0" w:firstLineChars="0"/>
              <w:jc w:val="center"/>
              <w:rPr>
                <w:w w:val="80"/>
                <w:sz w:val="21"/>
                <w:szCs w:val="21"/>
              </w:rPr>
            </w:pPr>
            <w:r>
              <w:rPr>
                <w:rFonts w:hint="eastAsia"/>
                <w:w w:val="80"/>
                <w:sz w:val="21"/>
                <w:szCs w:val="21"/>
              </w:rPr>
              <w:t>2</w:t>
            </w:r>
          </w:p>
        </w:tc>
        <w:tc>
          <w:tcPr>
            <w:tcW w:w="1662" w:type="pct"/>
            <w:vAlign w:val="center"/>
          </w:tcPr>
          <w:p w14:paraId="73E931ED">
            <w:pPr>
              <w:snapToGrid w:val="0"/>
              <w:spacing w:line="240" w:lineRule="auto"/>
              <w:ind w:firstLine="0" w:firstLineChars="0"/>
              <w:jc w:val="left"/>
              <w:rPr>
                <w:w w:val="80"/>
                <w:sz w:val="21"/>
                <w:szCs w:val="21"/>
              </w:rPr>
            </w:pPr>
            <w:r>
              <w:rPr>
                <w:rFonts w:hint="eastAsia"/>
                <w:w w:val="80"/>
                <w:sz w:val="21"/>
                <w:szCs w:val="21"/>
              </w:rPr>
              <w:t>地表空压机站供气</w:t>
            </w:r>
          </w:p>
        </w:tc>
        <w:tc>
          <w:tcPr>
            <w:tcW w:w="349" w:type="pct"/>
            <w:vAlign w:val="center"/>
          </w:tcPr>
          <w:p w14:paraId="542D3BB8">
            <w:pPr>
              <w:snapToGrid w:val="0"/>
              <w:spacing w:line="240" w:lineRule="auto"/>
              <w:ind w:firstLine="0" w:firstLineChars="0"/>
              <w:jc w:val="center"/>
              <w:rPr>
                <w:w w:val="80"/>
                <w:sz w:val="21"/>
                <w:szCs w:val="21"/>
              </w:rPr>
            </w:pPr>
          </w:p>
        </w:tc>
        <w:tc>
          <w:tcPr>
            <w:tcW w:w="781" w:type="pct"/>
            <w:vAlign w:val="center"/>
          </w:tcPr>
          <w:p w14:paraId="6658EDF7">
            <w:pPr>
              <w:snapToGrid w:val="0"/>
              <w:spacing w:line="240" w:lineRule="auto"/>
              <w:ind w:firstLine="0" w:firstLineChars="0"/>
              <w:jc w:val="center"/>
              <w:rPr>
                <w:w w:val="80"/>
                <w:sz w:val="21"/>
                <w:szCs w:val="21"/>
              </w:rPr>
            </w:pPr>
          </w:p>
        </w:tc>
        <w:tc>
          <w:tcPr>
            <w:tcW w:w="478" w:type="pct"/>
            <w:vAlign w:val="center"/>
          </w:tcPr>
          <w:p w14:paraId="7CADFAB0">
            <w:pPr>
              <w:snapToGrid w:val="0"/>
              <w:spacing w:line="240" w:lineRule="auto"/>
              <w:ind w:firstLine="0" w:firstLineChars="0"/>
              <w:jc w:val="center"/>
              <w:rPr>
                <w:w w:val="80"/>
                <w:sz w:val="21"/>
                <w:szCs w:val="21"/>
              </w:rPr>
            </w:pPr>
          </w:p>
        </w:tc>
        <w:tc>
          <w:tcPr>
            <w:tcW w:w="343" w:type="pct"/>
            <w:vAlign w:val="center"/>
          </w:tcPr>
          <w:p w14:paraId="39772999">
            <w:pPr>
              <w:snapToGrid w:val="0"/>
              <w:spacing w:line="240" w:lineRule="auto"/>
              <w:ind w:firstLine="0" w:firstLineChars="0"/>
              <w:jc w:val="center"/>
              <w:rPr>
                <w:w w:val="80"/>
                <w:sz w:val="21"/>
                <w:szCs w:val="21"/>
              </w:rPr>
            </w:pPr>
          </w:p>
        </w:tc>
        <w:tc>
          <w:tcPr>
            <w:tcW w:w="522" w:type="pct"/>
            <w:vAlign w:val="center"/>
          </w:tcPr>
          <w:p w14:paraId="2B83AF92">
            <w:pPr>
              <w:snapToGrid w:val="0"/>
              <w:spacing w:line="240" w:lineRule="auto"/>
              <w:ind w:firstLine="0" w:firstLineChars="0"/>
              <w:jc w:val="center"/>
              <w:rPr>
                <w:w w:val="80"/>
                <w:sz w:val="21"/>
                <w:szCs w:val="21"/>
              </w:rPr>
            </w:pPr>
          </w:p>
        </w:tc>
        <w:tc>
          <w:tcPr>
            <w:tcW w:w="579" w:type="pct"/>
            <w:vAlign w:val="center"/>
          </w:tcPr>
          <w:p w14:paraId="75F33779">
            <w:pPr>
              <w:snapToGrid w:val="0"/>
              <w:spacing w:line="240" w:lineRule="auto"/>
              <w:ind w:firstLine="0" w:firstLineChars="0"/>
              <w:jc w:val="center"/>
              <w:rPr>
                <w:w w:val="80"/>
                <w:sz w:val="21"/>
                <w:szCs w:val="21"/>
              </w:rPr>
            </w:pPr>
          </w:p>
        </w:tc>
      </w:tr>
      <w:tr w14:paraId="1456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5FD224D">
            <w:pPr>
              <w:snapToGrid w:val="0"/>
              <w:spacing w:line="240" w:lineRule="auto"/>
              <w:ind w:firstLine="0" w:firstLineChars="0"/>
              <w:jc w:val="center"/>
              <w:rPr>
                <w:w w:val="80"/>
                <w:sz w:val="21"/>
                <w:szCs w:val="21"/>
              </w:rPr>
            </w:pPr>
            <w:r>
              <w:rPr>
                <w:rFonts w:hint="eastAsia"/>
                <w:w w:val="80"/>
                <w:sz w:val="21"/>
                <w:szCs w:val="21"/>
              </w:rPr>
              <w:t>2.1</w:t>
            </w:r>
          </w:p>
        </w:tc>
        <w:tc>
          <w:tcPr>
            <w:tcW w:w="1662" w:type="pct"/>
            <w:vAlign w:val="center"/>
          </w:tcPr>
          <w:p w14:paraId="1B19BC3E">
            <w:pPr>
              <w:snapToGrid w:val="0"/>
              <w:spacing w:line="240" w:lineRule="auto"/>
              <w:ind w:firstLine="0" w:firstLineChars="0"/>
              <w:jc w:val="left"/>
              <w:rPr>
                <w:w w:val="80"/>
                <w:sz w:val="21"/>
                <w:szCs w:val="21"/>
              </w:rPr>
            </w:pPr>
            <w:r>
              <w:rPr>
                <w:w w:val="80"/>
                <w:sz w:val="21"/>
                <w:szCs w:val="21"/>
              </w:rPr>
              <w:t>-</w:t>
            </w:r>
            <w:r>
              <w:rPr>
                <w:rFonts w:hint="eastAsia"/>
                <w:w w:val="80"/>
                <w:sz w:val="21"/>
                <w:szCs w:val="21"/>
              </w:rPr>
              <w:t>505</w:t>
            </w:r>
            <w:r>
              <w:rPr>
                <w:w w:val="80"/>
                <w:sz w:val="21"/>
                <w:szCs w:val="21"/>
              </w:rPr>
              <w:t>m</w:t>
            </w:r>
            <w:r>
              <w:rPr>
                <w:rFonts w:hint="eastAsia"/>
                <w:w w:val="80"/>
                <w:sz w:val="21"/>
                <w:szCs w:val="21"/>
              </w:rPr>
              <w:t>水平</w:t>
            </w:r>
            <w:r>
              <w:rPr>
                <w:w w:val="80"/>
                <w:sz w:val="21"/>
                <w:szCs w:val="21"/>
              </w:rPr>
              <w:t>矿石卸载</w:t>
            </w:r>
            <w:r>
              <w:rPr>
                <w:rFonts w:hint="eastAsia"/>
                <w:w w:val="80"/>
                <w:sz w:val="21"/>
                <w:szCs w:val="21"/>
              </w:rPr>
              <w:t>硐室</w:t>
            </w:r>
            <w:r>
              <w:rPr>
                <w:w w:val="80"/>
                <w:sz w:val="21"/>
                <w:szCs w:val="21"/>
              </w:rPr>
              <w:t>干雾抑尘</w:t>
            </w:r>
          </w:p>
        </w:tc>
        <w:tc>
          <w:tcPr>
            <w:tcW w:w="349" w:type="pct"/>
            <w:vAlign w:val="center"/>
          </w:tcPr>
          <w:p w14:paraId="455748F3">
            <w:pPr>
              <w:snapToGrid w:val="0"/>
              <w:spacing w:line="240" w:lineRule="auto"/>
              <w:ind w:firstLine="0" w:firstLineChars="0"/>
              <w:jc w:val="center"/>
              <w:rPr>
                <w:w w:val="80"/>
                <w:sz w:val="21"/>
                <w:szCs w:val="21"/>
              </w:rPr>
            </w:pPr>
            <w:r>
              <w:rPr>
                <w:w w:val="80"/>
                <w:sz w:val="21"/>
                <w:szCs w:val="21"/>
              </w:rPr>
              <w:t>2</w:t>
            </w:r>
          </w:p>
        </w:tc>
        <w:tc>
          <w:tcPr>
            <w:tcW w:w="781" w:type="pct"/>
            <w:vAlign w:val="center"/>
          </w:tcPr>
          <w:p w14:paraId="4096757C">
            <w:pPr>
              <w:snapToGrid w:val="0"/>
              <w:spacing w:line="240" w:lineRule="auto"/>
              <w:ind w:firstLine="0" w:firstLineChars="0"/>
              <w:jc w:val="center"/>
              <w:rPr>
                <w:w w:val="80"/>
                <w:sz w:val="21"/>
                <w:szCs w:val="21"/>
              </w:rPr>
            </w:pPr>
            <w:r>
              <w:rPr>
                <w:w w:val="80"/>
                <w:sz w:val="21"/>
                <w:szCs w:val="21"/>
              </w:rPr>
              <w:t>13</w:t>
            </w:r>
          </w:p>
        </w:tc>
        <w:tc>
          <w:tcPr>
            <w:tcW w:w="478" w:type="pct"/>
            <w:vAlign w:val="center"/>
          </w:tcPr>
          <w:p w14:paraId="6725DC67">
            <w:pPr>
              <w:snapToGrid w:val="0"/>
              <w:spacing w:line="240" w:lineRule="auto"/>
              <w:ind w:firstLine="0" w:firstLineChars="0"/>
              <w:jc w:val="center"/>
              <w:rPr>
                <w:w w:val="80"/>
                <w:sz w:val="21"/>
                <w:szCs w:val="21"/>
              </w:rPr>
            </w:pPr>
            <w:r>
              <w:rPr>
                <w:w w:val="80"/>
                <w:sz w:val="21"/>
                <w:szCs w:val="21"/>
              </w:rPr>
              <w:t>0.5</w:t>
            </w:r>
          </w:p>
        </w:tc>
        <w:tc>
          <w:tcPr>
            <w:tcW w:w="343" w:type="pct"/>
            <w:vAlign w:val="center"/>
          </w:tcPr>
          <w:p w14:paraId="32854AC3">
            <w:pPr>
              <w:snapToGrid w:val="0"/>
              <w:spacing w:line="240" w:lineRule="auto"/>
              <w:ind w:firstLine="0" w:firstLineChars="0"/>
              <w:jc w:val="center"/>
              <w:rPr>
                <w:w w:val="80"/>
                <w:sz w:val="21"/>
                <w:szCs w:val="21"/>
              </w:rPr>
            </w:pPr>
            <w:r>
              <w:rPr>
                <w:w w:val="80"/>
                <w:sz w:val="21"/>
                <w:szCs w:val="21"/>
              </w:rPr>
              <w:t>1.1</w:t>
            </w:r>
          </w:p>
        </w:tc>
        <w:tc>
          <w:tcPr>
            <w:tcW w:w="522" w:type="pct"/>
            <w:vAlign w:val="center"/>
          </w:tcPr>
          <w:p w14:paraId="3E91F188">
            <w:pPr>
              <w:snapToGrid w:val="0"/>
              <w:spacing w:line="240" w:lineRule="auto"/>
              <w:ind w:firstLine="0" w:firstLineChars="0"/>
              <w:jc w:val="center"/>
              <w:rPr>
                <w:w w:val="80"/>
                <w:sz w:val="21"/>
                <w:szCs w:val="21"/>
              </w:rPr>
            </w:pPr>
            <w:r>
              <w:rPr>
                <w:rFonts w:hint="eastAsia"/>
                <w:w w:val="80"/>
                <w:sz w:val="21"/>
                <w:szCs w:val="21"/>
              </w:rPr>
              <w:t>0.6~0.8</w:t>
            </w:r>
          </w:p>
        </w:tc>
        <w:tc>
          <w:tcPr>
            <w:tcW w:w="579" w:type="pct"/>
            <w:vAlign w:val="center"/>
          </w:tcPr>
          <w:p w14:paraId="7FEBCE50">
            <w:pPr>
              <w:snapToGrid w:val="0"/>
              <w:spacing w:line="240" w:lineRule="auto"/>
              <w:ind w:firstLine="0" w:firstLineChars="0"/>
              <w:jc w:val="center"/>
              <w:rPr>
                <w:w w:val="80"/>
                <w:sz w:val="21"/>
                <w:szCs w:val="21"/>
              </w:rPr>
            </w:pPr>
            <w:r>
              <w:rPr>
                <w:w w:val="80"/>
                <w:sz w:val="21"/>
                <w:szCs w:val="21"/>
              </w:rPr>
              <w:t>14.30</w:t>
            </w:r>
          </w:p>
        </w:tc>
      </w:tr>
      <w:tr w14:paraId="03030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5F13CA8E">
            <w:pPr>
              <w:snapToGrid w:val="0"/>
              <w:spacing w:line="240" w:lineRule="auto"/>
              <w:ind w:firstLine="0" w:firstLineChars="0"/>
              <w:jc w:val="center"/>
              <w:rPr>
                <w:w w:val="80"/>
                <w:sz w:val="21"/>
                <w:szCs w:val="21"/>
              </w:rPr>
            </w:pPr>
            <w:r>
              <w:rPr>
                <w:rFonts w:hint="eastAsia"/>
                <w:w w:val="80"/>
                <w:sz w:val="21"/>
                <w:szCs w:val="21"/>
              </w:rPr>
              <w:t>2.2</w:t>
            </w:r>
          </w:p>
        </w:tc>
        <w:tc>
          <w:tcPr>
            <w:tcW w:w="1662" w:type="pct"/>
            <w:vAlign w:val="center"/>
          </w:tcPr>
          <w:p w14:paraId="154E9D21">
            <w:pPr>
              <w:snapToGrid w:val="0"/>
              <w:spacing w:line="240" w:lineRule="auto"/>
              <w:ind w:firstLine="0" w:firstLineChars="0"/>
              <w:jc w:val="left"/>
              <w:rPr>
                <w:w w:val="80"/>
                <w:sz w:val="21"/>
                <w:szCs w:val="21"/>
              </w:rPr>
            </w:pPr>
            <w:r>
              <w:rPr>
                <w:rFonts w:hint="eastAsia"/>
                <w:w w:val="80"/>
                <w:sz w:val="21"/>
                <w:szCs w:val="21"/>
              </w:rPr>
              <w:t>-505m水平污风处理系统</w:t>
            </w:r>
          </w:p>
        </w:tc>
        <w:tc>
          <w:tcPr>
            <w:tcW w:w="349" w:type="pct"/>
            <w:vAlign w:val="center"/>
          </w:tcPr>
          <w:p w14:paraId="03EEB1EA">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772C16F3">
            <w:pPr>
              <w:snapToGrid w:val="0"/>
              <w:spacing w:line="240" w:lineRule="auto"/>
              <w:ind w:firstLine="0" w:firstLineChars="0"/>
              <w:jc w:val="center"/>
              <w:rPr>
                <w:w w:val="80"/>
                <w:sz w:val="21"/>
                <w:szCs w:val="21"/>
              </w:rPr>
            </w:pPr>
            <w:r>
              <w:rPr>
                <w:rFonts w:hint="eastAsia"/>
                <w:w w:val="80"/>
                <w:sz w:val="21"/>
                <w:szCs w:val="21"/>
              </w:rPr>
              <w:t>15</w:t>
            </w:r>
          </w:p>
        </w:tc>
        <w:tc>
          <w:tcPr>
            <w:tcW w:w="478" w:type="pct"/>
            <w:vAlign w:val="center"/>
          </w:tcPr>
          <w:p w14:paraId="71796A46">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59EF0553">
            <w:pPr>
              <w:snapToGrid w:val="0"/>
              <w:spacing w:line="240" w:lineRule="auto"/>
              <w:ind w:firstLine="0" w:firstLineChars="0"/>
              <w:jc w:val="center"/>
              <w:rPr>
                <w:w w:val="80"/>
                <w:sz w:val="21"/>
                <w:szCs w:val="21"/>
              </w:rPr>
            </w:pPr>
            <w:r>
              <w:rPr>
                <w:rFonts w:hint="eastAsia"/>
                <w:w w:val="80"/>
                <w:sz w:val="21"/>
                <w:szCs w:val="21"/>
              </w:rPr>
              <w:t>1.1</w:t>
            </w:r>
          </w:p>
        </w:tc>
        <w:tc>
          <w:tcPr>
            <w:tcW w:w="522" w:type="pct"/>
            <w:vAlign w:val="center"/>
          </w:tcPr>
          <w:p w14:paraId="41AC31C5">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05FE2CA2">
            <w:pPr>
              <w:snapToGrid w:val="0"/>
              <w:spacing w:line="240" w:lineRule="auto"/>
              <w:ind w:firstLine="0" w:firstLineChars="0"/>
              <w:jc w:val="center"/>
              <w:rPr>
                <w:w w:val="80"/>
                <w:sz w:val="21"/>
                <w:szCs w:val="21"/>
              </w:rPr>
            </w:pPr>
            <w:r>
              <w:rPr>
                <w:rFonts w:hint="eastAsia"/>
                <w:w w:val="80"/>
                <w:sz w:val="21"/>
                <w:szCs w:val="21"/>
              </w:rPr>
              <w:t>11.55</w:t>
            </w:r>
          </w:p>
        </w:tc>
      </w:tr>
      <w:tr w14:paraId="5B499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287" w:type="pct"/>
            <w:vAlign w:val="center"/>
          </w:tcPr>
          <w:p w14:paraId="25997034">
            <w:pPr>
              <w:snapToGrid w:val="0"/>
              <w:spacing w:line="240" w:lineRule="auto"/>
              <w:ind w:firstLine="0" w:firstLineChars="0"/>
              <w:jc w:val="center"/>
              <w:rPr>
                <w:w w:val="80"/>
                <w:sz w:val="21"/>
                <w:szCs w:val="21"/>
              </w:rPr>
            </w:pPr>
            <w:r>
              <w:rPr>
                <w:rFonts w:hint="eastAsia"/>
                <w:w w:val="80"/>
                <w:sz w:val="21"/>
                <w:szCs w:val="21"/>
              </w:rPr>
              <w:t>2.</w:t>
            </w:r>
            <w:r>
              <w:rPr>
                <w:w w:val="80"/>
                <w:sz w:val="21"/>
                <w:szCs w:val="21"/>
              </w:rPr>
              <w:t>3</w:t>
            </w:r>
          </w:p>
        </w:tc>
        <w:tc>
          <w:tcPr>
            <w:tcW w:w="1662" w:type="pct"/>
            <w:vAlign w:val="center"/>
          </w:tcPr>
          <w:p w14:paraId="0A724A3F">
            <w:pPr>
              <w:snapToGrid w:val="0"/>
              <w:spacing w:line="240" w:lineRule="auto"/>
              <w:ind w:firstLine="0" w:firstLineChars="0"/>
              <w:jc w:val="left"/>
              <w:rPr>
                <w:w w:val="80"/>
                <w:sz w:val="21"/>
                <w:szCs w:val="21"/>
              </w:rPr>
            </w:pPr>
            <w:r>
              <w:rPr>
                <w:w w:val="80"/>
                <w:sz w:val="21"/>
                <w:szCs w:val="21"/>
              </w:rPr>
              <w:t>-</w:t>
            </w:r>
            <w:r>
              <w:rPr>
                <w:rFonts w:hint="eastAsia"/>
                <w:w w:val="80"/>
                <w:sz w:val="21"/>
                <w:szCs w:val="21"/>
              </w:rPr>
              <w:t>565</w:t>
            </w:r>
            <w:r>
              <w:rPr>
                <w:w w:val="80"/>
                <w:sz w:val="21"/>
                <w:szCs w:val="21"/>
              </w:rPr>
              <w:t>m</w:t>
            </w:r>
            <w:r>
              <w:rPr>
                <w:rFonts w:hint="eastAsia"/>
                <w:w w:val="80"/>
                <w:sz w:val="21"/>
                <w:szCs w:val="21"/>
              </w:rPr>
              <w:t>水平</w:t>
            </w:r>
            <w:r>
              <w:rPr>
                <w:w w:val="80"/>
                <w:sz w:val="21"/>
                <w:szCs w:val="21"/>
              </w:rPr>
              <w:t>破碎硐室湿式除尘器</w:t>
            </w:r>
          </w:p>
        </w:tc>
        <w:tc>
          <w:tcPr>
            <w:tcW w:w="349" w:type="pct"/>
            <w:vAlign w:val="center"/>
          </w:tcPr>
          <w:p w14:paraId="5D9704B6">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059CB24E">
            <w:pPr>
              <w:snapToGrid w:val="0"/>
              <w:spacing w:line="240" w:lineRule="auto"/>
              <w:ind w:firstLine="0" w:firstLineChars="0"/>
              <w:jc w:val="center"/>
              <w:rPr>
                <w:w w:val="80"/>
                <w:sz w:val="21"/>
                <w:szCs w:val="21"/>
              </w:rPr>
            </w:pPr>
            <w:r>
              <w:rPr>
                <w:w w:val="80"/>
                <w:sz w:val="21"/>
                <w:szCs w:val="21"/>
              </w:rPr>
              <w:t>0.5</w:t>
            </w:r>
          </w:p>
        </w:tc>
        <w:tc>
          <w:tcPr>
            <w:tcW w:w="478" w:type="pct"/>
            <w:vAlign w:val="center"/>
          </w:tcPr>
          <w:p w14:paraId="67711B4C">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79311EF4">
            <w:pPr>
              <w:snapToGrid w:val="0"/>
              <w:spacing w:line="240" w:lineRule="auto"/>
              <w:ind w:firstLine="0" w:firstLineChars="0"/>
              <w:jc w:val="center"/>
              <w:rPr>
                <w:w w:val="80"/>
                <w:sz w:val="21"/>
                <w:szCs w:val="21"/>
              </w:rPr>
            </w:pPr>
            <w:r>
              <w:rPr>
                <w:w w:val="80"/>
                <w:sz w:val="21"/>
                <w:szCs w:val="21"/>
              </w:rPr>
              <w:t>1.1</w:t>
            </w:r>
          </w:p>
        </w:tc>
        <w:tc>
          <w:tcPr>
            <w:tcW w:w="522" w:type="pct"/>
            <w:vAlign w:val="center"/>
          </w:tcPr>
          <w:p w14:paraId="6C7D6981">
            <w:pPr>
              <w:snapToGrid w:val="0"/>
              <w:spacing w:line="240" w:lineRule="auto"/>
              <w:ind w:firstLine="0" w:firstLineChars="0"/>
              <w:jc w:val="center"/>
              <w:rPr>
                <w:w w:val="80"/>
                <w:sz w:val="21"/>
                <w:szCs w:val="21"/>
              </w:rPr>
            </w:pPr>
            <w:r>
              <w:rPr>
                <w:rFonts w:hint="eastAsia"/>
                <w:w w:val="80"/>
                <w:sz w:val="21"/>
                <w:szCs w:val="21"/>
              </w:rPr>
              <w:t>0.25~0.6</w:t>
            </w:r>
          </w:p>
        </w:tc>
        <w:tc>
          <w:tcPr>
            <w:tcW w:w="579" w:type="pct"/>
            <w:vAlign w:val="center"/>
          </w:tcPr>
          <w:p w14:paraId="2245653D">
            <w:pPr>
              <w:snapToGrid w:val="0"/>
              <w:spacing w:line="240" w:lineRule="auto"/>
              <w:ind w:firstLine="0" w:firstLineChars="0"/>
              <w:jc w:val="center"/>
              <w:rPr>
                <w:w w:val="80"/>
                <w:sz w:val="21"/>
                <w:szCs w:val="21"/>
              </w:rPr>
            </w:pPr>
            <w:r>
              <w:rPr>
                <w:w w:val="80"/>
                <w:sz w:val="21"/>
                <w:szCs w:val="21"/>
              </w:rPr>
              <w:t>0.39</w:t>
            </w:r>
          </w:p>
        </w:tc>
      </w:tr>
      <w:tr w14:paraId="1131A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30BAD37D">
            <w:pPr>
              <w:snapToGrid w:val="0"/>
              <w:spacing w:line="240" w:lineRule="auto"/>
              <w:ind w:firstLine="0" w:firstLineChars="0"/>
              <w:jc w:val="center"/>
              <w:rPr>
                <w:w w:val="80"/>
                <w:sz w:val="21"/>
                <w:szCs w:val="21"/>
              </w:rPr>
            </w:pPr>
            <w:r>
              <w:rPr>
                <w:rFonts w:hint="eastAsia"/>
                <w:w w:val="80"/>
                <w:sz w:val="21"/>
                <w:szCs w:val="21"/>
              </w:rPr>
              <w:t>2.</w:t>
            </w:r>
            <w:r>
              <w:rPr>
                <w:w w:val="80"/>
                <w:sz w:val="21"/>
                <w:szCs w:val="21"/>
              </w:rPr>
              <w:t>4</w:t>
            </w:r>
          </w:p>
        </w:tc>
        <w:tc>
          <w:tcPr>
            <w:tcW w:w="1662" w:type="pct"/>
            <w:vAlign w:val="center"/>
          </w:tcPr>
          <w:p w14:paraId="0A503775">
            <w:pPr>
              <w:snapToGrid w:val="0"/>
              <w:spacing w:line="240" w:lineRule="auto"/>
              <w:ind w:firstLine="0" w:firstLineChars="0"/>
              <w:jc w:val="left"/>
              <w:rPr>
                <w:w w:val="80"/>
                <w:sz w:val="21"/>
                <w:szCs w:val="21"/>
              </w:rPr>
            </w:pPr>
            <w:r>
              <w:rPr>
                <w:w w:val="80"/>
                <w:sz w:val="21"/>
                <w:szCs w:val="21"/>
              </w:rPr>
              <w:t>-</w:t>
            </w:r>
            <w:r>
              <w:rPr>
                <w:rFonts w:hint="eastAsia"/>
                <w:w w:val="80"/>
                <w:sz w:val="21"/>
                <w:szCs w:val="21"/>
              </w:rPr>
              <w:t>625</w:t>
            </w:r>
            <w:r>
              <w:rPr>
                <w:w w:val="80"/>
                <w:sz w:val="21"/>
                <w:szCs w:val="21"/>
              </w:rPr>
              <w:t>m皮带道水平湿式除尘器</w:t>
            </w:r>
          </w:p>
        </w:tc>
        <w:tc>
          <w:tcPr>
            <w:tcW w:w="349" w:type="pct"/>
            <w:vAlign w:val="center"/>
          </w:tcPr>
          <w:p w14:paraId="426C3D33">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4D74A21F">
            <w:pPr>
              <w:snapToGrid w:val="0"/>
              <w:spacing w:line="240" w:lineRule="auto"/>
              <w:ind w:firstLine="0" w:firstLineChars="0"/>
              <w:jc w:val="center"/>
              <w:rPr>
                <w:w w:val="80"/>
                <w:sz w:val="21"/>
                <w:szCs w:val="21"/>
              </w:rPr>
            </w:pPr>
            <w:r>
              <w:rPr>
                <w:w w:val="80"/>
                <w:sz w:val="21"/>
                <w:szCs w:val="21"/>
              </w:rPr>
              <w:t>0.5</w:t>
            </w:r>
          </w:p>
        </w:tc>
        <w:tc>
          <w:tcPr>
            <w:tcW w:w="478" w:type="pct"/>
            <w:vAlign w:val="center"/>
          </w:tcPr>
          <w:p w14:paraId="0E7C5BE0">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53DD6755">
            <w:pPr>
              <w:snapToGrid w:val="0"/>
              <w:spacing w:line="240" w:lineRule="auto"/>
              <w:ind w:firstLine="0" w:firstLineChars="0"/>
              <w:jc w:val="center"/>
              <w:rPr>
                <w:w w:val="80"/>
                <w:sz w:val="21"/>
                <w:szCs w:val="21"/>
              </w:rPr>
            </w:pPr>
            <w:r>
              <w:rPr>
                <w:w w:val="80"/>
                <w:sz w:val="21"/>
                <w:szCs w:val="21"/>
              </w:rPr>
              <w:t>1.1</w:t>
            </w:r>
          </w:p>
        </w:tc>
        <w:tc>
          <w:tcPr>
            <w:tcW w:w="522" w:type="pct"/>
            <w:vAlign w:val="center"/>
          </w:tcPr>
          <w:p w14:paraId="6FD2023D">
            <w:pPr>
              <w:snapToGrid w:val="0"/>
              <w:spacing w:line="240" w:lineRule="auto"/>
              <w:ind w:firstLine="0" w:firstLineChars="0"/>
              <w:jc w:val="center"/>
              <w:rPr>
                <w:w w:val="80"/>
                <w:sz w:val="21"/>
                <w:szCs w:val="21"/>
              </w:rPr>
            </w:pPr>
            <w:r>
              <w:rPr>
                <w:rFonts w:hint="eastAsia"/>
                <w:w w:val="80"/>
                <w:sz w:val="21"/>
                <w:szCs w:val="21"/>
              </w:rPr>
              <w:t>0.25~0.6</w:t>
            </w:r>
          </w:p>
        </w:tc>
        <w:tc>
          <w:tcPr>
            <w:tcW w:w="579" w:type="pct"/>
            <w:vAlign w:val="center"/>
          </w:tcPr>
          <w:p w14:paraId="66ACE09C">
            <w:pPr>
              <w:snapToGrid w:val="0"/>
              <w:spacing w:line="240" w:lineRule="auto"/>
              <w:ind w:firstLine="0" w:firstLineChars="0"/>
              <w:jc w:val="center"/>
              <w:rPr>
                <w:w w:val="80"/>
                <w:sz w:val="21"/>
                <w:szCs w:val="21"/>
              </w:rPr>
            </w:pPr>
            <w:r>
              <w:rPr>
                <w:w w:val="80"/>
                <w:sz w:val="21"/>
                <w:szCs w:val="21"/>
              </w:rPr>
              <w:t>0.39</w:t>
            </w:r>
          </w:p>
        </w:tc>
      </w:tr>
      <w:tr w14:paraId="5558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3860157C">
            <w:pPr>
              <w:snapToGrid w:val="0"/>
              <w:spacing w:line="240" w:lineRule="auto"/>
              <w:ind w:firstLine="0" w:firstLineChars="0"/>
              <w:jc w:val="center"/>
              <w:rPr>
                <w:w w:val="80"/>
                <w:sz w:val="21"/>
                <w:szCs w:val="21"/>
              </w:rPr>
            </w:pPr>
            <w:r>
              <w:rPr>
                <w:rFonts w:hint="eastAsia"/>
                <w:w w:val="80"/>
                <w:sz w:val="21"/>
                <w:szCs w:val="21"/>
              </w:rPr>
              <w:t>2.</w:t>
            </w:r>
            <w:r>
              <w:rPr>
                <w:w w:val="80"/>
                <w:sz w:val="21"/>
                <w:szCs w:val="21"/>
              </w:rPr>
              <w:t>5</w:t>
            </w:r>
          </w:p>
        </w:tc>
        <w:tc>
          <w:tcPr>
            <w:tcW w:w="1662" w:type="pct"/>
            <w:vAlign w:val="center"/>
          </w:tcPr>
          <w:p w14:paraId="59250B64">
            <w:pPr>
              <w:snapToGrid w:val="0"/>
              <w:spacing w:line="240" w:lineRule="auto"/>
              <w:ind w:firstLine="0" w:firstLineChars="0"/>
              <w:jc w:val="left"/>
              <w:rPr>
                <w:w w:val="80"/>
                <w:sz w:val="21"/>
                <w:szCs w:val="21"/>
              </w:rPr>
            </w:pPr>
            <w:r>
              <w:rPr>
                <w:rFonts w:hint="eastAsia"/>
                <w:w w:val="80"/>
                <w:sz w:val="21"/>
                <w:szCs w:val="21"/>
              </w:rPr>
              <w:t>无轨设备组装修理</w:t>
            </w:r>
            <w:r>
              <w:rPr>
                <w:w w:val="80"/>
                <w:sz w:val="21"/>
                <w:szCs w:val="21"/>
              </w:rPr>
              <w:t>硐室</w:t>
            </w:r>
          </w:p>
        </w:tc>
        <w:tc>
          <w:tcPr>
            <w:tcW w:w="349" w:type="pct"/>
            <w:vAlign w:val="center"/>
          </w:tcPr>
          <w:p w14:paraId="7D32D0E5">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2184CBAB">
            <w:pPr>
              <w:snapToGrid w:val="0"/>
              <w:spacing w:line="240" w:lineRule="auto"/>
              <w:ind w:firstLine="0" w:firstLineChars="0"/>
              <w:jc w:val="center"/>
              <w:rPr>
                <w:w w:val="80"/>
                <w:sz w:val="21"/>
                <w:szCs w:val="21"/>
              </w:rPr>
            </w:pPr>
            <w:r>
              <w:rPr>
                <w:w w:val="80"/>
                <w:sz w:val="21"/>
                <w:szCs w:val="21"/>
              </w:rPr>
              <w:t>2</w:t>
            </w:r>
          </w:p>
        </w:tc>
        <w:tc>
          <w:tcPr>
            <w:tcW w:w="478" w:type="pct"/>
            <w:vAlign w:val="center"/>
          </w:tcPr>
          <w:p w14:paraId="7E8616F0">
            <w:pPr>
              <w:snapToGrid w:val="0"/>
              <w:spacing w:line="240" w:lineRule="auto"/>
              <w:ind w:firstLine="0" w:firstLineChars="0"/>
              <w:jc w:val="center"/>
              <w:rPr>
                <w:w w:val="80"/>
                <w:sz w:val="21"/>
                <w:szCs w:val="21"/>
              </w:rPr>
            </w:pPr>
            <w:r>
              <w:rPr>
                <w:w w:val="80"/>
                <w:sz w:val="21"/>
                <w:szCs w:val="21"/>
              </w:rPr>
              <w:t>0.</w:t>
            </w:r>
            <w:r>
              <w:rPr>
                <w:rFonts w:hint="eastAsia"/>
                <w:w w:val="80"/>
                <w:sz w:val="21"/>
                <w:szCs w:val="21"/>
              </w:rPr>
              <w:t>5</w:t>
            </w:r>
          </w:p>
        </w:tc>
        <w:tc>
          <w:tcPr>
            <w:tcW w:w="343" w:type="pct"/>
            <w:vAlign w:val="center"/>
          </w:tcPr>
          <w:p w14:paraId="792B01C0">
            <w:pPr>
              <w:snapToGrid w:val="0"/>
              <w:spacing w:line="240" w:lineRule="auto"/>
              <w:ind w:firstLine="0" w:firstLineChars="0"/>
              <w:jc w:val="center"/>
              <w:rPr>
                <w:w w:val="80"/>
                <w:sz w:val="21"/>
                <w:szCs w:val="21"/>
              </w:rPr>
            </w:pPr>
            <w:r>
              <w:rPr>
                <w:w w:val="80"/>
                <w:sz w:val="21"/>
                <w:szCs w:val="21"/>
              </w:rPr>
              <w:t>1.1</w:t>
            </w:r>
          </w:p>
        </w:tc>
        <w:tc>
          <w:tcPr>
            <w:tcW w:w="522" w:type="pct"/>
            <w:vAlign w:val="center"/>
          </w:tcPr>
          <w:p w14:paraId="01EF19AA">
            <w:pPr>
              <w:snapToGrid w:val="0"/>
              <w:spacing w:line="240" w:lineRule="auto"/>
              <w:ind w:firstLine="0" w:firstLineChars="0"/>
              <w:jc w:val="center"/>
              <w:rPr>
                <w:w w:val="80"/>
                <w:sz w:val="21"/>
                <w:szCs w:val="21"/>
              </w:rPr>
            </w:pPr>
            <w:r>
              <w:rPr>
                <w:rFonts w:hint="eastAsia"/>
                <w:w w:val="80"/>
                <w:sz w:val="21"/>
                <w:szCs w:val="21"/>
              </w:rPr>
              <w:t>0.4~0.8</w:t>
            </w:r>
          </w:p>
        </w:tc>
        <w:tc>
          <w:tcPr>
            <w:tcW w:w="579" w:type="pct"/>
            <w:vAlign w:val="center"/>
          </w:tcPr>
          <w:p w14:paraId="4CB84C6C">
            <w:pPr>
              <w:snapToGrid w:val="0"/>
              <w:spacing w:line="240" w:lineRule="auto"/>
              <w:ind w:firstLine="0" w:firstLineChars="0"/>
              <w:jc w:val="center"/>
              <w:rPr>
                <w:w w:val="80"/>
                <w:sz w:val="21"/>
                <w:szCs w:val="21"/>
              </w:rPr>
            </w:pPr>
            <w:r>
              <w:rPr>
                <w:rFonts w:hint="eastAsia"/>
                <w:w w:val="80"/>
                <w:sz w:val="21"/>
                <w:szCs w:val="21"/>
              </w:rPr>
              <w:t>1.10</w:t>
            </w:r>
          </w:p>
        </w:tc>
      </w:tr>
      <w:tr w14:paraId="60351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793321E">
            <w:pPr>
              <w:snapToGrid w:val="0"/>
              <w:spacing w:line="240" w:lineRule="auto"/>
              <w:ind w:firstLine="0" w:firstLineChars="0"/>
              <w:jc w:val="center"/>
              <w:rPr>
                <w:w w:val="80"/>
                <w:sz w:val="21"/>
                <w:szCs w:val="21"/>
              </w:rPr>
            </w:pPr>
          </w:p>
        </w:tc>
        <w:tc>
          <w:tcPr>
            <w:tcW w:w="4135" w:type="pct"/>
            <w:gridSpan w:val="6"/>
            <w:vAlign w:val="center"/>
          </w:tcPr>
          <w:p w14:paraId="74F67AA4">
            <w:pPr>
              <w:snapToGrid w:val="0"/>
              <w:spacing w:line="240" w:lineRule="auto"/>
              <w:ind w:firstLine="0" w:firstLineChars="0"/>
              <w:jc w:val="center"/>
              <w:rPr>
                <w:w w:val="80"/>
                <w:sz w:val="21"/>
                <w:szCs w:val="21"/>
              </w:rPr>
            </w:pPr>
            <w:r>
              <w:rPr>
                <w:w w:val="80"/>
                <w:sz w:val="21"/>
                <w:szCs w:val="21"/>
              </w:rPr>
              <w:t>合  计</w:t>
            </w:r>
          </w:p>
        </w:tc>
        <w:tc>
          <w:tcPr>
            <w:tcW w:w="579" w:type="pct"/>
            <w:vAlign w:val="center"/>
          </w:tcPr>
          <w:p w14:paraId="2ECBEC4D">
            <w:pPr>
              <w:snapToGrid w:val="0"/>
              <w:spacing w:line="240" w:lineRule="auto"/>
              <w:ind w:firstLine="0" w:firstLineChars="0"/>
              <w:jc w:val="center"/>
              <w:rPr>
                <w:w w:val="80"/>
                <w:sz w:val="21"/>
                <w:szCs w:val="21"/>
              </w:rPr>
            </w:pPr>
            <w:r>
              <w:rPr>
                <w:rFonts w:hint="eastAsia"/>
                <w:w w:val="80"/>
                <w:sz w:val="21"/>
                <w:szCs w:val="21"/>
              </w:rPr>
              <w:t>27.73</w:t>
            </w:r>
          </w:p>
        </w:tc>
      </w:tr>
    </w:tbl>
    <w:p w14:paraId="37B7848F">
      <w:pPr>
        <w:ind w:firstLine="0" w:firstLineChars="0"/>
        <w:jc w:val="center"/>
        <w:rPr>
          <w:rFonts w:asciiTheme="minorHAnsi" w:hAnsiTheme="minorHAnsi" w:cstheme="minorHAnsi"/>
          <w:szCs w:val="28"/>
        </w:rPr>
      </w:pPr>
      <w:r>
        <w:rPr>
          <w:rFonts w:asciiTheme="minorHAnsi" w:hAnsiTheme="minorHAnsi" w:cstheme="minorHAnsi"/>
          <w:szCs w:val="28"/>
        </w:rPr>
        <w:t xml:space="preserve">表2.4-17  </w:t>
      </w:r>
      <w:r>
        <w:rPr>
          <w:rFonts w:hint="eastAsia" w:asciiTheme="minorHAnsi" w:hAnsiTheme="minorHAnsi" w:cstheme="minorHAnsi"/>
          <w:szCs w:val="28"/>
        </w:rPr>
        <w:t>地表用气设备及耗气量表</w:t>
      </w:r>
    </w:p>
    <w:tbl>
      <w:tblPr>
        <w:tblStyle w:val="54"/>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3195"/>
        <w:gridCol w:w="671"/>
        <w:gridCol w:w="1502"/>
        <w:gridCol w:w="919"/>
        <w:gridCol w:w="660"/>
        <w:gridCol w:w="1006"/>
        <w:gridCol w:w="1111"/>
      </w:tblGrid>
      <w:tr w14:paraId="3BA6E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54" w:hRule="atLeast"/>
          <w:tblHeader/>
          <w:jc w:val="center"/>
        </w:trPr>
        <w:tc>
          <w:tcPr>
            <w:tcW w:w="287" w:type="pct"/>
            <w:vAlign w:val="center"/>
          </w:tcPr>
          <w:p w14:paraId="0FB9AC64">
            <w:pPr>
              <w:snapToGrid w:val="0"/>
              <w:spacing w:line="240" w:lineRule="auto"/>
              <w:ind w:left="-140" w:leftChars="-50" w:right="-140" w:rightChars="-50" w:firstLine="0" w:firstLineChars="0"/>
              <w:jc w:val="center"/>
              <w:rPr>
                <w:w w:val="80"/>
                <w:sz w:val="21"/>
                <w:szCs w:val="21"/>
              </w:rPr>
            </w:pPr>
            <w:r>
              <w:rPr>
                <w:w w:val="80"/>
                <w:sz w:val="21"/>
                <w:szCs w:val="21"/>
              </w:rPr>
              <w:t>序</w:t>
            </w:r>
          </w:p>
          <w:p w14:paraId="61172A9A">
            <w:pPr>
              <w:snapToGrid w:val="0"/>
              <w:spacing w:line="240" w:lineRule="auto"/>
              <w:ind w:left="-140" w:leftChars="-50" w:right="-140" w:rightChars="-50" w:firstLine="0" w:firstLineChars="0"/>
              <w:jc w:val="center"/>
              <w:rPr>
                <w:w w:val="80"/>
                <w:sz w:val="21"/>
                <w:szCs w:val="21"/>
              </w:rPr>
            </w:pPr>
            <w:r>
              <w:rPr>
                <w:w w:val="80"/>
                <w:sz w:val="21"/>
                <w:szCs w:val="21"/>
              </w:rPr>
              <w:t>号</w:t>
            </w:r>
          </w:p>
        </w:tc>
        <w:tc>
          <w:tcPr>
            <w:tcW w:w="1661" w:type="pct"/>
            <w:vAlign w:val="center"/>
          </w:tcPr>
          <w:p w14:paraId="50CA5194">
            <w:pPr>
              <w:snapToGrid w:val="0"/>
              <w:spacing w:line="240" w:lineRule="auto"/>
              <w:ind w:firstLine="0" w:firstLineChars="0"/>
              <w:jc w:val="center"/>
              <w:rPr>
                <w:w w:val="80"/>
                <w:sz w:val="21"/>
                <w:szCs w:val="21"/>
              </w:rPr>
            </w:pPr>
            <w:r>
              <w:rPr>
                <w:w w:val="80"/>
                <w:sz w:val="21"/>
                <w:szCs w:val="21"/>
              </w:rPr>
              <w:t>设备名称</w:t>
            </w:r>
          </w:p>
        </w:tc>
        <w:tc>
          <w:tcPr>
            <w:tcW w:w="349" w:type="pct"/>
            <w:vAlign w:val="center"/>
          </w:tcPr>
          <w:p w14:paraId="7CA8695D">
            <w:pPr>
              <w:snapToGrid w:val="0"/>
              <w:spacing w:line="240" w:lineRule="auto"/>
              <w:ind w:firstLine="0" w:firstLineChars="0"/>
              <w:jc w:val="center"/>
              <w:rPr>
                <w:w w:val="80"/>
                <w:sz w:val="21"/>
                <w:szCs w:val="21"/>
              </w:rPr>
            </w:pPr>
            <w:r>
              <w:rPr>
                <w:w w:val="80"/>
                <w:sz w:val="21"/>
                <w:szCs w:val="21"/>
              </w:rPr>
              <w:t>数量</w:t>
            </w:r>
            <w:r>
              <w:rPr>
                <w:rFonts w:hint="eastAsia"/>
                <w:w w:val="80"/>
                <w:sz w:val="21"/>
                <w:szCs w:val="21"/>
              </w:rPr>
              <w:t>(</w:t>
            </w:r>
            <w:r>
              <w:rPr>
                <w:w w:val="80"/>
                <w:sz w:val="21"/>
                <w:szCs w:val="21"/>
              </w:rPr>
              <w:t>台</w:t>
            </w:r>
            <w:r>
              <w:rPr>
                <w:rFonts w:hint="eastAsia"/>
                <w:w w:val="80"/>
                <w:sz w:val="21"/>
                <w:szCs w:val="21"/>
              </w:rPr>
              <w:t>)</w:t>
            </w:r>
          </w:p>
        </w:tc>
        <w:tc>
          <w:tcPr>
            <w:tcW w:w="781" w:type="pct"/>
            <w:vAlign w:val="center"/>
          </w:tcPr>
          <w:p w14:paraId="63DF0361">
            <w:pPr>
              <w:snapToGrid w:val="0"/>
              <w:spacing w:line="240" w:lineRule="auto"/>
              <w:ind w:firstLine="0" w:firstLineChars="0"/>
              <w:jc w:val="center"/>
              <w:rPr>
                <w:w w:val="80"/>
                <w:sz w:val="21"/>
                <w:szCs w:val="21"/>
              </w:rPr>
            </w:pPr>
            <w:r>
              <w:rPr>
                <w:w w:val="80"/>
                <w:sz w:val="21"/>
                <w:szCs w:val="21"/>
              </w:rPr>
              <w:t>单台压气耗量</w:t>
            </w: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c>
          <w:tcPr>
            <w:tcW w:w="478" w:type="pct"/>
            <w:vAlign w:val="center"/>
          </w:tcPr>
          <w:p w14:paraId="7D917DF8">
            <w:pPr>
              <w:snapToGrid w:val="0"/>
              <w:spacing w:line="240" w:lineRule="auto"/>
              <w:ind w:firstLine="0" w:firstLineChars="0"/>
              <w:jc w:val="center"/>
              <w:rPr>
                <w:w w:val="80"/>
                <w:sz w:val="21"/>
                <w:szCs w:val="21"/>
              </w:rPr>
            </w:pPr>
            <w:r>
              <w:rPr>
                <w:w w:val="80"/>
                <w:sz w:val="21"/>
                <w:szCs w:val="21"/>
              </w:rPr>
              <w:t>同时工作系数</w:t>
            </w:r>
          </w:p>
        </w:tc>
        <w:tc>
          <w:tcPr>
            <w:tcW w:w="343" w:type="pct"/>
            <w:vAlign w:val="center"/>
          </w:tcPr>
          <w:p w14:paraId="519A9C36">
            <w:pPr>
              <w:snapToGrid w:val="0"/>
              <w:spacing w:line="240" w:lineRule="auto"/>
              <w:ind w:firstLine="0" w:firstLineChars="0"/>
              <w:jc w:val="center"/>
              <w:rPr>
                <w:w w:val="80"/>
                <w:sz w:val="21"/>
                <w:szCs w:val="21"/>
              </w:rPr>
            </w:pPr>
            <w:r>
              <w:rPr>
                <w:w w:val="80"/>
                <w:sz w:val="21"/>
                <w:szCs w:val="21"/>
              </w:rPr>
              <w:t>磨损系数</w:t>
            </w:r>
          </w:p>
        </w:tc>
        <w:tc>
          <w:tcPr>
            <w:tcW w:w="523" w:type="pct"/>
            <w:vAlign w:val="center"/>
          </w:tcPr>
          <w:p w14:paraId="3367AD0B">
            <w:pPr>
              <w:snapToGrid w:val="0"/>
              <w:spacing w:line="240" w:lineRule="auto"/>
              <w:ind w:firstLine="0" w:firstLineChars="0"/>
              <w:jc w:val="center"/>
              <w:rPr>
                <w:w w:val="80"/>
                <w:sz w:val="21"/>
                <w:szCs w:val="21"/>
              </w:rPr>
            </w:pPr>
            <w:r>
              <w:rPr>
                <w:rFonts w:hint="eastAsia"/>
                <w:w w:val="80"/>
                <w:sz w:val="21"/>
                <w:szCs w:val="21"/>
              </w:rPr>
              <w:t>风压(MPa)</w:t>
            </w:r>
          </w:p>
        </w:tc>
        <w:tc>
          <w:tcPr>
            <w:tcW w:w="579" w:type="pct"/>
            <w:vAlign w:val="center"/>
          </w:tcPr>
          <w:p w14:paraId="2B664847">
            <w:pPr>
              <w:snapToGrid w:val="0"/>
              <w:spacing w:line="240" w:lineRule="auto"/>
              <w:ind w:firstLine="0" w:firstLineChars="0"/>
              <w:jc w:val="center"/>
              <w:rPr>
                <w:w w:val="80"/>
                <w:sz w:val="21"/>
                <w:szCs w:val="21"/>
              </w:rPr>
            </w:pPr>
            <w:r>
              <w:rPr>
                <w:w w:val="80"/>
                <w:sz w:val="21"/>
                <w:szCs w:val="21"/>
              </w:rPr>
              <w:t>合计</w:t>
            </w:r>
          </w:p>
          <w:p w14:paraId="0DEF9800">
            <w:pPr>
              <w:snapToGrid w:val="0"/>
              <w:spacing w:line="240" w:lineRule="auto"/>
              <w:ind w:firstLine="0" w:firstLineChars="0"/>
              <w:jc w:val="center"/>
              <w:rPr>
                <w:w w:val="80"/>
                <w:sz w:val="21"/>
                <w:szCs w:val="21"/>
              </w:rPr>
            </w:pP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r>
      <w:tr w14:paraId="59220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0C14EAF9">
            <w:pPr>
              <w:snapToGrid w:val="0"/>
              <w:spacing w:line="240" w:lineRule="auto"/>
              <w:ind w:left="-140" w:leftChars="-50" w:right="-140" w:rightChars="-50" w:firstLine="0" w:firstLineChars="0"/>
              <w:jc w:val="center"/>
              <w:rPr>
                <w:w w:val="80"/>
                <w:sz w:val="21"/>
                <w:szCs w:val="21"/>
              </w:rPr>
            </w:pPr>
            <w:r>
              <w:rPr>
                <w:w w:val="80"/>
                <w:sz w:val="21"/>
                <w:szCs w:val="21"/>
              </w:rPr>
              <w:t>1</w:t>
            </w:r>
          </w:p>
        </w:tc>
        <w:tc>
          <w:tcPr>
            <w:tcW w:w="1661" w:type="pct"/>
            <w:vAlign w:val="center"/>
          </w:tcPr>
          <w:p w14:paraId="198702DD">
            <w:pPr>
              <w:snapToGrid w:val="0"/>
              <w:spacing w:line="240" w:lineRule="auto"/>
              <w:ind w:firstLine="0" w:firstLineChars="0"/>
              <w:rPr>
                <w:w w:val="80"/>
                <w:sz w:val="21"/>
                <w:szCs w:val="21"/>
              </w:rPr>
            </w:pPr>
            <w:r>
              <w:rPr>
                <w:rFonts w:hint="eastAsia"/>
                <w:w w:val="80"/>
                <w:sz w:val="21"/>
                <w:szCs w:val="21"/>
              </w:rPr>
              <w:t>尾砂压滤车间压滤机</w:t>
            </w:r>
          </w:p>
        </w:tc>
        <w:tc>
          <w:tcPr>
            <w:tcW w:w="349" w:type="pct"/>
            <w:vAlign w:val="center"/>
          </w:tcPr>
          <w:p w14:paraId="6B8598CC">
            <w:pPr>
              <w:snapToGrid w:val="0"/>
              <w:spacing w:line="240" w:lineRule="auto"/>
              <w:ind w:firstLine="0" w:firstLineChars="0"/>
              <w:jc w:val="center"/>
              <w:rPr>
                <w:w w:val="80"/>
                <w:sz w:val="21"/>
                <w:szCs w:val="21"/>
              </w:rPr>
            </w:pPr>
            <w:r>
              <w:rPr>
                <w:rFonts w:hint="eastAsia"/>
                <w:w w:val="80"/>
                <w:sz w:val="21"/>
                <w:szCs w:val="21"/>
              </w:rPr>
              <w:t>8</w:t>
            </w:r>
          </w:p>
        </w:tc>
        <w:tc>
          <w:tcPr>
            <w:tcW w:w="781" w:type="pct"/>
            <w:vAlign w:val="center"/>
          </w:tcPr>
          <w:p w14:paraId="7F43B301">
            <w:pPr>
              <w:snapToGrid w:val="0"/>
              <w:spacing w:line="240" w:lineRule="auto"/>
              <w:ind w:firstLine="0" w:firstLineChars="0"/>
              <w:jc w:val="center"/>
              <w:rPr>
                <w:w w:val="80"/>
                <w:sz w:val="21"/>
                <w:szCs w:val="21"/>
              </w:rPr>
            </w:pPr>
            <w:r>
              <w:rPr>
                <w:rFonts w:hint="eastAsia"/>
                <w:w w:val="80"/>
                <w:sz w:val="21"/>
                <w:szCs w:val="21"/>
              </w:rPr>
              <w:t>1.5</w:t>
            </w:r>
          </w:p>
        </w:tc>
        <w:tc>
          <w:tcPr>
            <w:tcW w:w="478" w:type="pct"/>
            <w:vAlign w:val="center"/>
          </w:tcPr>
          <w:p w14:paraId="633738F4">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5890D1C4">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6CC1FF9">
            <w:pPr>
              <w:snapToGrid w:val="0"/>
              <w:spacing w:line="240" w:lineRule="auto"/>
              <w:ind w:firstLine="0" w:firstLineChars="0"/>
              <w:jc w:val="center"/>
              <w:rPr>
                <w:w w:val="80"/>
                <w:sz w:val="21"/>
                <w:szCs w:val="21"/>
              </w:rPr>
            </w:pPr>
            <w:r>
              <w:rPr>
                <w:rFonts w:hint="eastAsia"/>
                <w:w w:val="80"/>
                <w:sz w:val="21"/>
                <w:szCs w:val="21"/>
              </w:rPr>
              <w:t>0.8~1.0</w:t>
            </w:r>
          </w:p>
        </w:tc>
        <w:tc>
          <w:tcPr>
            <w:tcW w:w="579" w:type="pct"/>
            <w:vAlign w:val="center"/>
          </w:tcPr>
          <w:p w14:paraId="1FF37025">
            <w:pPr>
              <w:snapToGrid w:val="0"/>
              <w:spacing w:line="240" w:lineRule="auto"/>
              <w:ind w:firstLine="0" w:firstLineChars="0"/>
              <w:jc w:val="center"/>
              <w:rPr>
                <w:w w:val="80"/>
                <w:sz w:val="21"/>
                <w:szCs w:val="21"/>
              </w:rPr>
            </w:pPr>
            <w:r>
              <w:rPr>
                <w:rFonts w:hint="eastAsia"/>
                <w:w w:val="80"/>
                <w:sz w:val="21"/>
                <w:szCs w:val="21"/>
              </w:rPr>
              <w:t>13.20</w:t>
            </w:r>
          </w:p>
        </w:tc>
      </w:tr>
      <w:tr w14:paraId="12F97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09CE3165">
            <w:pPr>
              <w:snapToGrid w:val="0"/>
              <w:spacing w:line="240" w:lineRule="auto"/>
              <w:ind w:left="-140" w:leftChars="-50" w:right="-140" w:rightChars="-50" w:firstLine="0" w:firstLineChars="0"/>
              <w:jc w:val="center"/>
              <w:rPr>
                <w:w w:val="80"/>
                <w:sz w:val="21"/>
                <w:szCs w:val="21"/>
              </w:rPr>
            </w:pPr>
            <w:r>
              <w:rPr>
                <w:w w:val="80"/>
                <w:sz w:val="21"/>
                <w:szCs w:val="21"/>
              </w:rPr>
              <w:t>2</w:t>
            </w:r>
          </w:p>
        </w:tc>
        <w:tc>
          <w:tcPr>
            <w:tcW w:w="1661" w:type="pct"/>
            <w:vAlign w:val="center"/>
          </w:tcPr>
          <w:p w14:paraId="4649A5CA">
            <w:pPr>
              <w:snapToGrid w:val="0"/>
              <w:spacing w:line="240" w:lineRule="auto"/>
              <w:ind w:firstLine="0" w:firstLineChars="0"/>
              <w:rPr>
                <w:w w:val="80"/>
                <w:sz w:val="21"/>
                <w:szCs w:val="21"/>
              </w:rPr>
            </w:pPr>
            <w:r>
              <w:rPr>
                <w:rFonts w:hint="eastAsia"/>
                <w:w w:val="80"/>
                <w:sz w:val="21"/>
                <w:szCs w:val="21"/>
              </w:rPr>
              <w:t>尾砂压滤车间气动阀门</w:t>
            </w:r>
          </w:p>
        </w:tc>
        <w:tc>
          <w:tcPr>
            <w:tcW w:w="349" w:type="pct"/>
            <w:vAlign w:val="center"/>
          </w:tcPr>
          <w:p w14:paraId="126A15C5">
            <w:pPr>
              <w:snapToGrid w:val="0"/>
              <w:spacing w:line="240" w:lineRule="auto"/>
              <w:ind w:firstLine="0" w:firstLineChars="0"/>
              <w:jc w:val="center"/>
              <w:rPr>
                <w:w w:val="80"/>
                <w:sz w:val="21"/>
                <w:szCs w:val="21"/>
              </w:rPr>
            </w:pPr>
            <w:r>
              <w:rPr>
                <w:rFonts w:hint="eastAsia"/>
                <w:w w:val="80"/>
                <w:sz w:val="21"/>
                <w:szCs w:val="21"/>
              </w:rPr>
              <w:t>5</w:t>
            </w:r>
          </w:p>
        </w:tc>
        <w:tc>
          <w:tcPr>
            <w:tcW w:w="781" w:type="pct"/>
            <w:vAlign w:val="center"/>
          </w:tcPr>
          <w:p w14:paraId="0AD1E2D0">
            <w:pPr>
              <w:snapToGrid w:val="0"/>
              <w:spacing w:line="240" w:lineRule="auto"/>
              <w:ind w:firstLine="0" w:firstLineChars="0"/>
              <w:jc w:val="center"/>
              <w:rPr>
                <w:w w:val="80"/>
                <w:sz w:val="21"/>
                <w:szCs w:val="21"/>
              </w:rPr>
            </w:pPr>
            <w:r>
              <w:rPr>
                <w:rFonts w:hint="eastAsia"/>
                <w:w w:val="80"/>
                <w:sz w:val="21"/>
                <w:szCs w:val="21"/>
              </w:rPr>
              <w:t>0.05</w:t>
            </w:r>
          </w:p>
        </w:tc>
        <w:tc>
          <w:tcPr>
            <w:tcW w:w="478" w:type="pct"/>
            <w:vAlign w:val="center"/>
          </w:tcPr>
          <w:p w14:paraId="30F6FA8A">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0DF643B9">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3B90BD8A">
            <w:pPr>
              <w:snapToGrid w:val="0"/>
              <w:spacing w:line="240" w:lineRule="auto"/>
              <w:ind w:firstLine="0" w:firstLineChars="0"/>
              <w:jc w:val="center"/>
              <w:rPr>
                <w:w w:val="80"/>
                <w:sz w:val="21"/>
                <w:szCs w:val="21"/>
              </w:rPr>
            </w:pPr>
            <w:r>
              <w:rPr>
                <w:rFonts w:hint="eastAsia"/>
                <w:w w:val="80"/>
                <w:sz w:val="21"/>
                <w:szCs w:val="21"/>
              </w:rPr>
              <w:t>0.4~0.8</w:t>
            </w:r>
          </w:p>
        </w:tc>
        <w:tc>
          <w:tcPr>
            <w:tcW w:w="579" w:type="pct"/>
            <w:vAlign w:val="center"/>
          </w:tcPr>
          <w:p w14:paraId="3AC42CDA">
            <w:pPr>
              <w:snapToGrid w:val="0"/>
              <w:spacing w:line="240" w:lineRule="auto"/>
              <w:ind w:firstLine="0" w:firstLineChars="0"/>
              <w:jc w:val="center"/>
              <w:rPr>
                <w:w w:val="80"/>
                <w:sz w:val="21"/>
                <w:szCs w:val="21"/>
              </w:rPr>
            </w:pPr>
            <w:r>
              <w:rPr>
                <w:rFonts w:hint="eastAsia"/>
                <w:w w:val="80"/>
                <w:sz w:val="21"/>
                <w:szCs w:val="21"/>
              </w:rPr>
              <w:t>0.28</w:t>
            </w:r>
          </w:p>
        </w:tc>
      </w:tr>
      <w:tr w14:paraId="58679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07AD1565">
            <w:pPr>
              <w:snapToGrid w:val="0"/>
              <w:spacing w:line="240" w:lineRule="auto"/>
              <w:ind w:left="-140" w:leftChars="-50" w:right="-140" w:rightChars="-50" w:firstLine="0" w:firstLineChars="0"/>
              <w:jc w:val="center"/>
              <w:rPr>
                <w:w w:val="80"/>
                <w:sz w:val="21"/>
                <w:szCs w:val="21"/>
              </w:rPr>
            </w:pPr>
            <w:r>
              <w:rPr>
                <w:rFonts w:hint="eastAsia"/>
                <w:w w:val="80"/>
                <w:sz w:val="21"/>
                <w:szCs w:val="21"/>
              </w:rPr>
              <w:t>3</w:t>
            </w:r>
          </w:p>
        </w:tc>
        <w:tc>
          <w:tcPr>
            <w:tcW w:w="1661" w:type="pct"/>
            <w:vAlign w:val="center"/>
          </w:tcPr>
          <w:p w14:paraId="161A7D50">
            <w:pPr>
              <w:snapToGrid w:val="0"/>
              <w:spacing w:line="240" w:lineRule="auto"/>
              <w:ind w:firstLine="0" w:firstLineChars="0"/>
              <w:rPr>
                <w:w w:val="80"/>
                <w:sz w:val="21"/>
                <w:szCs w:val="21"/>
              </w:rPr>
            </w:pPr>
            <w:r>
              <w:rPr>
                <w:rFonts w:hint="eastAsia"/>
                <w:w w:val="80"/>
                <w:sz w:val="21"/>
                <w:szCs w:val="21"/>
              </w:rPr>
              <w:t>盘式</w:t>
            </w:r>
            <w:r>
              <w:rPr>
                <w:w w:val="80"/>
                <w:sz w:val="21"/>
                <w:szCs w:val="21"/>
              </w:rPr>
              <w:t>过滤机</w:t>
            </w:r>
          </w:p>
        </w:tc>
        <w:tc>
          <w:tcPr>
            <w:tcW w:w="349" w:type="pct"/>
            <w:vAlign w:val="center"/>
          </w:tcPr>
          <w:p w14:paraId="114633B1">
            <w:pPr>
              <w:snapToGrid w:val="0"/>
              <w:spacing w:line="240" w:lineRule="auto"/>
              <w:ind w:firstLine="0" w:firstLineChars="0"/>
              <w:jc w:val="center"/>
              <w:rPr>
                <w:w w:val="80"/>
                <w:sz w:val="21"/>
                <w:szCs w:val="21"/>
              </w:rPr>
            </w:pPr>
            <w:r>
              <w:rPr>
                <w:rFonts w:hint="eastAsia"/>
                <w:w w:val="80"/>
                <w:sz w:val="21"/>
                <w:szCs w:val="21"/>
              </w:rPr>
              <w:t>4</w:t>
            </w:r>
          </w:p>
        </w:tc>
        <w:tc>
          <w:tcPr>
            <w:tcW w:w="781" w:type="pct"/>
            <w:vAlign w:val="center"/>
          </w:tcPr>
          <w:p w14:paraId="4D39C7AB">
            <w:pPr>
              <w:snapToGrid w:val="0"/>
              <w:spacing w:line="240" w:lineRule="auto"/>
              <w:ind w:firstLine="0" w:firstLineChars="0"/>
              <w:jc w:val="center"/>
              <w:rPr>
                <w:w w:val="80"/>
                <w:sz w:val="21"/>
                <w:szCs w:val="21"/>
              </w:rPr>
            </w:pPr>
            <w:r>
              <w:rPr>
                <w:rFonts w:hint="eastAsia"/>
                <w:w w:val="80"/>
                <w:sz w:val="21"/>
                <w:szCs w:val="21"/>
              </w:rPr>
              <w:t>12</w:t>
            </w:r>
          </w:p>
        </w:tc>
        <w:tc>
          <w:tcPr>
            <w:tcW w:w="478" w:type="pct"/>
            <w:vAlign w:val="center"/>
          </w:tcPr>
          <w:p w14:paraId="3CADD811">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7446E20F">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5E5B4A24">
            <w:pPr>
              <w:snapToGrid w:val="0"/>
              <w:spacing w:line="240" w:lineRule="auto"/>
              <w:ind w:firstLine="0" w:firstLineChars="0"/>
              <w:jc w:val="center"/>
              <w:rPr>
                <w:w w:val="80"/>
                <w:sz w:val="21"/>
                <w:szCs w:val="21"/>
              </w:rPr>
            </w:pPr>
            <w:r>
              <w:rPr>
                <w:rFonts w:hint="eastAsia"/>
                <w:w w:val="80"/>
                <w:sz w:val="21"/>
                <w:szCs w:val="21"/>
              </w:rPr>
              <w:t>0.7</w:t>
            </w:r>
          </w:p>
        </w:tc>
        <w:tc>
          <w:tcPr>
            <w:tcW w:w="579" w:type="pct"/>
            <w:vAlign w:val="center"/>
          </w:tcPr>
          <w:p w14:paraId="6F38281C">
            <w:pPr>
              <w:snapToGrid w:val="0"/>
              <w:spacing w:line="240" w:lineRule="auto"/>
              <w:ind w:firstLine="0" w:firstLineChars="0"/>
              <w:jc w:val="center"/>
              <w:rPr>
                <w:w w:val="80"/>
                <w:sz w:val="21"/>
                <w:szCs w:val="21"/>
              </w:rPr>
            </w:pPr>
            <w:r>
              <w:rPr>
                <w:rFonts w:hint="eastAsia"/>
                <w:w w:val="80"/>
                <w:sz w:val="21"/>
                <w:szCs w:val="21"/>
              </w:rPr>
              <w:t>52.80</w:t>
            </w:r>
          </w:p>
        </w:tc>
      </w:tr>
      <w:tr w14:paraId="2E6B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19F09A0B">
            <w:pPr>
              <w:snapToGrid w:val="0"/>
              <w:spacing w:line="240" w:lineRule="auto"/>
              <w:ind w:left="-140" w:leftChars="-50" w:right="-140" w:rightChars="-50" w:firstLine="0" w:firstLineChars="0"/>
              <w:jc w:val="center"/>
              <w:rPr>
                <w:w w:val="80"/>
                <w:sz w:val="21"/>
                <w:szCs w:val="21"/>
              </w:rPr>
            </w:pPr>
            <w:r>
              <w:rPr>
                <w:rFonts w:hint="eastAsia"/>
                <w:w w:val="80"/>
                <w:sz w:val="21"/>
                <w:szCs w:val="21"/>
              </w:rPr>
              <w:t>4</w:t>
            </w:r>
          </w:p>
        </w:tc>
        <w:tc>
          <w:tcPr>
            <w:tcW w:w="1661" w:type="pct"/>
            <w:vAlign w:val="center"/>
          </w:tcPr>
          <w:p w14:paraId="3E524B66">
            <w:pPr>
              <w:snapToGrid w:val="0"/>
              <w:spacing w:line="240" w:lineRule="auto"/>
              <w:ind w:firstLine="0" w:firstLineChars="0"/>
              <w:jc w:val="left"/>
              <w:rPr>
                <w:w w:val="80"/>
                <w:sz w:val="21"/>
                <w:szCs w:val="21"/>
              </w:rPr>
            </w:pPr>
            <w:r>
              <w:rPr>
                <w:w w:val="80"/>
                <w:sz w:val="21"/>
                <w:szCs w:val="21"/>
              </w:rPr>
              <w:t>中细碎车间布袋除尘系统</w:t>
            </w:r>
          </w:p>
        </w:tc>
        <w:tc>
          <w:tcPr>
            <w:tcW w:w="349" w:type="pct"/>
            <w:vAlign w:val="center"/>
          </w:tcPr>
          <w:p w14:paraId="762352C1">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442AB9FD">
            <w:pPr>
              <w:snapToGrid w:val="0"/>
              <w:spacing w:line="240" w:lineRule="auto"/>
              <w:ind w:firstLine="0" w:firstLineChars="0"/>
              <w:jc w:val="center"/>
              <w:rPr>
                <w:w w:val="80"/>
                <w:sz w:val="21"/>
                <w:szCs w:val="21"/>
              </w:rPr>
            </w:pPr>
            <w:r>
              <w:rPr>
                <w:w w:val="80"/>
                <w:sz w:val="21"/>
                <w:szCs w:val="21"/>
              </w:rPr>
              <w:t>5</w:t>
            </w:r>
          </w:p>
        </w:tc>
        <w:tc>
          <w:tcPr>
            <w:tcW w:w="478" w:type="pct"/>
            <w:vAlign w:val="center"/>
          </w:tcPr>
          <w:p w14:paraId="362DECC3">
            <w:pPr>
              <w:snapToGrid w:val="0"/>
              <w:spacing w:line="240" w:lineRule="auto"/>
              <w:ind w:firstLine="0" w:firstLineChars="0"/>
              <w:jc w:val="center"/>
              <w:rPr>
                <w:w w:val="80"/>
                <w:sz w:val="21"/>
                <w:szCs w:val="21"/>
              </w:rPr>
            </w:pPr>
            <w:r>
              <w:rPr>
                <w:w w:val="80"/>
                <w:sz w:val="21"/>
                <w:szCs w:val="21"/>
              </w:rPr>
              <w:t>0</w:t>
            </w:r>
            <w:r>
              <w:rPr>
                <w:rFonts w:hint="eastAsia"/>
                <w:w w:val="80"/>
                <w:sz w:val="21"/>
                <w:szCs w:val="21"/>
              </w:rPr>
              <w:t>.7</w:t>
            </w:r>
          </w:p>
        </w:tc>
        <w:tc>
          <w:tcPr>
            <w:tcW w:w="343" w:type="pct"/>
            <w:vAlign w:val="center"/>
          </w:tcPr>
          <w:p w14:paraId="1AE0C41E">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3BD06D1E">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45F6F6E8">
            <w:pPr>
              <w:snapToGrid w:val="0"/>
              <w:spacing w:line="240" w:lineRule="auto"/>
              <w:ind w:firstLine="0" w:firstLineChars="0"/>
              <w:jc w:val="center"/>
              <w:rPr>
                <w:w w:val="80"/>
                <w:sz w:val="21"/>
                <w:szCs w:val="21"/>
              </w:rPr>
            </w:pPr>
            <w:r>
              <w:rPr>
                <w:rFonts w:hint="eastAsia"/>
                <w:w w:val="80"/>
                <w:sz w:val="21"/>
                <w:szCs w:val="21"/>
              </w:rPr>
              <w:t>3.85</w:t>
            </w:r>
          </w:p>
        </w:tc>
      </w:tr>
      <w:tr w14:paraId="2A71D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5B2E6DB9">
            <w:pPr>
              <w:snapToGrid w:val="0"/>
              <w:spacing w:line="240" w:lineRule="auto"/>
              <w:ind w:firstLine="0" w:firstLineChars="0"/>
              <w:jc w:val="center"/>
              <w:rPr>
                <w:w w:val="80"/>
                <w:sz w:val="21"/>
                <w:szCs w:val="21"/>
              </w:rPr>
            </w:pPr>
            <w:r>
              <w:rPr>
                <w:rFonts w:hint="eastAsia"/>
                <w:w w:val="80"/>
                <w:sz w:val="21"/>
                <w:szCs w:val="21"/>
              </w:rPr>
              <w:t>5</w:t>
            </w:r>
          </w:p>
        </w:tc>
        <w:tc>
          <w:tcPr>
            <w:tcW w:w="1661" w:type="pct"/>
            <w:vAlign w:val="center"/>
          </w:tcPr>
          <w:p w14:paraId="1F343A49">
            <w:pPr>
              <w:snapToGrid w:val="0"/>
              <w:spacing w:line="240" w:lineRule="auto"/>
              <w:ind w:firstLine="0" w:firstLineChars="0"/>
              <w:jc w:val="left"/>
              <w:rPr>
                <w:w w:val="80"/>
                <w:sz w:val="21"/>
                <w:szCs w:val="21"/>
              </w:rPr>
            </w:pPr>
            <w:r>
              <w:rPr>
                <w:rFonts w:hint="eastAsia"/>
                <w:w w:val="80"/>
                <w:sz w:val="21"/>
                <w:szCs w:val="21"/>
              </w:rPr>
              <w:t>筛分干选</w:t>
            </w:r>
            <w:r>
              <w:rPr>
                <w:w w:val="80"/>
                <w:sz w:val="21"/>
                <w:szCs w:val="21"/>
              </w:rPr>
              <w:t>车间布袋除尘系统</w:t>
            </w:r>
          </w:p>
        </w:tc>
        <w:tc>
          <w:tcPr>
            <w:tcW w:w="349" w:type="pct"/>
            <w:vAlign w:val="center"/>
          </w:tcPr>
          <w:p w14:paraId="31ACC176">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4B869585">
            <w:pPr>
              <w:snapToGrid w:val="0"/>
              <w:spacing w:line="240" w:lineRule="auto"/>
              <w:ind w:firstLine="0" w:firstLineChars="0"/>
              <w:jc w:val="center"/>
              <w:rPr>
                <w:w w:val="80"/>
                <w:sz w:val="21"/>
                <w:szCs w:val="21"/>
              </w:rPr>
            </w:pPr>
            <w:r>
              <w:rPr>
                <w:rFonts w:hint="eastAsia"/>
                <w:w w:val="80"/>
                <w:sz w:val="21"/>
                <w:szCs w:val="21"/>
              </w:rPr>
              <w:t>8</w:t>
            </w:r>
          </w:p>
        </w:tc>
        <w:tc>
          <w:tcPr>
            <w:tcW w:w="478" w:type="pct"/>
            <w:vAlign w:val="center"/>
          </w:tcPr>
          <w:p w14:paraId="0522FE5D">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2A84F09B">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490F3456">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6757B2C3">
            <w:pPr>
              <w:snapToGrid w:val="0"/>
              <w:spacing w:line="240" w:lineRule="auto"/>
              <w:ind w:firstLine="0" w:firstLineChars="0"/>
              <w:jc w:val="center"/>
              <w:rPr>
                <w:w w:val="80"/>
                <w:sz w:val="21"/>
                <w:szCs w:val="21"/>
              </w:rPr>
            </w:pPr>
            <w:r>
              <w:rPr>
                <w:rFonts w:hint="eastAsia"/>
                <w:w w:val="80"/>
                <w:sz w:val="21"/>
                <w:szCs w:val="21"/>
              </w:rPr>
              <w:t>6.16</w:t>
            </w:r>
          </w:p>
        </w:tc>
      </w:tr>
      <w:tr w14:paraId="2CD34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6C23258E">
            <w:pPr>
              <w:snapToGrid w:val="0"/>
              <w:spacing w:line="240" w:lineRule="auto"/>
              <w:ind w:firstLine="0" w:firstLineChars="0"/>
              <w:jc w:val="center"/>
              <w:rPr>
                <w:w w:val="80"/>
                <w:sz w:val="21"/>
                <w:szCs w:val="21"/>
              </w:rPr>
            </w:pPr>
            <w:r>
              <w:rPr>
                <w:rFonts w:hint="eastAsia"/>
                <w:w w:val="80"/>
                <w:sz w:val="21"/>
                <w:szCs w:val="21"/>
              </w:rPr>
              <w:t>6</w:t>
            </w:r>
          </w:p>
        </w:tc>
        <w:tc>
          <w:tcPr>
            <w:tcW w:w="1661" w:type="pct"/>
            <w:vAlign w:val="center"/>
          </w:tcPr>
          <w:p w14:paraId="1B64B8DE">
            <w:pPr>
              <w:snapToGrid w:val="0"/>
              <w:spacing w:line="240" w:lineRule="auto"/>
              <w:ind w:firstLine="0" w:firstLineChars="0"/>
              <w:jc w:val="left"/>
              <w:rPr>
                <w:w w:val="80"/>
                <w:sz w:val="21"/>
                <w:szCs w:val="21"/>
              </w:rPr>
            </w:pPr>
            <w:r>
              <w:rPr>
                <w:w w:val="80"/>
                <w:sz w:val="21"/>
                <w:szCs w:val="21"/>
              </w:rPr>
              <w:t>中间储矿仓及</w:t>
            </w:r>
            <w:r>
              <w:rPr>
                <w:rFonts w:hint="eastAsia"/>
                <w:w w:val="80"/>
                <w:sz w:val="21"/>
                <w:szCs w:val="21"/>
              </w:rPr>
              <w:t>微粉筛</w:t>
            </w:r>
            <w:r>
              <w:rPr>
                <w:w w:val="80"/>
                <w:sz w:val="21"/>
                <w:szCs w:val="21"/>
              </w:rPr>
              <w:t>车间布袋除尘系统</w:t>
            </w:r>
          </w:p>
        </w:tc>
        <w:tc>
          <w:tcPr>
            <w:tcW w:w="349" w:type="pct"/>
            <w:vAlign w:val="center"/>
          </w:tcPr>
          <w:p w14:paraId="0214CEEE">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73532F5D">
            <w:pPr>
              <w:snapToGrid w:val="0"/>
              <w:spacing w:line="240" w:lineRule="auto"/>
              <w:ind w:firstLine="0" w:firstLineChars="0"/>
              <w:jc w:val="center"/>
              <w:rPr>
                <w:w w:val="80"/>
                <w:sz w:val="21"/>
                <w:szCs w:val="21"/>
              </w:rPr>
            </w:pPr>
            <w:r>
              <w:rPr>
                <w:rFonts w:hint="eastAsia"/>
                <w:w w:val="80"/>
                <w:sz w:val="21"/>
                <w:szCs w:val="21"/>
              </w:rPr>
              <w:t>6</w:t>
            </w:r>
          </w:p>
        </w:tc>
        <w:tc>
          <w:tcPr>
            <w:tcW w:w="478" w:type="pct"/>
            <w:vAlign w:val="center"/>
          </w:tcPr>
          <w:p w14:paraId="594CF7C0">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78C95FFB">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60741B37">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6144F0B5">
            <w:pPr>
              <w:snapToGrid w:val="0"/>
              <w:spacing w:line="240" w:lineRule="auto"/>
              <w:ind w:firstLine="0" w:firstLineChars="0"/>
              <w:jc w:val="center"/>
              <w:rPr>
                <w:w w:val="80"/>
                <w:sz w:val="21"/>
                <w:szCs w:val="21"/>
              </w:rPr>
            </w:pPr>
            <w:r>
              <w:rPr>
                <w:rFonts w:hint="eastAsia"/>
                <w:w w:val="80"/>
                <w:sz w:val="21"/>
                <w:szCs w:val="21"/>
              </w:rPr>
              <w:t>4.62</w:t>
            </w:r>
          </w:p>
        </w:tc>
      </w:tr>
      <w:tr w14:paraId="0A29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0536B53">
            <w:pPr>
              <w:snapToGrid w:val="0"/>
              <w:spacing w:line="240" w:lineRule="auto"/>
              <w:ind w:firstLine="0" w:firstLineChars="0"/>
              <w:jc w:val="center"/>
              <w:rPr>
                <w:w w:val="80"/>
                <w:sz w:val="21"/>
                <w:szCs w:val="21"/>
              </w:rPr>
            </w:pPr>
            <w:r>
              <w:rPr>
                <w:rFonts w:hint="eastAsia"/>
                <w:w w:val="80"/>
                <w:sz w:val="21"/>
                <w:szCs w:val="21"/>
              </w:rPr>
              <w:t>7</w:t>
            </w:r>
          </w:p>
        </w:tc>
        <w:tc>
          <w:tcPr>
            <w:tcW w:w="1661" w:type="pct"/>
            <w:vAlign w:val="center"/>
          </w:tcPr>
          <w:p w14:paraId="5B492877">
            <w:pPr>
              <w:snapToGrid w:val="0"/>
              <w:spacing w:line="240" w:lineRule="auto"/>
              <w:ind w:firstLine="0" w:firstLineChars="0"/>
              <w:jc w:val="left"/>
              <w:rPr>
                <w:w w:val="80"/>
                <w:sz w:val="21"/>
                <w:szCs w:val="21"/>
              </w:rPr>
            </w:pPr>
            <w:r>
              <w:rPr>
                <w:w w:val="80"/>
                <w:sz w:val="21"/>
                <w:szCs w:val="21"/>
              </w:rPr>
              <w:t>高压辊磨车间布袋除尘系统</w:t>
            </w:r>
          </w:p>
        </w:tc>
        <w:tc>
          <w:tcPr>
            <w:tcW w:w="349" w:type="pct"/>
            <w:vAlign w:val="center"/>
          </w:tcPr>
          <w:p w14:paraId="20A24ADA">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0D1E5D13">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60E54724">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56E7147B">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7A099BCE">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5DAB27F8">
            <w:pPr>
              <w:snapToGrid w:val="0"/>
              <w:spacing w:line="240" w:lineRule="auto"/>
              <w:ind w:firstLine="0" w:firstLineChars="0"/>
              <w:jc w:val="center"/>
              <w:rPr>
                <w:w w:val="80"/>
                <w:sz w:val="21"/>
                <w:szCs w:val="21"/>
              </w:rPr>
            </w:pPr>
            <w:r>
              <w:rPr>
                <w:rFonts w:hint="eastAsia"/>
                <w:w w:val="80"/>
                <w:sz w:val="21"/>
                <w:szCs w:val="21"/>
              </w:rPr>
              <w:t>3.08</w:t>
            </w:r>
          </w:p>
        </w:tc>
      </w:tr>
      <w:tr w14:paraId="20F51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696D5352">
            <w:pPr>
              <w:snapToGrid w:val="0"/>
              <w:spacing w:line="240" w:lineRule="auto"/>
              <w:ind w:firstLine="0" w:firstLineChars="0"/>
              <w:jc w:val="center"/>
              <w:rPr>
                <w:w w:val="80"/>
                <w:sz w:val="21"/>
                <w:szCs w:val="21"/>
              </w:rPr>
            </w:pPr>
            <w:r>
              <w:rPr>
                <w:rFonts w:hint="eastAsia"/>
                <w:w w:val="80"/>
                <w:sz w:val="21"/>
                <w:szCs w:val="21"/>
              </w:rPr>
              <w:t>8</w:t>
            </w:r>
          </w:p>
        </w:tc>
        <w:tc>
          <w:tcPr>
            <w:tcW w:w="1661" w:type="pct"/>
            <w:vAlign w:val="center"/>
          </w:tcPr>
          <w:p w14:paraId="22226528">
            <w:pPr>
              <w:snapToGrid w:val="0"/>
              <w:spacing w:line="240" w:lineRule="auto"/>
              <w:ind w:firstLine="0" w:firstLineChars="0"/>
              <w:jc w:val="left"/>
              <w:rPr>
                <w:w w:val="80"/>
                <w:sz w:val="21"/>
                <w:szCs w:val="21"/>
              </w:rPr>
            </w:pPr>
            <w:r>
              <w:rPr>
                <w:w w:val="80"/>
                <w:sz w:val="21"/>
                <w:szCs w:val="21"/>
              </w:rPr>
              <w:t>磨矿仓及主厂房布袋除尘系统</w:t>
            </w:r>
          </w:p>
        </w:tc>
        <w:tc>
          <w:tcPr>
            <w:tcW w:w="349" w:type="pct"/>
            <w:vAlign w:val="center"/>
          </w:tcPr>
          <w:p w14:paraId="1C8F6662">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44576F94">
            <w:pPr>
              <w:snapToGrid w:val="0"/>
              <w:spacing w:line="240" w:lineRule="auto"/>
              <w:ind w:firstLine="0" w:firstLineChars="0"/>
              <w:jc w:val="center"/>
              <w:rPr>
                <w:w w:val="80"/>
                <w:sz w:val="21"/>
                <w:szCs w:val="21"/>
              </w:rPr>
            </w:pPr>
            <w:r>
              <w:rPr>
                <w:rFonts w:hint="eastAsia"/>
                <w:w w:val="80"/>
                <w:sz w:val="21"/>
                <w:szCs w:val="21"/>
              </w:rPr>
              <w:t>5</w:t>
            </w:r>
          </w:p>
        </w:tc>
        <w:tc>
          <w:tcPr>
            <w:tcW w:w="478" w:type="pct"/>
            <w:vAlign w:val="center"/>
          </w:tcPr>
          <w:p w14:paraId="69606086">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3163D3C4">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5DBFCCEF">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2225D8A6">
            <w:pPr>
              <w:snapToGrid w:val="0"/>
              <w:spacing w:line="240" w:lineRule="auto"/>
              <w:ind w:firstLine="0" w:firstLineChars="0"/>
              <w:jc w:val="center"/>
              <w:rPr>
                <w:w w:val="80"/>
                <w:sz w:val="21"/>
                <w:szCs w:val="21"/>
              </w:rPr>
            </w:pPr>
            <w:r>
              <w:rPr>
                <w:rFonts w:hint="eastAsia"/>
                <w:w w:val="80"/>
                <w:sz w:val="21"/>
                <w:szCs w:val="21"/>
              </w:rPr>
              <w:t>3.85</w:t>
            </w:r>
          </w:p>
        </w:tc>
      </w:tr>
      <w:tr w14:paraId="74C89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7602501B">
            <w:pPr>
              <w:snapToGrid w:val="0"/>
              <w:spacing w:line="240" w:lineRule="auto"/>
              <w:ind w:firstLine="0" w:firstLineChars="0"/>
              <w:jc w:val="center"/>
              <w:rPr>
                <w:w w:val="80"/>
                <w:sz w:val="21"/>
                <w:szCs w:val="21"/>
              </w:rPr>
            </w:pPr>
            <w:r>
              <w:rPr>
                <w:rFonts w:hint="eastAsia"/>
                <w:w w:val="80"/>
                <w:sz w:val="21"/>
                <w:szCs w:val="21"/>
              </w:rPr>
              <w:t>9</w:t>
            </w:r>
          </w:p>
        </w:tc>
        <w:tc>
          <w:tcPr>
            <w:tcW w:w="1661" w:type="pct"/>
            <w:vAlign w:val="center"/>
          </w:tcPr>
          <w:p w14:paraId="51C81D95">
            <w:pPr>
              <w:snapToGrid w:val="0"/>
              <w:spacing w:line="240" w:lineRule="auto"/>
              <w:ind w:firstLine="0" w:firstLineChars="0"/>
              <w:jc w:val="left"/>
              <w:rPr>
                <w:w w:val="80"/>
                <w:sz w:val="21"/>
                <w:szCs w:val="21"/>
              </w:rPr>
            </w:pPr>
            <w:r>
              <w:rPr>
                <w:rFonts w:hint="eastAsia"/>
                <w:w w:val="80"/>
                <w:sz w:val="21"/>
                <w:szCs w:val="21"/>
              </w:rPr>
              <w:t>干选废石仓</w:t>
            </w:r>
            <w:r>
              <w:rPr>
                <w:w w:val="80"/>
                <w:sz w:val="21"/>
                <w:szCs w:val="21"/>
              </w:rPr>
              <w:t>布袋除尘系统</w:t>
            </w:r>
          </w:p>
        </w:tc>
        <w:tc>
          <w:tcPr>
            <w:tcW w:w="349" w:type="pct"/>
            <w:vAlign w:val="center"/>
          </w:tcPr>
          <w:p w14:paraId="0523CE0D">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49A471EF">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44B3B3EB">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3D0A0CE5">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59D94D1">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4962F7C8">
            <w:pPr>
              <w:snapToGrid w:val="0"/>
              <w:spacing w:line="240" w:lineRule="auto"/>
              <w:ind w:firstLine="0" w:firstLineChars="0"/>
              <w:jc w:val="center"/>
              <w:rPr>
                <w:w w:val="80"/>
                <w:sz w:val="21"/>
                <w:szCs w:val="21"/>
              </w:rPr>
            </w:pPr>
            <w:r>
              <w:rPr>
                <w:rFonts w:hint="eastAsia"/>
                <w:w w:val="80"/>
                <w:sz w:val="21"/>
                <w:szCs w:val="21"/>
              </w:rPr>
              <w:t>3.08</w:t>
            </w:r>
          </w:p>
        </w:tc>
      </w:tr>
      <w:tr w14:paraId="28EB4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E30C411">
            <w:pPr>
              <w:snapToGrid w:val="0"/>
              <w:spacing w:line="240" w:lineRule="auto"/>
              <w:ind w:firstLine="0" w:firstLineChars="0"/>
              <w:jc w:val="center"/>
              <w:rPr>
                <w:w w:val="80"/>
                <w:sz w:val="21"/>
                <w:szCs w:val="21"/>
              </w:rPr>
            </w:pPr>
            <w:r>
              <w:rPr>
                <w:rFonts w:hint="eastAsia"/>
                <w:w w:val="80"/>
                <w:sz w:val="21"/>
                <w:szCs w:val="21"/>
              </w:rPr>
              <w:t>10</w:t>
            </w:r>
          </w:p>
        </w:tc>
        <w:tc>
          <w:tcPr>
            <w:tcW w:w="1661" w:type="pct"/>
            <w:vAlign w:val="center"/>
          </w:tcPr>
          <w:p w14:paraId="3FDE9020">
            <w:pPr>
              <w:snapToGrid w:val="0"/>
              <w:spacing w:line="240" w:lineRule="auto"/>
              <w:ind w:firstLine="0" w:firstLineChars="0"/>
              <w:jc w:val="left"/>
              <w:rPr>
                <w:w w:val="80"/>
                <w:sz w:val="21"/>
                <w:szCs w:val="21"/>
              </w:rPr>
            </w:pPr>
            <w:r>
              <w:rPr>
                <w:w w:val="80"/>
                <w:sz w:val="21"/>
                <w:szCs w:val="21"/>
              </w:rPr>
              <w:t>磨矿仓车间装车区域干雾抑尘</w:t>
            </w:r>
          </w:p>
        </w:tc>
        <w:tc>
          <w:tcPr>
            <w:tcW w:w="349" w:type="pct"/>
            <w:vAlign w:val="center"/>
          </w:tcPr>
          <w:p w14:paraId="584BEE32">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73FDD472">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6BCC02E9">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0C989B42">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5588FB22">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03171E1F">
            <w:pPr>
              <w:snapToGrid w:val="0"/>
              <w:spacing w:line="240" w:lineRule="auto"/>
              <w:ind w:firstLine="0" w:firstLineChars="0"/>
              <w:jc w:val="center"/>
              <w:rPr>
                <w:w w:val="80"/>
                <w:sz w:val="21"/>
                <w:szCs w:val="21"/>
              </w:rPr>
            </w:pPr>
            <w:r>
              <w:rPr>
                <w:rFonts w:hint="eastAsia"/>
                <w:w w:val="80"/>
                <w:sz w:val="21"/>
                <w:szCs w:val="21"/>
              </w:rPr>
              <w:t>3.08</w:t>
            </w:r>
          </w:p>
        </w:tc>
      </w:tr>
      <w:tr w14:paraId="0E4C8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65C6D3D4">
            <w:pPr>
              <w:snapToGrid w:val="0"/>
              <w:spacing w:line="240" w:lineRule="auto"/>
              <w:ind w:firstLine="0" w:firstLineChars="0"/>
              <w:jc w:val="center"/>
              <w:rPr>
                <w:w w:val="80"/>
                <w:sz w:val="21"/>
                <w:szCs w:val="21"/>
              </w:rPr>
            </w:pPr>
            <w:r>
              <w:rPr>
                <w:rFonts w:hint="eastAsia"/>
                <w:w w:val="80"/>
                <w:sz w:val="21"/>
                <w:szCs w:val="21"/>
              </w:rPr>
              <w:t>11</w:t>
            </w:r>
          </w:p>
        </w:tc>
        <w:tc>
          <w:tcPr>
            <w:tcW w:w="1661" w:type="pct"/>
            <w:vAlign w:val="center"/>
          </w:tcPr>
          <w:p w14:paraId="17B96840">
            <w:pPr>
              <w:snapToGrid w:val="0"/>
              <w:spacing w:line="240" w:lineRule="auto"/>
              <w:ind w:firstLine="0" w:firstLineChars="0"/>
              <w:jc w:val="left"/>
              <w:rPr>
                <w:w w:val="80"/>
                <w:sz w:val="21"/>
                <w:szCs w:val="21"/>
              </w:rPr>
            </w:pPr>
            <w:r>
              <w:rPr>
                <w:rFonts w:hint="eastAsia"/>
                <w:w w:val="80"/>
                <w:sz w:val="21"/>
                <w:szCs w:val="21"/>
              </w:rPr>
              <w:t>充填站仓顶除尘器</w:t>
            </w:r>
          </w:p>
        </w:tc>
        <w:tc>
          <w:tcPr>
            <w:tcW w:w="349" w:type="pct"/>
            <w:vAlign w:val="center"/>
          </w:tcPr>
          <w:p w14:paraId="3EE118DF">
            <w:pPr>
              <w:snapToGrid w:val="0"/>
              <w:spacing w:line="240" w:lineRule="auto"/>
              <w:ind w:firstLine="0" w:firstLineChars="0"/>
              <w:jc w:val="center"/>
              <w:rPr>
                <w:w w:val="80"/>
                <w:sz w:val="21"/>
                <w:szCs w:val="21"/>
              </w:rPr>
            </w:pPr>
            <w:r>
              <w:rPr>
                <w:rFonts w:hint="eastAsia"/>
                <w:w w:val="80"/>
                <w:sz w:val="21"/>
                <w:szCs w:val="21"/>
              </w:rPr>
              <w:t>2</w:t>
            </w:r>
          </w:p>
        </w:tc>
        <w:tc>
          <w:tcPr>
            <w:tcW w:w="781" w:type="pct"/>
            <w:vAlign w:val="center"/>
          </w:tcPr>
          <w:p w14:paraId="5C83F0A3">
            <w:pPr>
              <w:snapToGrid w:val="0"/>
              <w:spacing w:line="240" w:lineRule="auto"/>
              <w:ind w:firstLine="0" w:firstLineChars="0"/>
              <w:jc w:val="center"/>
              <w:rPr>
                <w:w w:val="80"/>
                <w:sz w:val="21"/>
                <w:szCs w:val="21"/>
              </w:rPr>
            </w:pPr>
            <w:r>
              <w:rPr>
                <w:rFonts w:hint="eastAsia"/>
                <w:w w:val="80"/>
                <w:sz w:val="21"/>
                <w:szCs w:val="21"/>
              </w:rPr>
              <w:t>1.2</w:t>
            </w:r>
          </w:p>
        </w:tc>
        <w:tc>
          <w:tcPr>
            <w:tcW w:w="478" w:type="pct"/>
            <w:vAlign w:val="center"/>
          </w:tcPr>
          <w:p w14:paraId="4CB37DF2">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1CF399DD">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8626ACF">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02A85188">
            <w:pPr>
              <w:snapToGrid w:val="0"/>
              <w:spacing w:line="240" w:lineRule="auto"/>
              <w:ind w:firstLine="0" w:firstLineChars="0"/>
              <w:jc w:val="center"/>
              <w:rPr>
                <w:w w:val="80"/>
                <w:sz w:val="21"/>
                <w:szCs w:val="21"/>
              </w:rPr>
            </w:pPr>
            <w:r>
              <w:rPr>
                <w:rFonts w:hint="eastAsia"/>
                <w:w w:val="80"/>
                <w:sz w:val="21"/>
                <w:szCs w:val="21"/>
              </w:rPr>
              <w:t>1.85</w:t>
            </w:r>
          </w:p>
        </w:tc>
      </w:tr>
      <w:tr w14:paraId="5D06F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2933805D">
            <w:pPr>
              <w:snapToGrid w:val="0"/>
              <w:spacing w:line="240" w:lineRule="auto"/>
              <w:ind w:firstLine="0" w:firstLineChars="0"/>
              <w:jc w:val="center"/>
              <w:rPr>
                <w:w w:val="80"/>
                <w:sz w:val="21"/>
                <w:szCs w:val="21"/>
              </w:rPr>
            </w:pPr>
            <w:r>
              <w:rPr>
                <w:rFonts w:hint="eastAsia"/>
                <w:w w:val="80"/>
                <w:sz w:val="21"/>
                <w:szCs w:val="21"/>
              </w:rPr>
              <w:t>12</w:t>
            </w:r>
          </w:p>
        </w:tc>
        <w:tc>
          <w:tcPr>
            <w:tcW w:w="1661" w:type="pct"/>
            <w:vAlign w:val="center"/>
          </w:tcPr>
          <w:p w14:paraId="37D02DD4">
            <w:pPr>
              <w:snapToGrid w:val="0"/>
              <w:spacing w:line="240" w:lineRule="auto"/>
              <w:ind w:firstLine="0" w:firstLineChars="0"/>
              <w:jc w:val="left"/>
              <w:rPr>
                <w:w w:val="80"/>
                <w:sz w:val="21"/>
                <w:szCs w:val="21"/>
              </w:rPr>
            </w:pPr>
            <w:r>
              <w:rPr>
                <w:rFonts w:hint="eastAsia"/>
                <w:w w:val="80"/>
                <w:sz w:val="21"/>
                <w:szCs w:val="21"/>
              </w:rPr>
              <w:t>充填站特种除尘器</w:t>
            </w:r>
          </w:p>
        </w:tc>
        <w:tc>
          <w:tcPr>
            <w:tcW w:w="349" w:type="pct"/>
            <w:vAlign w:val="center"/>
          </w:tcPr>
          <w:p w14:paraId="487AE0C7">
            <w:pPr>
              <w:snapToGrid w:val="0"/>
              <w:spacing w:line="240" w:lineRule="auto"/>
              <w:ind w:firstLine="0" w:firstLineChars="0"/>
              <w:jc w:val="center"/>
              <w:rPr>
                <w:w w:val="80"/>
                <w:sz w:val="21"/>
                <w:szCs w:val="21"/>
              </w:rPr>
            </w:pPr>
            <w:r>
              <w:rPr>
                <w:rFonts w:hint="eastAsia"/>
                <w:w w:val="80"/>
                <w:sz w:val="21"/>
                <w:szCs w:val="21"/>
              </w:rPr>
              <w:t>3</w:t>
            </w:r>
          </w:p>
        </w:tc>
        <w:tc>
          <w:tcPr>
            <w:tcW w:w="781" w:type="pct"/>
            <w:vAlign w:val="center"/>
          </w:tcPr>
          <w:p w14:paraId="2D0E0610">
            <w:pPr>
              <w:snapToGrid w:val="0"/>
              <w:spacing w:line="240" w:lineRule="auto"/>
              <w:ind w:firstLine="0" w:firstLineChars="0"/>
              <w:jc w:val="center"/>
              <w:rPr>
                <w:w w:val="80"/>
                <w:sz w:val="21"/>
                <w:szCs w:val="21"/>
              </w:rPr>
            </w:pPr>
            <w:r>
              <w:rPr>
                <w:rFonts w:hint="eastAsia"/>
                <w:w w:val="80"/>
                <w:sz w:val="21"/>
                <w:szCs w:val="21"/>
              </w:rPr>
              <w:t>3</w:t>
            </w:r>
          </w:p>
        </w:tc>
        <w:tc>
          <w:tcPr>
            <w:tcW w:w="478" w:type="pct"/>
            <w:vAlign w:val="center"/>
          </w:tcPr>
          <w:p w14:paraId="0E0B7081">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67E7AC6C">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3DCEA7D7">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3C09BF91">
            <w:pPr>
              <w:snapToGrid w:val="0"/>
              <w:spacing w:line="240" w:lineRule="auto"/>
              <w:ind w:firstLine="0" w:firstLineChars="0"/>
              <w:jc w:val="center"/>
              <w:rPr>
                <w:w w:val="80"/>
                <w:sz w:val="21"/>
                <w:szCs w:val="21"/>
              </w:rPr>
            </w:pPr>
            <w:r>
              <w:rPr>
                <w:rFonts w:hint="eastAsia"/>
                <w:w w:val="80"/>
                <w:sz w:val="21"/>
                <w:szCs w:val="21"/>
              </w:rPr>
              <w:t>6.93</w:t>
            </w:r>
          </w:p>
        </w:tc>
      </w:tr>
      <w:tr w14:paraId="3FC56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70270B0D">
            <w:pPr>
              <w:snapToGrid w:val="0"/>
              <w:spacing w:line="240" w:lineRule="auto"/>
              <w:ind w:firstLine="0" w:firstLineChars="0"/>
              <w:jc w:val="center"/>
              <w:rPr>
                <w:w w:val="80"/>
                <w:sz w:val="21"/>
                <w:szCs w:val="21"/>
              </w:rPr>
            </w:pPr>
            <w:r>
              <w:rPr>
                <w:rFonts w:hint="eastAsia"/>
                <w:w w:val="80"/>
                <w:sz w:val="21"/>
                <w:szCs w:val="21"/>
              </w:rPr>
              <w:t>13</w:t>
            </w:r>
          </w:p>
        </w:tc>
        <w:tc>
          <w:tcPr>
            <w:tcW w:w="1661" w:type="pct"/>
            <w:vAlign w:val="center"/>
          </w:tcPr>
          <w:p w14:paraId="24DFF36D">
            <w:pPr>
              <w:snapToGrid w:val="0"/>
              <w:spacing w:line="240" w:lineRule="auto"/>
              <w:ind w:firstLine="0" w:firstLineChars="0"/>
              <w:jc w:val="left"/>
              <w:rPr>
                <w:w w:val="80"/>
                <w:sz w:val="21"/>
                <w:szCs w:val="21"/>
              </w:rPr>
            </w:pPr>
            <w:r>
              <w:rPr>
                <w:rFonts w:hint="eastAsia"/>
                <w:w w:val="80"/>
                <w:sz w:val="21"/>
                <w:szCs w:val="21"/>
              </w:rPr>
              <w:t>充填站声波清灰器</w:t>
            </w:r>
          </w:p>
        </w:tc>
        <w:tc>
          <w:tcPr>
            <w:tcW w:w="349" w:type="pct"/>
            <w:vAlign w:val="center"/>
          </w:tcPr>
          <w:p w14:paraId="3E8A6042">
            <w:pPr>
              <w:snapToGrid w:val="0"/>
              <w:spacing w:line="240" w:lineRule="auto"/>
              <w:ind w:firstLine="0" w:firstLineChars="0"/>
              <w:jc w:val="center"/>
              <w:rPr>
                <w:w w:val="80"/>
                <w:sz w:val="21"/>
                <w:szCs w:val="21"/>
              </w:rPr>
            </w:pPr>
            <w:r>
              <w:rPr>
                <w:rFonts w:hint="eastAsia"/>
                <w:w w:val="80"/>
                <w:sz w:val="21"/>
                <w:szCs w:val="21"/>
              </w:rPr>
              <w:t>4</w:t>
            </w:r>
          </w:p>
        </w:tc>
        <w:tc>
          <w:tcPr>
            <w:tcW w:w="781" w:type="pct"/>
            <w:vAlign w:val="center"/>
          </w:tcPr>
          <w:p w14:paraId="5D9B9EA3">
            <w:pPr>
              <w:snapToGrid w:val="0"/>
              <w:spacing w:line="240" w:lineRule="auto"/>
              <w:ind w:firstLine="0" w:firstLineChars="0"/>
              <w:jc w:val="center"/>
              <w:rPr>
                <w:w w:val="80"/>
                <w:sz w:val="21"/>
                <w:szCs w:val="21"/>
              </w:rPr>
            </w:pPr>
            <w:r>
              <w:rPr>
                <w:rFonts w:hint="eastAsia"/>
                <w:w w:val="80"/>
                <w:sz w:val="21"/>
                <w:szCs w:val="21"/>
              </w:rPr>
              <w:t>1.5</w:t>
            </w:r>
          </w:p>
        </w:tc>
        <w:tc>
          <w:tcPr>
            <w:tcW w:w="478" w:type="pct"/>
            <w:vAlign w:val="center"/>
          </w:tcPr>
          <w:p w14:paraId="3621CB2D">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497C4FC5">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10D0AEA">
            <w:pPr>
              <w:snapToGrid w:val="0"/>
              <w:spacing w:line="240" w:lineRule="auto"/>
              <w:ind w:firstLine="0" w:firstLineChars="0"/>
              <w:jc w:val="center"/>
              <w:rPr>
                <w:w w:val="80"/>
                <w:sz w:val="21"/>
                <w:szCs w:val="21"/>
              </w:rPr>
            </w:pPr>
            <w:r>
              <w:rPr>
                <w:rFonts w:hint="eastAsia"/>
                <w:w w:val="80"/>
                <w:sz w:val="21"/>
                <w:szCs w:val="21"/>
              </w:rPr>
              <w:t>0.4~0.7</w:t>
            </w:r>
          </w:p>
        </w:tc>
        <w:tc>
          <w:tcPr>
            <w:tcW w:w="579" w:type="pct"/>
            <w:vAlign w:val="center"/>
          </w:tcPr>
          <w:p w14:paraId="2C687E63">
            <w:pPr>
              <w:snapToGrid w:val="0"/>
              <w:spacing w:line="240" w:lineRule="auto"/>
              <w:ind w:firstLine="0" w:firstLineChars="0"/>
              <w:jc w:val="center"/>
              <w:rPr>
                <w:w w:val="80"/>
                <w:sz w:val="21"/>
                <w:szCs w:val="21"/>
              </w:rPr>
            </w:pPr>
            <w:r>
              <w:rPr>
                <w:rFonts w:hint="eastAsia"/>
                <w:w w:val="80"/>
                <w:sz w:val="21"/>
                <w:szCs w:val="21"/>
              </w:rPr>
              <w:t>3.30</w:t>
            </w:r>
          </w:p>
        </w:tc>
      </w:tr>
      <w:tr w14:paraId="52B83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421" w:type="pct"/>
            <w:gridSpan w:val="7"/>
            <w:vAlign w:val="center"/>
          </w:tcPr>
          <w:p w14:paraId="13B8835C">
            <w:pPr>
              <w:snapToGrid w:val="0"/>
              <w:spacing w:line="240" w:lineRule="auto"/>
              <w:ind w:firstLine="0" w:firstLineChars="0"/>
              <w:jc w:val="center"/>
              <w:rPr>
                <w:w w:val="80"/>
                <w:sz w:val="21"/>
                <w:szCs w:val="21"/>
              </w:rPr>
            </w:pPr>
            <w:r>
              <w:rPr>
                <w:w w:val="80"/>
                <w:sz w:val="21"/>
                <w:szCs w:val="21"/>
              </w:rPr>
              <w:t>合  计</w:t>
            </w:r>
          </w:p>
        </w:tc>
        <w:tc>
          <w:tcPr>
            <w:tcW w:w="579" w:type="pct"/>
            <w:vAlign w:val="center"/>
          </w:tcPr>
          <w:p w14:paraId="28940CB5">
            <w:pPr>
              <w:snapToGrid w:val="0"/>
              <w:spacing w:line="240" w:lineRule="auto"/>
              <w:ind w:firstLine="0" w:firstLineChars="0"/>
              <w:jc w:val="center"/>
              <w:rPr>
                <w:w w:val="80"/>
                <w:sz w:val="21"/>
                <w:szCs w:val="21"/>
              </w:rPr>
            </w:pPr>
            <w:r>
              <w:rPr>
                <w:rFonts w:hint="eastAsia"/>
                <w:w w:val="80"/>
                <w:sz w:val="21"/>
                <w:szCs w:val="21"/>
              </w:rPr>
              <w:t>102.78</w:t>
            </w:r>
          </w:p>
        </w:tc>
      </w:tr>
    </w:tbl>
    <w:p w14:paraId="0EBD5D63">
      <w:pPr>
        <w:widowControl/>
        <w:adjustRightInd w:val="0"/>
        <w:snapToGrid w:val="0"/>
        <w:spacing w:line="360" w:lineRule="auto"/>
        <w:ind w:firstLine="560"/>
        <w:rPr>
          <w:bCs/>
          <w:szCs w:val="28"/>
        </w:rPr>
      </w:pPr>
    </w:p>
    <w:p w14:paraId="7333A63B">
      <w:pPr>
        <w:widowControl/>
        <w:adjustRightInd w:val="0"/>
        <w:snapToGrid w:val="0"/>
        <w:spacing w:line="360" w:lineRule="auto"/>
        <w:ind w:firstLine="560"/>
        <w:rPr>
          <w:bCs/>
          <w:szCs w:val="28"/>
        </w:rPr>
      </w:pPr>
      <w:r>
        <w:rPr>
          <w:rFonts w:hint="eastAsia"/>
          <w:bCs/>
          <w:szCs w:val="28"/>
        </w:rPr>
        <w:t>1）移动式空压机</w:t>
      </w:r>
    </w:p>
    <w:p w14:paraId="2475F236">
      <w:pPr>
        <w:widowControl/>
        <w:adjustRightInd w:val="0"/>
        <w:snapToGrid w:val="0"/>
        <w:spacing w:line="360" w:lineRule="auto"/>
        <w:ind w:firstLine="560"/>
        <w:rPr>
          <w:bCs/>
          <w:szCs w:val="28"/>
        </w:rPr>
      </w:pPr>
      <w:r>
        <w:rPr>
          <w:rFonts w:hint="eastAsia"/>
          <w:bCs/>
          <w:szCs w:val="28"/>
        </w:rPr>
        <w:t>KQG-150凿岩台车和YSP-45凿岩机均采用移动式空压机供气。</w:t>
      </w:r>
    </w:p>
    <w:p w14:paraId="73CE114B">
      <w:pPr>
        <w:widowControl/>
        <w:adjustRightInd w:val="0"/>
        <w:snapToGrid w:val="0"/>
        <w:spacing w:line="360" w:lineRule="auto"/>
        <w:ind w:firstLine="560"/>
        <w:rPr>
          <w:bCs/>
          <w:szCs w:val="28"/>
        </w:rPr>
      </w:pPr>
      <w:r>
        <w:rPr>
          <w:rFonts w:hint="eastAsia"/>
          <w:bCs/>
          <w:szCs w:val="28"/>
        </w:rPr>
        <w:t>选用1台MLGF22/16-200G矿用螺杆式移动空气压缩机，为井下KQG-150凿岩台车提供气源。空压机排气量22Nm</w:t>
      </w:r>
      <w:r>
        <w:rPr>
          <w:rFonts w:hint="eastAsia"/>
          <w:bCs/>
          <w:szCs w:val="28"/>
          <w:vertAlign w:val="superscript"/>
        </w:rPr>
        <w:t>3</w:t>
      </w:r>
      <w:r>
        <w:rPr>
          <w:rFonts w:hint="eastAsia"/>
          <w:bCs/>
          <w:szCs w:val="28"/>
        </w:rPr>
        <w:t>/min，排气压力1.6MPa，配电功率200kW，电压380V。</w:t>
      </w:r>
    </w:p>
    <w:p w14:paraId="437A5266">
      <w:pPr>
        <w:widowControl/>
        <w:adjustRightInd w:val="0"/>
        <w:snapToGrid w:val="0"/>
        <w:spacing w:line="360" w:lineRule="auto"/>
        <w:ind w:firstLine="560"/>
        <w:rPr>
          <w:bCs/>
          <w:szCs w:val="28"/>
        </w:rPr>
      </w:pPr>
      <w:r>
        <w:rPr>
          <w:rFonts w:hint="eastAsia"/>
          <w:bCs/>
          <w:szCs w:val="28"/>
        </w:rPr>
        <w:t>选用3台MLGF13/8-75G矿用螺杆式移动空气压缩机，为井下YSP-45凿岩机提供气源。单台空压机排气量13Nm</w:t>
      </w:r>
      <w:r>
        <w:rPr>
          <w:rFonts w:hint="eastAsia"/>
          <w:bCs/>
          <w:szCs w:val="28"/>
          <w:vertAlign w:val="superscript"/>
        </w:rPr>
        <w:t>3</w:t>
      </w:r>
      <w:r>
        <w:rPr>
          <w:rFonts w:hint="eastAsia"/>
          <w:bCs/>
          <w:szCs w:val="28"/>
        </w:rPr>
        <w:t>/min，排气压力0.8MPa，配电功率70kW，电压380V。</w:t>
      </w:r>
    </w:p>
    <w:p w14:paraId="5C902031">
      <w:pPr>
        <w:widowControl/>
        <w:adjustRightInd w:val="0"/>
        <w:snapToGrid w:val="0"/>
        <w:spacing w:line="360" w:lineRule="auto"/>
        <w:ind w:firstLine="560"/>
        <w:rPr>
          <w:bCs/>
          <w:szCs w:val="28"/>
        </w:rPr>
      </w:pPr>
      <w:r>
        <w:rPr>
          <w:rFonts w:hint="eastAsia"/>
          <w:bCs/>
          <w:szCs w:val="28"/>
        </w:rPr>
        <w:t>2）地表空压机站</w:t>
      </w:r>
    </w:p>
    <w:p w14:paraId="202FDE3B">
      <w:pPr>
        <w:widowControl/>
        <w:adjustRightInd w:val="0"/>
        <w:snapToGrid w:val="0"/>
        <w:spacing w:line="360" w:lineRule="auto"/>
        <w:ind w:firstLine="560"/>
        <w:rPr>
          <w:bCs/>
          <w:szCs w:val="28"/>
        </w:rPr>
      </w:pPr>
      <w:r>
        <w:rPr>
          <w:rFonts w:hint="eastAsia"/>
          <w:bCs/>
          <w:szCs w:val="28"/>
        </w:rPr>
        <w:t>采用地表固定式空压机站来满足井下除（抑）尘设备等设施、压风自救系统和地表工业场地的用气需求。</w:t>
      </w:r>
    </w:p>
    <w:p w14:paraId="676D3C85">
      <w:pPr>
        <w:widowControl/>
        <w:adjustRightInd w:val="0"/>
        <w:snapToGrid w:val="0"/>
        <w:spacing w:line="360" w:lineRule="auto"/>
        <w:ind w:firstLine="560"/>
        <w:rPr>
          <w:bCs/>
          <w:szCs w:val="28"/>
        </w:rPr>
      </w:pPr>
      <w:r>
        <w:rPr>
          <w:rFonts w:hint="eastAsia"/>
          <w:bCs/>
          <w:szCs w:val="28"/>
        </w:rPr>
        <w:t>井下生产最大耗气量为35.64Nm</w:t>
      </w:r>
      <w:r>
        <w:rPr>
          <w:rFonts w:hint="eastAsia"/>
          <w:bCs/>
          <w:szCs w:val="28"/>
          <w:vertAlign w:val="superscript"/>
        </w:rPr>
        <w:t>3</w:t>
      </w:r>
      <w:r>
        <w:rPr>
          <w:rFonts w:hint="eastAsia"/>
          <w:bCs/>
          <w:szCs w:val="28"/>
        </w:rPr>
        <w:t>/min，地表生产最大耗气量为121.09Nm</w:t>
      </w:r>
      <w:r>
        <w:rPr>
          <w:rFonts w:hint="eastAsia"/>
          <w:bCs/>
          <w:szCs w:val="28"/>
          <w:vertAlign w:val="superscript"/>
        </w:rPr>
        <w:t>3</w:t>
      </w:r>
      <w:r>
        <w:rPr>
          <w:rFonts w:hint="eastAsia"/>
          <w:bCs/>
          <w:szCs w:val="28"/>
        </w:rPr>
        <w:t>/min。考虑部分管理、服务人员下井需求，井下同时工作最大班人数按170人考虑，进入避灾硐室内的人员供风量为每人不低于0.3m</w:t>
      </w:r>
      <w:r>
        <w:rPr>
          <w:rFonts w:hint="eastAsia"/>
          <w:bCs/>
          <w:szCs w:val="28"/>
          <w:vertAlign w:val="superscript"/>
        </w:rPr>
        <w:t>3</w:t>
      </w:r>
      <w:r>
        <w:rPr>
          <w:rFonts w:hint="eastAsia"/>
          <w:bCs/>
          <w:szCs w:val="28"/>
        </w:rPr>
        <w:t>/min，巷道内的人员供风量为每人不低于0.1m</w:t>
      </w:r>
      <w:r>
        <w:rPr>
          <w:rFonts w:hint="eastAsia"/>
          <w:bCs/>
          <w:szCs w:val="28"/>
          <w:vertAlign w:val="superscript"/>
        </w:rPr>
        <w:t>3</w:t>
      </w:r>
      <w:r>
        <w:rPr>
          <w:rFonts w:hint="eastAsia"/>
          <w:bCs/>
          <w:szCs w:val="28"/>
        </w:rPr>
        <w:t>/min，考虑高原修正系数、管网漏气系数和设备下降系数等，压风自救最大用气量为47.56Nm</w:t>
      </w:r>
      <w:r>
        <w:rPr>
          <w:rFonts w:hint="eastAsia"/>
          <w:bCs/>
          <w:szCs w:val="28"/>
          <w:vertAlign w:val="superscript"/>
        </w:rPr>
        <w:t>3</w:t>
      </w:r>
      <w:r>
        <w:rPr>
          <w:rFonts w:hint="eastAsia"/>
          <w:bCs/>
          <w:szCs w:val="28"/>
        </w:rPr>
        <w:t>/min。</w:t>
      </w:r>
    </w:p>
    <w:p w14:paraId="64B7B845">
      <w:pPr>
        <w:snapToGrid w:val="0"/>
        <w:spacing w:line="360" w:lineRule="auto"/>
        <w:ind w:firstLine="560"/>
        <w:rPr>
          <w:bCs/>
          <w:szCs w:val="28"/>
        </w:rPr>
      </w:pPr>
      <w:r>
        <w:rPr>
          <w:rFonts w:hint="eastAsia"/>
          <w:bCs/>
          <w:szCs w:val="28"/>
        </w:rPr>
        <w:t>在地表工业场地内设一座固定空压机站，共设6台空气压缩机，分成2组，分别为井下和地表设施提供气源。</w:t>
      </w:r>
    </w:p>
    <w:p w14:paraId="69187B1A">
      <w:pPr>
        <w:widowControl/>
        <w:adjustRightInd w:val="0"/>
        <w:snapToGrid w:val="0"/>
        <w:spacing w:line="360" w:lineRule="auto"/>
        <w:ind w:firstLine="560"/>
        <w:rPr>
          <w:bCs/>
          <w:szCs w:val="28"/>
        </w:rPr>
      </w:pPr>
      <w:r>
        <w:rPr>
          <w:rFonts w:hint="eastAsia"/>
          <w:bCs/>
          <w:szCs w:val="28"/>
        </w:rPr>
        <w:t>选用2台DLGF 40/8-250矿用螺杆式空气压缩机，为井下除（抑）尘和机修硐室等设施、压风自救系统提供气源，正常生产时，1台工作，1台备用；井下遇险时，2台同时工作。单台空压机排气量40Nm</w:t>
      </w:r>
      <w:r>
        <w:rPr>
          <w:rFonts w:hint="eastAsia"/>
          <w:bCs/>
          <w:szCs w:val="28"/>
          <w:vertAlign w:val="superscript"/>
        </w:rPr>
        <w:t>3</w:t>
      </w:r>
      <w:r>
        <w:rPr>
          <w:rFonts w:hint="eastAsia"/>
          <w:bCs/>
          <w:szCs w:val="28"/>
        </w:rPr>
        <w:t>/min，排气压力0.8MPa，配电机功率250kW，电压380V。每台空压机配1个5m</w:t>
      </w:r>
      <w:r>
        <w:rPr>
          <w:rFonts w:hint="eastAsia"/>
          <w:bCs/>
          <w:szCs w:val="28"/>
          <w:vertAlign w:val="superscript"/>
        </w:rPr>
        <w:t>3</w:t>
      </w:r>
      <w:r>
        <w:rPr>
          <w:rFonts w:hint="eastAsia"/>
          <w:bCs/>
          <w:szCs w:val="28"/>
        </w:rPr>
        <w:t>储气罐和1台微热再生吸附式干燥机。压气主管道选用1根Φ159×7无缝钢管（-505m~-565m水平压气主管道变径为Φ133×7无缝钢管），由空压机站接出，经副井、采区人行回风天井敷设至井下各水平，并延伸至用气点。皮带道和粉矿清理水平的压气管道由-565m水平压气管道上接管，通过溜破系统斜坡道敷设至-625m和-685m水平。</w:t>
      </w:r>
    </w:p>
    <w:p w14:paraId="64C4C794">
      <w:pPr>
        <w:widowControl/>
        <w:adjustRightInd w:val="0"/>
        <w:snapToGrid w:val="0"/>
        <w:spacing w:line="360" w:lineRule="auto"/>
        <w:ind w:firstLine="560"/>
        <w:rPr>
          <w:bCs/>
          <w:szCs w:val="28"/>
        </w:rPr>
      </w:pPr>
      <w:r>
        <w:rPr>
          <w:rFonts w:hint="eastAsia"/>
          <w:bCs/>
          <w:szCs w:val="28"/>
        </w:rPr>
        <w:t>选用4台变频螺杆式空压机，为地表设施（含充填站）提供气源，3台工作，1台备用。单台空压机排气量为</w:t>
      </w:r>
      <w:r>
        <w:rPr>
          <w:bCs/>
          <w:szCs w:val="28"/>
        </w:rPr>
        <w:t>43</w:t>
      </w:r>
      <w:r>
        <w:rPr>
          <w:rFonts w:hint="eastAsia"/>
          <w:bCs/>
          <w:szCs w:val="28"/>
        </w:rPr>
        <w:t>Nm</w:t>
      </w:r>
      <w:r>
        <w:rPr>
          <w:rFonts w:hint="eastAsia"/>
          <w:bCs/>
          <w:szCs w:val="28"/>
          <w:vertAlign w:val="superscript"/>
        </w:rPr>
        <w:t>3</w:t>
      </w:r>
      <w:r>
        <w:rPr>
          <w:rFonts w:hint="eastAsia"/>
          <w:bCs/>
          <w:szCs w:val="28"/>
        </w:rPr>
        <w:t>/min，排气压力1.0MPa，电机功率250kW，电压380V，每台空压机配1个5m</w:t>
      </w:r>
      <w:r>
        <w:rPr>
          <w:rFonts w:hint="eastAsia"/>
          <w:bCs/>
          <w:szCs w:val="28"/>
          <w:vertAlign w:val="superscript"/>
        </w:rPr>
        <w:t>3</w:t>
      </w:r>
      <w:r>
        <w:rPr>
          <w:rFonts w:hint="eastAsia"/>
          <w:bCs/>
          <w:szCs w:val="28"/>
        </w:rPr>
        <w:t>储气罐和1台微热再生吸附式干燥机。压气主管道选用1根Φ219×7无缝钢管，由空压机站接出，架空敷设至各用气车间。</w:t>
      </w:r>
    </w:p>
    <w:p w14:paraId="1F01DB8D">
      <w:pPr>
        <w:spacing w:line="360" w:lineRule="auto"/>
        <w:ind w:firstLine="562"/>
        <w:rPr>
          <w:rFonts w:asciiTheme="minorHAnsi" w:hAnsiTheme="minorHAnsi" w:cstheme="minorHAnsi"/>
          <w:b/>
          <w:bCs/>
          <w:szCs w:val="28"/>
        </w:rPr>
      </w:pPr>
      <w:r>
        <w:rPr>
          <w:rFonts w:asciiTheme="minorHAnsi" w:hAnsiTheme="minorHAnsi" w:cstheme="minorHAnsi"/>
          <w:b/>
          <w:bCs/>
          <w:szCs w:val="28"/>
        </w:rPr>
        <w:t>（2）</w:t>
      </w:r>
      <w:r>
        <w:rPr>
          <w:rFonts w:hint="eastAsia" w:asciiTheme="minorHAnsi" w:hAnsiTheme="minorHAnsi" w:cstheme="minorHAnsi"/>
          <w:b/>
          <w:bCs/>
          <w:szCs w:val="28"/>
        </w:rPr>
        <w:t>供水设施</w:t>
      </w:r>
    </w:p>
    <w:p w14:paraId="50A25DFF">
      <w:pPr>
        <w:widowControl/>
        <w:adjustRightInd w:val="0"/>
        <w:snapToGrid w:val="0"/>
        <w:spacing w:line="360" w:lineRule="auto"/>
        <w:ind w:firstLine="560"/>
        <w:rPr>
          <w:bCs/>
          <w:szCs w:val="28"/>
        </w:rPr>
      </w:pPr>
      <w:r>
        <w:rPr>
          <w:rFonts w:hint="eastAsia"/>
          <w:bCs/>
          <w:szCs w:val="28"/>
        </w:rPr>
        <w:t>矿山井下生产、除尘的班总耗水量为1048.88m</w:t>
      </w:r>
      <w:r>
        <w:rPr>
          <w:rFonts w:hint="eastAsia"/>
          <w:bCs/>
          <w:szCs w:val="28"/>
          <w:vertAlign w:val="superscript"/>
        </w:rPr>
        <w:t>3</w:t>
      </w:r>
      <w:r>
        <w:rPr>
          <w:rFonts w:hint="eastAsia"/>
          <w:bCs/>
          <w:szCs w:val="28"/>
        </w:rPr>
        <w:t>/班，小时最大耗水量为267.47m</w:t>
      </w:r>
      <w:r>
        <w:rPr>
          <w:rFonts w:hint="eastAsia"/>
          <w:bCs/>
          <w:szCs w:val="28"/>
          <w:vertAlign w:val="superscript"/>
        </w:rPr>
        <w:t>3</w:t>
      </w:r>
      <w:r>
        <w:rPr>
          <w:rFonts w:hint="eastAsia"/>
          <w:bCs/>
          <w:szCs w:val="28"/>
        </w:rPr>
        <w:t>/h。井下消防用水量按20L/s（72m</w:t>
      </w:r>
      <w:r>
        <w:rPr>
          <w:rFonts w:hint="eastAsia"/>
          <w:bCs/>
          <w:szCs w:val="28"/>
          <w:vertAlign w:val="superscript"/>
        </w:rPr>
        <w:t>3</w:t>
      </w:r>
      <w:r>
        <w:rPr>
          <w:rFonts w:hint="eastAsia"/>
          <w:bCs/>
          <w:szCs w:val="28"/>
        </w:rPr>
        <w:t>/h），持续时间3h考虑。消防用水与生产用水不同时使用。</w:t>
      </w:r>
    </w:p>
    <w:p w14:paraId="6DABB7EE">
      <w:pPr>
        <w:widowControl/>
        <w:adjustRightInd w:val="0"/>
        <w:snapToGrid w:val="0"/>
        <w:spacing w:line="360" w:lineRule="auto"/>
        <w:ind w:firstLine="560"/>
        <w:rPr>
          <w:bCs/>
          <w:szCs w:val="28"/>
        </w:rPr>
      </w:pPr>
      <w:r>
        <w:rPr>
          <w:rFonts w:hint="eastAsia"/>
          <w:bCs/>
          <w:szCs w:val="28"/>
        </w:rPr>
        <w:t>井下供水主管道选用1根Φ273×12无缝钢管，由地表</w:t>
      </w:r>
      <w:r>
        <w:rPr>
          <w:bCs/>
          <w:szCs w:val="28"/>
        </w:rPr>
        <w:t>3000m</w:t>
      </w:r>
      <w:r>
        <w:rPr>
          <w:bCs/>
          <w:szCs w:val="28"/>
          <w:vertAlign w:val="superscript"/>
        </w:rPr>
        <w:t>3</w:t>
      </w:r>
      <w:r>
        <w:rPr>
          <w:rFonts w:hint="eastAsia"/>
          <w:bCs/>
          <w:szCs w:val="28"/>
        </w:rPr>
        <w:t>储水池接管经副井敷设至井下-505m水平，-505m~-565m水平之间的供水主管道变径为Φ219×14无缝钢管，再由各水平马头门接入，经减压阀减压后，通过水平巷道敷设至各用水点。皮带道和粉矿清理水平的供水管道由-565m水平供水管道上接管，通过溜破系统斜坡道敷设至-625m和-685m水平。给至分段凿岩水平的供水管道由出矿水平接管，通过4号采区人行回风天井敷设，以满足井下生产、除尘及消防要求。</w:t>
      </w:r>
    </w:p>
    <w:p w14:paraId="23AB5DEC">
      <w:pPr>
        <w:widowControl/>
        <w:adjustRightInd w:val="0"/>
        <w:snapToGrid w:val="0"/>
        <w:spacing w:line="360" w:lineRule="auto"/>
        <w:ind w:firstLine="560"/>
        <w:rPr>
          <w:bCs/>
          <w:szCs w:val="28"/>
        </w:rPr>
      </w:pPr>
      <w:r>
        <w:rPr>
          <w:rFonts w:hint="eastAsia"/>
          <w:bCs/>
          <w:szCs w:val="28"/>
        </w:rPr>
        <w:t>在井下主要中段井底车场、采区斜坡道、溜破系统斜坡道和无轨设备组装维修硐室设消火栓。沿井下巷道内的消防管路每隔50m～100m设一个消火栓。每个消火栓均配备消防水枪和消防水带，水带长度满足消火栓设置间距内的消防要求，消火栓栓口动压力0.25MPa~0.5MPa，消火栓最不利点的水枪充实水柱不小于7m。</w:t>
      </w:r>
    </w:p>
    <w:p w14:paraId="476CC9B7">
      <w:pPr>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2</w:t>
      </w:r>
      <w:r>
        <w:rPr>
          <w:rFonts w:asciiTheme="minorHAnsi" w:hAnsiTheme="minorHAnsi" w:cstheme="minorHAnsi"/>
          <w:b/>
          <w:bCs/>
          <w:szCs w:val="28"/>
        </w:rPr>
        <w:t>.4.10.2</w:t>
      </w:r>
      <w:r>
        <w:rPr>
          <w:rFonts w:hint="eastAsia" w:asciiTheme="minorHAnsi" w:hAnsiTheme="minorHAnsi" w:cstheme="minorHAnsi"/>
          <w:b/>
          <w:bCs/>
          <w:szCs w:val="28"/>
        </w:rPr>
        <w:t>二期</w:t>
      </w:r>
    </w:p>
    <w:p w14:paraId="338356F0">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（1）压气设备选择</w:t>
      </w:r>
    </w:p>
    <w:p w14:paraId="010567D3">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二期投产后与一期同时生产，井下及地表用气设备及耗气量与一期相同。二期单独生产时井下用气设备及耗气量见表</w:t>
      </w:r>
      <w:r>
        <w:rPr>
          <w:rFonts w:asciiTheme="minorHAnsi" w:hAnsiTheme="minorHAnsi" w:cstheme="minorHAnsi"/>
          <w:szCs w:val="28"/>
        </w:rPr>
        <w:t>2.4-18</w:t>
      </w:r>
      <w:r>
        <w:rPr>
          <w:rFonts w:hint="eastAsia" w:asciiTheme="minorHAnsi" w:hAnsiTheme="minorHAnsi" w:cstheme="minorHAnsi"/>
          <w:szCs w:val="28"/>
        </w:rPr>
        <w:t>，地表工业场地用气设备及耗气量见表</w:t>
      </w:r>
      <w:r>
        <w:rPr>
          <w:rFonts w:asciiTheme="minorHAnsi" w:hAnsiTheme="minorHAnsi" w:cstheme="minorHAnsi"/>
          <w:szCs w:val="28"/>
        </w:rPr>
        <w:t>2.4-19</w:t>
      </w:r>
      <w:r>
        <w:rPr>
          <w:rFonts w:hint="eastAsia" w:asciiTheme="minorHAnsi" w:hAnsiTheme="minorHAnsi" w:cstheme="minorHAnsi"/>
          <w:szCs w:val="28"/>
        </w:rPr>
        <w:t>。</w:t>
      </w:r>
    </w:p>
    <w:p w14:paraId="6723B05D">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.4-18</w:t>
      </w:r>
      <w:r>
        <w:rPr>
          <w:rFonts w:hint="eastAsia" w:asciiTheme="minorHAnsi" w:hAnsiTheme="minorHAnsi" w:cstheme="minorHAnsi"/>
          <w:szCs w:val="28"/>
        </w:rPr>
        <w:t>二期单独生产时</w:t>
      </w:r>
      <w:r>
        <w:rPr>
          <w:rFonts w:asciiTheme="minorHAnsi" w:hAnsiTheme="minorHAnsi" w:cstheme="minorHAnsi"/>
          <w:szCs w:val="28"/>
        </w:rPr>
        <w:t>井下用气设备及耗气量表</w:t>
      </w:r>
    </w:p>
    <w:tbl>
      <w:tblPr>
        <w:tblStyle w:val="54"/>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3196"/>
        <w:gridCol w:w="672"/>
        <w:gridCol w:w="1502"/>
        <w:gridCol w:w="919"/>
        <w:gridCol w:w="660"/>
        <w:gridCol w:w="1004"/>
        <w:gridCol w:w="1114"/>
      </w:tblGrid>
      <w:tr w14:paraId="14417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86" w:type="pct"/>
            <w:vAlign w:val="center"/>
          </w:tcPr>
          <w:p w14:paraId="5F31C037">
            <w:pPr>
              <w:snapToGrid w:val="0"/>
              <w:spacing w:line="240" w:lineRule="auto"/>
              <w:ind w:left="-140" w:leftChars="-50" w:right="-140" w:rightChars="-50" w:firstLine="0" w:firstLineChars="0"/>
              <w:jc w:val="center"/>
              <w:rPr>
                <w:w w:val="80"/>
                <w:sz w:val="21"/>
                <w:szCs w:val="21"/>
              </w:rPr>
            </w:pPr>
            <w:r>
              <w:rPr>
                <w:w w:val="80"/>
                <w:sz w:val="21"/>
                <w:szCs w:val="21"/>
              </w:rPr>
              <w:t>序</w:t>
            </w:r>
          </w:p>
          <w:p w14:paraId="12A7F56B">
            <w:pPr>
              <w:snapToGrid w:val="0"/>
              <w:spacing w:line="240" w:lineRule="auto"/>
              <w:ind w:left="-140" w:leftChars="-50" w:right="-140" w:rightChars="-50" w:firstLine="0" w:firstLineChars="0"/>
              <w:jc w:val="center"/>
              <w:rPr>
                <w:w w:val="80"/>
                <w:sz w:val="21"/>
                <w:szCs w:val="21"/>
              </w:rPr>
            </w:pPr>
            <w:r>
              <w:rPr>
                <w:w w:val="80"/>
                <w:sz w:val="21"/>
                <w:szCs w:val="21"/>
              </w:rPr>
              <w:t>号</w:t>
            </w:r>
          </w:p>
        </w:tc>
        <w:tc>
          <w:tcPr>
            <w:tcW w:w="1661" w:type="pct"/>
            <w:vAlign w:val="center"/>
          </w:tcPr>
          <w:p w14:paraId="507ED1E0">
            <w:pPr>
              <w:snapToGrid w:val="0"/>
              <w:spacing w:line="240" w:lineRule="auto"/>
              <w:ind w:firstLine="0" w:firstLineChars="0"/>
              <w:jc w:val="center"/>
              <w:rPr>
                <w:w w:val="80"/>
                <w:sz w:val="21"/>
                <w:szCs w:val="21"/>
              </w:rPr>
            </w:pPr>
            <w:r>
              <w:rPr>
                <w:w w:val="80"/>
                <w:sz w:val="21"/>
                <w:szCs w:val="21"/>
              </w:rPr>
              <w:t>设备名称</w:t>
            </w:r>
          </w:p>
        </w:tc>
        <w:tc>
          <w:tcPr>
            <w:tcW w:w="349" w:type="pct"/>
            <w:vAlign w:val="center"/>
          </w:tcPr>
          <w:p w14:paraId="2C466D92">
            <w:pPr>
              <w:snapToGrid w:val="0"/>
              <w:spacing w:line="240" w:lineRule="auto"/>
              <w:ind w:firstLine="0" w:firstLineChars="0"/>
              <w:jc w:val="center"/>
              <w:rPr>
                <w:w w:val="80"/>
                <w:sz w:val="21"/>
                <w:szCs w:val="21"/>
              </w:rPr>
            </w:pPr>
            <w:r>
              <w:rPr>
                <w:w w:val="80"/>
                <w:sz w:val="21"/>
                <w:szCs w:val="21"/>
              </w:rPr>
              <w:t>数量</w:t>
            </w:r>
          </w:p>
          <w:p w14:paraId="24E642CC">
            <w:pPr>
              <w:snapToGrid w:val="0"/>
              <w:spacing w:line="240" w:lineRule="auto"/>
              <w:ind w:firstLine="0" w:firstLineChars="0"/>
              <w:jc w:val="center"/>
              <w:rPr>
                <w:w w:val="80"/>
                <w:sz w:val="21"/>
                <w:szCs w:val="21"/>
              </w:rPr>
            </w:pPr>
            <w:r>
              <w:rPr>
                <w:rFonts w:hint="eastAsia"/>
                <w:w w:val="80"/>
                <w:sz w:val="21"/>
                <w:szCs w:val="21"/>
              </w:rPr>
              <w:t>(</w:t>
            </w:r>
            <w:r>
              <w:rPr>
                <w:w w:val="80"/>
                <w:sz w:val="21"/>
                <w:szCs w:val="21"/>
              </w:rPr>
              <w:t>台</w:t>
            </w:r>
            <w:r>
              <w:rPr>
                <w:rFonts w:hint="eastAsia"/>
                <w:w w:val="80"/>
                <w:sz w:val="21"/>
                <w:szCs w:val="21"/>
              </w:rPr>
              <w:t>)</w:t>
            </w:r>
          </w:p>
        </w:tc>
        <w:tc>
          <w:tcPr>
            <w:tcW w:w="781" w:type="pct"/>
            <w:vAlign w:val="center"/>
          </w:tcPr>
          <w:p w14:paraId="309D4DE6">
            <w:pPr>
              <w:snapToGrid w:val="0"/>
              <w:spacing w:line="240" w:lineRule="auto"/>
              <w:ind w:firstLine="0" w:firstLineChars="0"/>
              <w:jc w:val="center"/>
              <w:rPr>
                <w:w w:val="80"/>
                <w:sz w:val="21"/>
                <w:szCs w:val="21"/>
              </w:rPr>
            </w:pPr>
            <w:r>
              <w:rPr>
                <w:w w:val="80"/>
                <w:sz w:val="21"/>
                <w:szCs w:val="21"/>
              </w:rPr>
              <w:t>单台压气耗量</w:t>
            </w: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c>
          <w:tcPr>
            <w:tcW w:w="478" w:type="pct"/>
            <w:vAlign w:val="center"/>
          </w:tcPr>
          <w:p w14:paraId="1DC23677">
            <w:pPr>
              <w:snapToGrid w:val="0"/>
              <w:spacing w:line="240" w:lineRule="auto"/>
              <w:ind w:firstLine="0" w:firstLineChars="0"/>
              <w:jc w:val="center"/>
              <w:rPr>
                <w:w w:val="80"/>
                <w:sz w:val="21"/>
                <w:szCs w:val="21"/>
              </w:rPr>
            </w:pPr>
            <w:r>
              <w:rPr>
                <w:w w:val="80"/>
                <w:sz w:val="21"/>
                <w:szCs w:val="21"/>
              </w:rPr>
              <w:t>同时工作系数</w:t>
            </w:r>
          </w:p>
        </w:tc>
        <w:tc>
          <w:tcPr>
            <w:tcW w:w="343" w:type="pct"/>
            <w:vAlign w:val="center"/>
          </w:tcPr>
          <w:p w14:paraId="3EB038C4">
            <w:pPr>
              <w:snapToGrid w:val="0"/>
              <w:spacing w:line="240" w:lineRule="auto"/>
              <w:ind w:firstLine="0" w:firstLineChars="0"/>
              <w:jc w:val="center"/>
              <w:rPr>
                <w:w w:val="80"/>
                <w:sz w:val="21"/>
                <w:szCs w:val="21"/>
              </w:rPr>
            </w:pPr>
            <w:r>
              <w:rPr>
                <w:w w:val="80"/>
                <w:sz w:val="21"/>
                <w:szCs w:val="21"/>
              </w:rPr>
              <w:t>磨损系数</w:t>
            </w:r>
          </w:p>
        </w:tc>
        <w:tc>
          <w:tcPr>
            <w:tcW w:w="519" w:type="pct"/>
            <w:vAlign w:val="center"/>
          </w:tcPr>
          <w:p w14:paraId="097E8043">
            <w:pPr>
              <w:snapToGrid w:val="0"/>
              <w:spacing w:line="240" w:lineRule="auto"/>
              <w:ind w:firstLine="0" w:firstLineChars="0"/>
              <w:jc w:val="center"/>
              <w:rPr>
                <w:sz w:val="21"/>
                <w:szCs w:val="21"/>
              </w:rPr>
            </w:pPr>
            <w:r>
              <w:rPr>
                <w:rFonts w:hint="eastAsia"/>
                <w:w w:val="80"/>
                <w:sz w:val="21"/>
                <w:szCs w:val="21"/>
              </w:rPr>
              <w:t>风压(MPa)</w:t>
            </w:r>
          </w:p>
        </w:tc>
        <w:tc>
          <w:tcPr>
            <w:tcW w:w="579" w:type="pct"/>
            <w:vAlign w:val="center"/>
          </w:tcPr>
          <w:p w14:paraId="550B41A3">
            <w:pPr>
              <w:snapToGrid w:val="0"/>
              <w:spacing w:line="240" w:lineRule="auto"/>
              <w:ind w:firstLine="0" w:firstLineChars="0"/>
              <w:jc w:val="center"/>
              <w:rPr>
                <w:w w:val="80"/>
                <w:sz w:val="21"/>
                <w:szCs w:val="21"/>
              </w:rPr>
            </w:pPr>
            <w:r>
              <w:rPr>
                <w:w w:val="80"/>
                <w:sz w:val="21"/>
                <w:szCs w:val="21"/>
              </w:rPr>
              <w:t>合计</w:t>
            </w:r>
          </w:p>
          <w:p w14:paraId="2BE1E601">
            <w:pPr>
              <w:snapToGrid w:val="0"/>
              <w:spacing w:line="240" w:lineRule="auto"/>
              <w:ind w:firstLine="0" w:firstLineChars="0"/>
              <w:jc w:val="center"/>
              <w:rPr>
                <w:w w:val="80"/>
                <w:sz w:val="21"/>
                <w:szCs w:val="21"/>
              </w:rPr>
            </w:pP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r>
      <w:tr w14:paraId="2D4A2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2F27B306">
            <w:pPr>
              <w:snapToGrid w:val="0"/>
              <w:spacing w:line="240" w:lineRule="auto"/>
              <w:ind w:left="-140" w:leftChars="-50" w:right="-140" w:rightChars="-50" w:firstLine="0" w:firstLineChars="0"/>
              <w:jc w:val="center"/>
              <w:rPr>
                <w:w w:val="80"/>
                <w:sz w:val="21"/>
                <w:szCs w:val="21"/>
              </w:rPr>
            </w:pPr>
            <w:r>
              <w:rPr>
                <w:rFonts w:hint="eastAsia"/>
                <w:w w:val="80"/>
                <w:sz w:val="21"/>
                <w:szCs w:val="21"/>
              </w:rPr>
              <w:t>1</w:t>
            </w:r>
          </w:p>
        </w:tc>
        <w:tc>
          <w:tcPr>
            <w:tcW w:w="1661" w:type="pct"/>
            <w:vAlign w:val="center"/>
          </w:tcPr>
          <w:p w14:paraId="210BC526">
            <w:pPr>
              <w:snapToGrid w:val="0"/>
              <w:spacing w:line="240" w:lineRule="auto"/>
              <w:ind w:firstLine="0" w:firstLineChars="0"/>
              <w:jc w:val="left"/>
              <w:rPr>
                <w:w w:val="80"/>
                <w:sz w:val="21"/>
                <w:szCs w:val="21"/>
              </w:rPr>
            </w:pPr>
            <w:r>
              <w:rPr>
                <w:rFonts w:hint="eastAsia"/>
                <w:w w:val="80"/>
                <w:sz w:val="21"/>
                <w:szCs w:val="21"/>
              </w:rPr>
              <w:t>移动式空压机供气</w:t>
            </w:r>
          </w:p>
        </w:tc>
        <w:tc>
          <w:tcPr>
            <w:tcW w:w="349" w:type="pct"/>
            <w:vAlign w:val="center"/>
          </w:tcPr>
          <w:p w14:paraId="5B96FFB8">
            <w:pPr>
              <w:snapToGrid w:val="0"/>
              <w:spacing w:line="240" w:lineRule="auto"/>
              <w:ind w:firstLine="0" w:firstLineChars="0"/>
              <w:jc w:val="center"/>
              <w:rPr>
                <w:w w:val="80"/>
                <w:sz w:val="21"/>
                <w:szCs w:val="21"/>
              </w:rPr>
            </w:pPr>
          </w:p>
        </w:tc>
        <w:tc>
          <w:tcPr>
            <w:tcW w:w="781" w:type="pct"/>
            <w:vAlign w:val="center"/>
          </w:tcPr>
          <w:p w14:paraId="4ADD2988">
            <w:pPr>
              <w:snapToGrid w:val="0"/>
              <w:spacing w:line="240" w:lineRule="auto"/>
              <w:ind w:firstLine="0" w:firstLineChars="0"/>
              <w:jc w:val="center"/>
              <w:rPr>
                <w:w w:val="80"/>
                <w:sz w:val="21"/>
                <w:szCs w:val="21"/>
              </w:rPr>
            </w:pPr>
          </w:p>
        </w:tc>
        <w:tc>
          <w:tcPr>
            <w:tcW w:w="478" w:type="pct"/>
            <w:vAlign w:val="center"/>
          </w:tcPr>
          <w:p w14:paraId="218F31A1">
            <w:pPr>
              <w:snapToGrid w:val="0"/>
              <w:spacing w:line="240" w:lineRule="auto"/>
              <w:ind w:firstLine="0" w:firstLineChars="0"/>
              <w:jc w:val="center"/>
              <w:rPr>
                <w:w w:val="80"/>
                <w:sz w:val="21"/>
                <w:szCs w:val="21"/>
              </w:rPr>
            </w:pPr>
          </w:p>
        </w:tc>
        <w:tc>
          <w:tcPr>
            <w:tcW w:w="343" w:type="pct"/>
            <w:vAlign w:val="center"/>
          </w:tcPr>
          <w:p w14:paraId="0D6FC48F">
            <w:pPr>
              <w:snapToGrid w:val="0"/>
              <w:spacing w:line="240" w:lineRule="auto"/>
              <w:ind w:firstLine="0" w:firstLineChars="0"/>
              <w:jc w:val="center"/>
              <w:rPr>
                <w:w w:val="80"/>
                <w:sz w:val="21"/>
                <w:szCs w:val="21"/>
              </w:rPr>
            </w:pPr>
          </w:p>
        </w:tc>
        <w:tc>
          <w:tcPr>
            <w:tcW w:w="519" w:type="pct"/>
            <w:vAlign w:val="center"/>
          </w:tcPr>
          <w:p w14:paraId="13D457FA">
            <w:pPr>
              <w:snapToGrid w:val="0"/>
              <w:spacing w:line="240" w:lineRule="auto"/>
              <w:ind w:firstLine="0" w:firstLineChars="0"/>
              <w:jc w:val="center"/>
              <w:rPr>
                <w:w w:val="80"/>
                <w:sz w:val="21"/>
                <w:szCs w:val="21"/>
              </w:rPr>
            </w:pPr>
          </w:p>
        </w:tc>
        <w:tc>
          <w:tcPr>
            <w:tcW w:w="579" w:type="pct"/>
            <w:vAlign w:val="center"/>
          </w:tcPr>
          <w:p w14:paraId="543FC3DF">
            <w:pPr>
              <w:snapToGrid w:val="0"/>
              <w:spacing w:line="240" w:lineRule="auto"/>
              <w:ind w:firstLine="0" w:firstLineChars="0"/>
              <w:jc w:val="center"/>
              <w:rPr>
                <w:w w:val="80"/>
                <w:sz w:val="21"/>
                <w:szCs w:val="21"/>
              </w:rPr>
            </w:pPr>
          </w:p>
        </w:tc>
      </w:tr>
      <w:tr w14:paraId="77E6E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1109B5A0">
            <w:pPr>
              <w:snapToGrid w:val="0"/>
              <w:spacing w:line="240" w:lineRule="auto"/>
              <w:ind w:firstLine="0" w:firstLineChars="0"/>
              <w:jc w:val="center"/>
              <w:rPr>
                <w:w w:val="80"/>
                <w:sz w:val="21"/>
                <w:szCs w:val="21"/>
              </w:rPr>
            </w:pPr>
            <w:r>
              <w:rPr>
                <w:w w:val="80"/>
                <w:sz w:val="21"/>
                <w:szCs w:val="21"/>
              </w:rPr>
              <w:t>1</w:t>
            </w:r>
            <w:r>
              <w:rPr>
                <w:rFonts w:hint="eastAsia"/>
                <w:w w:val="80"/>
                <w:sz w:val="21"/>
                <w:szCs w:val="21"/>
              </w:rPr>
              <w:t>.1</w:t>
            </w:r>
          </w:p>
        </w:tc>
        <w:tc>
          <w:tcPr>
            <w:tcW w:w="1661" w:type="pct"/>
            <w:vAlign w:val="center"/>
          </w:tcPr>
          <w:p w14:paraId="3C89823C">
            <w:pPr>
              <w:snapToGrid w:val="0"/>
              <w:spacing w:line="240" w:lineRule="auto"/>
              <w:ind w:firstLine="0" w:firstLineChars="0"/>
              <w:jc w:val="left"/>
              <w:rPr>
                <w:w w:val="80"/>
                <w:sz w:val="21"/>
                <w:szCs w:val="21"/>
              </w:rPr>
            </w:pPr>
            <w:r>
              <w:rPr>
                <w:w w:val="80"/>
                <w:sz w:val="21"/>
                <w:szCs w:val="21"/>
              </w:rPr>
              <w:t>YSP-45凿岩机</w:t>
            </w:r>
          </w:p>
        </w:tc>
        <w:tc>
          <w:tcPr>
            <w:tcW w:w="349" w:type="pct"/>
            <w:vAlign w:val="center"/>
          </w:tcPr>
          <w:p w14:paraId="0255F9BD">
            <w:pPr>
              <w:snapToGrid w:val="0"/>
              <w:spacing w:line="240" w:lineRule="auto"/>
              <w:ind w:firstLine="0" w:firstLineChars="0"/>
              <w:jc w:val="center"/>
              <w:rPr>
                <w:w w:val="80"/>
                <w:sz w:val="21"/>
                <w:szCs w:val="21"/>
              </w:rPr>
            </w:pPr>
            <w:r>
              <w:rPr>
                <w:rFonts w:hint="eastAsia"/>
                <w:w w:val="80"/>
                <w:sz w:val="21"/>
                <w:szCs w:val="21"/>
              </w:rPr>
              <w:t>2</w:t>
            </w:r>
          </w:p>
        </w:tc>
        <w:tc>
          <w:tcPr>
            <w:tcW w:w="781" w:type="pct"/>
            <w:vAlign w:val="center"/>
          </w:tcPr>
          <w:p w14:paraId="375A7524">
            <w:pPr>
              <w:snapToGrid w:val="0"/>
              <w:spacing w:line="240" w:lineRule="auto"/>
              <w:ind w:firstLine="0" w:firstLineChars="0"/>
              <w:jc w:val="center"/>
              <w:rPr>
                <w:w w:val="80"/>
                <w:sz w:val="21"/>
                <w:szCs w:val="21"/>
              </w:rPr>
            </w:pPr>
            <w:r>
              <w:rPr>
                <w:w w:val="80"/>
                <w:sz w:val="21"/>
                <w:szCs w:val="21"/>
              </w:rPr>
              <w:t>5</w:t>
            </w:r>
          </w:p>
        </w:tc>
        <w:tc>
          <w:tcPr>
            <w:tcW w:w="478" w:type="pct"/>
            <w:vAlign w:val="center"/>
          </w:tcPr>
          <w:p w14:paraId="244CC9BD">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30E4121B">
            <w:pPr>
              <w:snapToGrid w:val="0"/>
              <w:spacing w:line="240" w:lineRule="auto"/>
              <w:ind w:firstLine="0" w:firstLineChars="0"/>
              <w:jc w:val="center"/>
              <w:rPr>
                <w:w w:val="80"/>
                <w:sz w:val="21"/>
                <w:szCs w:val="21"/>
              </w:rPr>
            </w:pPr>
            <w:r>
              <w:rPr>
                <w:w w:val="80"/>
                <w:sz w:val="21"/>
                <w:szCs w:val="21"/>
              </w:rPr>
              <w:t>1.15</w:t>
            </w:r>
          </w:p>
        </w:tc>
        <w:tc>
          <w:tcPr>
            <w:tcW w:w="519" w:type="pct"/>
            <w:vAlign w:val="center"/>
          </w:tcPr>
          <w:p w14:paraId="3897635C">
            <w:pPr>
              <w:snapToGrid w:val="0"/>
              <w:spacing w:line="240" w:lineRule="auto"/>
              <w:ind w:firstLine="0" w:firstLineChars="0"/>
              <w:jc w:val="center"/>
              <w:rPr>
                <w:w w:val="80"/>
                <w:sz w:val="21"/>
                <w:szCs w:val="21"/>
              </w:rPr>
            </w:pPr>
            <w:r>
              <w:rPr>
                <w:rFonts w:hint="eastAsia"/>
                <w:w w:val="80"/>
                <w:sz w:val="21"/>
                <w:szCs w:val="21"/>
              </w:rPr>
              <w:t>0.5</w:t>
            </w:r>
          </w:p>
        </w:tc>
        <w:tc>
          <w:tcPr>
            <w:tcW w:w="579" w:type="pct"/>
            <w:vAlign w:val="center"/>
          </w:tcPr>
          <w:p w14:paraId="22CB9A30">
            <w:pPr>
              <w:snapToGrid w:val="0"/>
              <w:spacing w:line="240" w:lineRule="auto"/>
              <w:ind w:firstLine="0" w:firstLineChars="0"/>
              <w:jc w:val="center"/>
              <w:rPr>
                <w:w w:val="80"/>
                <w:sz w:val="21"/>
                <w:szCs w:val="21"/>
              </w:rPr>
            </w:pPr>
            <w:r>
              <w:rPr>
                <w:rFonts w:hint="eastAsia"/>
                <w:w w:val="80"/>
                <w:sz w:val="21"/>
                <w:szCs w:val="21"/>
              </w:rPr>
              <w:t>5.75</w:t>
            </w:r>
          </w:p>
        </w:tc>
      </w:tr>
      <w:tr w14:paraId="2D499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714AB896">
            <w:pPr>
              <w:snapToGrid w:val="0"/>
              <w:spacing w:line="240" w:lineRule="auto"/>
              <w:ind w:firstLine="0" w:firstLineChars="0"/>
              <w:jc w:val="center"/>
              <w:rPr>
                <w:w w:val="80"/>
                <w:sz w:val="21"/>
                <w:szCs w:val="21"/>
              </w:rPr>
            </w:pPr>
          </w:p>
        </w:tc>
        <w:tc>
          <w:tcPr>
            <w:tcW w:w="4134" w:type="pct"/>
            <w:gridSpan w:val="6"/>
            <w:vAlign w:val="center"/>
          </w:tcPr>
          <w:p w14:paraId="5A9846B4">
            <w:pPr>
              <w:snapToGrid w:val="0"/>
              <w:spacing w:line="240" w:lineRule="auto"/>
              <w:ind w:firstLine="0" w:firstLineChars="0"/>
              <w:jc w:val="center"/>
              <w:rPr>
                <w:w w:val="80"/>
                <w:sz w:val="21"/>
                <w:szCs w:val="21"/>
              </w:rPr>
            </w:pPr>
            <w:r>
              <w:rPr>
                <w:rFonts w:hint="eastAsia"/>
                <w:w w:val="80"/>
                <w:sz w:val="21"/>
                <w:szCs w:val="21"/>
              </w:rPr>
              <w:t>合  计</w:t>
            </w:r>
          </w:p>
        </w:tc>
        <w:tc>
          <w:tcPr>
            <w:tcW w:w="579" w:type="pct"/>
            <w:vAlign w:val="center"/>
          </w:tcPr>
          <w:p w14:paraId="1EDD5D1B">
            <w:pPr>
              <w:snapToGrid w:val="0"/>
              <w:spacing w:line="240" w:lineRule="auto"/>
              <w:ind w:firstLine="0" w:firstLineChars="0"/>
              <w:jc w:val="center"/>
              <w:rPr>
                <w:w w:val="80"/>
                <w:sz w:val="21"/>
                <w:szCs w:val="21"/>
              </w:rPr>
            </w:pPr>
            <w:r>
              <w:rPr>
                <w:rFonts w:hint="eastAsia"/>
                <w:w w:val="80"/>
                <w:sz w:val="21"/>
                <w:szCs w:val="21"/>
              </w:rPr>
              <w:t>5.75</w:t>
            </w:r>
          </w:p>
        </w:tc>
      </w:tr>
      <w:tr w14:paraId="6C3FB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7B0C3285">
            <w:pPr>
              <w:snapToGrid w:val="0"/>
              <w:spacing w:line="240" w:lineRule="auto"/>
              <w:ind w:firstLine="0" w:firstLineChars="0"/>
              <w:jc w:val="center"/>
              <w:rPr>
                <w:w w:val="80"/>
                <w:sz w:val="21"/>
                <w:szCs w:val="21"/>
              </w:rPr>
            </w:pPr>
            <w:r>
              <w:rPr>
                <w:rFonts w:hint="eastAsia"/>
                <w:w w:val="80"/>
                <w:sz w:val="21"/>
                <w:szCs w:val="21"/>
              </w:rPr>
              <w:t>2</w:t>
            </w:r>
          </w:p>
        </w:tc>
        <w:tc>
          <w:tcPr>
            <w:tcW w:w="1661" w:type="pct"/>
            <w:vAlign w:val="center"/>
          </w:tcPr>
          <w:p w14:paraId="1DFB252F">
            <w:pPr>
              <w:snapToGrid w:val="0"/>
              <w:spacing w:line="240" w:lineRule="auto"/>
              <w:ind w:firstLine="0" w:firstLineChars="0"/>
              <w:jc w:val="left"/>
              <w:rPr>
                <w:w w:val="80"/>
                <w:sz w:val="21"/>
                <w:szCs w:val="21"/>
              </w:rPr>
            </w:pPr>
            <w:r>
              <w:rPr>
                <w:rFonts w:hint="eastAsia"/>
                <w:w w:val="80"/>
                <w:sz w:val="21"/>
                <w:szCs w:val="21"/>
              </w:rPr>
              <w:t>地表空压机站供气</w:t>
            </w:r>
          </w:p>
        </w:tc>
        <w:tc>
          <w:tcPr>
            <w:tcW w:w="349" w:type="pct"/>
            <w:vAlign w:val="center"/>
          </w:tcPr>
          <w:p w14:paraId="46CE4222">
            <w:pPr>
              <w:snapToGrid w:val="0"/>
              <w:spacing w:line="240" w:lineRule="auto"/>
              <w:ind w:firstLine="0" w:firstLineChars="0"/>
              <w:jc w:val="center"/>
              <w:rPr>
                <w:w w:val="80"/>
                <w:sz w:val="21"/>
                <w:szCs w:val="21"/>
              </w:rPr>
            </w:pPr>
          </w:p>
        </w:tc>
        <w:tc>
          <w:tcPr>
            <w:tcW w:w="781" w:type="pct"/>
            <w:vAlign w:val="center"/>
          </w:tcPr>
          <w:p w14:paraId="71CBE5D2">
            <w:pPr>
              <w:snapToGrid w:val="0"/>
              <w:spacing w:line="240" w:lineRule="auto"/>
              <w:ind w:firstLine="0" w:firstLineChars="0"/>
              <w:jc w:val="center"/>
              <w:rPr>
                <w:w w:val="80"/>
                <w:sz w:val="21"/>
                <w:szCs w:val="21"/>
              </w:rPr>
            </w:pPr>
          </w:p>
        </w:tc>
        <w:tc>
          <w:tcPr>
            <w:tcW w:w="478" w:type="pct"/>
            <w:vAlign w:val="center"/>
          </w:tcPr>
          <w:p w14:paraId="363C9077">
            <w:pPr>
              <w:snapToGrid w:val="0"/>
              <w:spacing w:line="240" w:lineRule="auto"/>
              <w:ind w:firstLine="0" w:firstLineChars="0"/>
              <w:jc w:val="center"/>
              <w:rPr>
                <w:w w:val="80"/>
                <w:sz w:val="21"/>
                <w:szCs w:val="21"/>
              </w:rPr>
            </w:pPr>
          </w:p>
        </w:tc>
        <w:tc>
          <w:tcPr>
            <w:tcW w:w="343" w:type="pct"/>
            <w:vAlign w:val="center"/>
          </w:tcPr>
          <w:p w14:paraId="4C7F03B7">
            <w:pPr>
              <w:snapToGrid w:val="0"/>
              <w:spacing w:line="240" w:lineRule="auto"/>
              <w:ind w:firstLine="0" w:firstLineChars="0"/>
              <w:jc w:val="center"/>
              <w:rPr>
                <w:w w:val="80"/>
                <w:sz w:val="21"/>
                <w:szCs w:val="21"/>
              </w:rPr>
            </w:pPr>
          </w:p>
        </w:tc>
        <w:tc>
          <w:tcPr>
            <w:tcW w:w="519" w:type="pct"/>
            <w:vAlign w:val="center"/>
          </w:tcPr>
          <w:p w14:paraId="3FBE5F31">
            <w:pPr>
              <w:snapToGrid w:val="0"/>
              <w:spacing w:line="240" w:lineRule="auto"/>
              <w:ind w:firstLine="0" w:firstLineChars="0"/>
              <w:jc w:val="center"/>
              <w:rPr>
                <w:w w:val="80"/>
                <w:sz w:val="21"/>
                <w:szCs w:val="21"/>
              </w:rPr>
            </w:pPr>
          </w:p>
        </w:tc>
        <w:tc>
          <w:tcPr>
            <w:tcW w:w="579" w:type="pct"/>
            <w:vAlign w:val="center"/>
          </w:tcPr>
          <w:p w14:paraId="0556C13B">
            <w:pPr>
              <w:snapToGrid w:val="0"/>
              <w:spacing w:line="240" w:lineRule="auto"/>
              <w:ind w:firstLine="0" w:firstLineChars="0"/>
              <w:jc w:val="center"/>
              <w:rPr>
                <w:w w:val="80"/>
                <w:sz w:val="21"/>
                <w:szCs w:val="21"/>
              </w:rPr>
            </w:pPr>
          </w:p>
        </w:tc>
      </w:tr>
      <w:tr w14:paraId="3FFAC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62D6F345">
            <w:pPr>
              <w:snapToGrid w:val="0"/>
              <w:spacing w:line="240" w:lineRule="auto"/>
              <w:ind w:firstLine="0" w:firstLineChars="0"/>
              <w:jc w:val="center"/>
              <w:rPr>
                <w:w w:val="80"/>
                <w:sz w:val="21"/>
                <w:szCs w:val="21"/>
              </w:rPr>
            </w:pPr>
            <w:r>
              <w:rPr>
                <w:rFonts w:hint="eastAsia"/>
                <w:w w:val="80"/>
                <w:sz w:val="21"/>
                <w:szCs w:val="21"/>
              </w:rPr>
              <w:t>2.1</w:t>
            </w:r>
          </w:p>
        </w:tc>
        <w:tc>
          <w:tcPr>
            <w:tcW w:w="1661" w:type="pct"/>
            <w:vAlign w:val="center"/>
          </w:tcPr>
          <w:p w14:paraId="6B3F84F1">
            <w:pPr>
              <w:snapToGrid w:val="0"/>
              <w:spacing w:line="240" w:lineRule="auto"/>
              <w:ind w:firstLine="0" w:firstLineChars="0"/>
              <w:jc w:val="left"/>
              <w:rPr>
                <w:w w:val="80"/>
                <w:sz w:val="21"/>
                <w:szCs w:val="21"/>
              </w:rPr>
            </w:pPr>
            <w:r>
              <w:rPr>
                <w:w w:val="80"/>
                <w:sz w:val="21"/>
                <w:szCs w:val="21"/>
              </w:rPr>
              <w:t>-</w:t>
            </w:r>
            <w:r>
              <w:rPr>
                <w:rFonts w:hint="eastAsia"/>
                <w:w w:val="80"/>
                <w:sz w:val="21"/>
                <w:szCs w:val="21"/>
              </w:rPr>
              <w:t>505</w:t>
            </w:r>
            <w:r>
              <w:rPr>
                <w:w w:val="80"/>
                <w:sz w:val="21"/>
                <w:szCs w:val="21"/>
              </w:rPr>
              <w:t>m</w:t>
            </w:r>
            <w:r>
              <w:rPr>
                <w:rFonts w:hint="eastAsia"/>
                <w:w w:val="80"/>
                <w:sz w:val="21"/>
                <w:szCs w:val="21"/>
              </w:rPr>
              <w:t>水平</w:t>
            </w:r>
            <w:r>
              <w:rPr>
                <w:w w:val="80"/>
                <w:sz w:val="21"/>
                <w:szCs w:val="21"/>
              </w:rPr>
              <w:t>矿石卸载</w:t>
            </w:r>
            <w:r>
              <w:rPr>
                <w:rFonts w:hint="eastAsia"/>
                <w:w w:val="80"/>
                <w:sz w:val="21"/>
                <w:szCs w:val="21"/>
              </w:rPr>
              <w:t>硐室</w:t>
            </w:r>
            <w:r>
              <w:rPr>
                <w:w w:val="80"/>
                <w:sz w:val="21"/>
                <w:szCs w:val="21"/>
              </w:rPr>
              <w:t>干雾抑尘</w:t>
            </w:r>
          </w:p>
        </w:tc>
        <w:tc>
          <w:tcPr>
            <w:tcW w:w="349" w:type="pct"/>
            <w:vAlign w:val="center"/>
          </w:tcPr>
          <w:p w14:paraId="7EDBFA72">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5823F301">
            <w:pPr>
              <w:snapToGrid w:val="0"/>
              <w:spacing w:line="240" w:lineRule="auto"/>
              <w:ind w:firstLine="0" w:firstLineChars="0"/>
              <w:jc w:val="center"/>
              <w:rPr>
                <w:w w:val="80"/>
                <w:sz w:val="21"/>
                <w:szCs w:val="21"/>
              </w:rPr>
            </w:pPr>
            <w:r>
              <w:rPr>
                <w:w w:val="80"/>
                <w:sz w:val="21"/>
                <w:szCs w:val="21"/>
              </w:rPr>
              <w:t>13</w:t>
            </w:r>
          </w:p>
        </w:tc>
        <w:tc>
          <w:tcPr>
            <w:tcW w:w="478" w:type="pct"/>
            <w:vAlign w:val="center"/>
          </w:tcPr>
          <w:p w14:paraId="762E567C">
            <w:pPr>
              <w:snapToGrid w:val="0"/>
              <w:spacing w:line="240" w:lineRule="auto"/>
              <w:ind w:firstLine="0" w:firstLineChars="0"/>
              <w:jc w:val="center"/>
              <w:rPr>
                <w:w w:val="80"/>
                <w:sz w:val="21"/>
                <w:szCs w:val="21"/>
              </w:rPr>
            </w:pPr>
            <w:r>
              <w:rPr>
                <w:w w:val="80"/>
                <w:sz w:val="21"/>
                <w:szCs w:val="21"/>
              </w:rPr>
              <w:t>0.5</w:t>
            </w:r>
          </w:p>
        </w:tc>
        <w:tc>
          <w:tcPr>
            <w:tcW w:w="343" w:type="pct"/>
            <w:vAlign w:val="center"/>
          </w:tcPr>
          <w:p w14:paraId="6AB8CD2D">
            <w:pPr>
              <w:snapToGrid w:val="0"/>
              <w:spacing w:line="240" w:lineRule="auto"/>
              <w:ind w:firstLine="0" w:firstLineChars="0"/>
              <w:jc w:val="center"/>
              <w:rPr>
                <w:w w:val="80"/>
                <w:sz w:val="21"/>
                <w:szCs w:val="21"/>
              </w:rPr>
            </w:pPr>
            <w:r>
              <w:rPr>
                <w:w w:val="80"/>
                <w:sz w:val="21"/>
                <w:szCs w:val="21"/>
              </w:rPr>
              <w:t>1.1</w:t>
            </w:r>
          </w:p>
        </w:tc>
        <w:tc>
          <w:tcPr>
            <w:tcW w:w="519" w:type="pct"/>
            <w:vAlign w:val="center"/>
          </w:tcPr>
          <w:p w14:paraId="4EA43A8C">
            <w:pPr>
              <w:snapToGrid w:val="0"/>
              <w:spacing w:line="240" w:lineRule="auto"/>
              <w:ind w:firstLine="0" w:firstLineChars="0"/>
              <w:jc w:val="center"/>
              <w:rPr>
                <w:w w:val="80"/>
                <w:sz w:val="21"/>
                <w:szCs w:val="21"/>
              </w:rPr>
            </w:pPr>
            <w:r>
              <w:rPr>
                <w:rFonts w:hint="eastAsia"/>
                <w:w w:val="80"/>
                <w:sz w:val="21"/>
                <w:szCs w:val="21"/>
              </w:rPr>
              <w:t>0.6~0.8</w:t>
            </w:r>
          </w:p>
        </w:tc>
        <w:tc>
          <w:tcPr>
            <w:tcW w:w="579" w:type="pct"/>
            <w:vAlign w:val="center"/>
          </w:tcPr>
          <w:p w14:paraId="0D66E8BA">
            <w:pPr>
              <w:snapToGrid w:val="0"/>
              <w:spacing w:line="240" w:lineRule="auto"/>
              <w:ind w:firstLine="0" w:firstLineChars="0"/>
              <w:jc w:val="center"/>
              <w:rPr>
                <w:w w:val="80"/>
                <w:sz w:val="21"/>
                <w:szCs w:val="21"/>
              </w:rPr>
            </w:pPr>
            <w:r>
              <w:rPr>
                <w:rFonts w:hint="eastAsia"/>
                <w:w w:val="80"/>
                <w:sz w:val="21"/>
                <w:szCs w:val="21"/>
              </w:rPr>
              <w:t>7.15</w:t>
            </w:r>
          </w:p>
        </w:tc>
      </w:tr>
      <w:tr w14:paraId="1A863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13EC0178">
            <w:pPr>
              <w:snapToGrid w:val="0"/>
              <w:spacing w:line="240" w:lineRule="auto"/>
              <w:ind w:firstLine="0" w:firstLineChars="0"/>
              <w:jc w:val="center"/>
              <w:rPr>
                <w:w w:val="80"/>
                <w:sz w:val="21"/>
                <w:szCs w:val="21"/>
              </w:rPr>
            </w:pPr>
            <w:r>
              <w:rPr>
                <w:rFonts w:hint="eastAsia"/>
                <w:w w:val="80"/>
                <w:sz w:val="21"/>
                <w:szCs w:val="21"/>
              </w:rPr>
              <w:t>2.2</w:t>
            </w:r>
          </w:p>
        </w:tc>
        <w:tc>
          <w:tcPr>
            <w:tcW w:w="1661" w:type="pct"/>
            <w:vAlign w:val="center"/>
          </w:tcPr>
          <w:p w14:paraId="60010A92">
            <w:pPr>
              <w:snapToGrid w:val="0"/>
              <w:spacing w:line="240" w:lineRule="auto"/>
              <w:ind w:firstLine="0" w:firstLineChars="0"/>
              <w:jc w:val="left"/>
              <w:rPr>
                <w:w w:val="80"/>
                <w:sz w:val="21"/>
                <w:szCs w:val="21"/>
              </w:rPr>
            </w:pPr>
            <w:r>
              <w:rPr>
                <w:w w:val="80"/>
                <w:sz w:val="21"/>
                <w:szCs w:val="21"/>
              </w:rPr>
              <w:t>-</w:t>
            </w:r>
            <w:r>
              <w:rPr>
                <w:rFonts w:hint="eastAsia"/>
                <w:w w:val="80"/>
                <w:sz w:val="21"/>
                <w:szCs w:val="21"/>
              </w:rPr>
              <w:t>835</w:t>
            </w:r>
            <w:r>
              <w:rPr>
                <w:w w:val="80"/>
                <w:sz w:val="21"/>
                <w:szCs w:val="21"/>
              </w:rPr>
              <w:t>m</w:t>
            </w:r>
            <w:r>
              <w:rPr>
                <w:rFonts w:hint="eastAsia"/>
                <w:w w:val="80"/>
                <w:sz w:val="21"/>
                <w:szCs w:val="21"/>
              </w:rPr>
              <w:t>水平</w:t>
            </w:r>
            <w:r>
              <w:rPr>
                <w:w w:val="80"/>
                <w:sz w:val="21"/>
                <w:szCs w:val="21"/>
              </w:rPr>
              <w:t>矿石卸载</w:t>
            </w:r>
            <w:r>
              <w:rPr>
                <w:rFonts w:hint="eastAsia"/>
                <w:w w:val="80"/>
                <w:sz w:val="21"/>
                <w:szCs w:val="21"/>
              </w:rPr>
              <w:t>硐室</w:t>
            </w:r>
            <w:r>
              <w:rPr>
                <w:w w:val="80"/>
                <w:sz w:val="21"/>
                <w:szCs w:val="21"/>
              </w:rPr>
              <w:t>干雾抑尘</w:t>
            </w:r>
          </w:p>
        </w:tc>
        <w:tc>
          <w:tcPr>
            <w:tcW w:w="349" w:type="pct"/>
            <w:vAlign w:val="center"/>
          </w:tcPr>
          <w:p w14:paraId="22FF62CD">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3A7E0B32">
            <w:pPr>
              <w:snapToGrid w:val="0"/>
              <w:spacing w:line="240" w:lineRule="auto"/>
              <w:ind w:firstLine="0" w:firstLineChars="0"/>
              <w:jc w:val="center"/>
              <w:rPr>
                <w:w w:val="80"/>
                <w:sz w:val="21"/>
                <w:szCs w:val="21"/>
              </w:rPr>
            </w:pPr>
            <w:r>
              <w:rPr>
                <w:rFonts w:hint="eastAsia"/>
                <w:w w:val="80"/>
                <w:sz w:val="21"/>
                <w:szCs w:val="21"/>
              </w:rPr>
              <w:t>13</w:t>
            </w:r>
          </w:p>
        </w:tc>
        <w:tc>
          <w:tcPr>
            <w:tcW w:w="478" w:type="pct"/>
            <w:vAlign w:val="center"/>
          </w:tcPr>
          <w:p w14:paraId="108043E6">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23B99404">
            <w:pPr>
              <w:snapToGrid w:val="0"/>
              <w:spacing w:line="240" w:lineRule="auto"/>
              <w:ind w:firstLine="0" w:firstLineChars="0"/>
              <w:jc w:val="center"/>
              <w:rPr>
                <w:w w:val="80"/>
                <w:sz w:val="21"/>
                <w:szCs w:val="21"/>
              </w:rPr>
            </w:pPr>
            <w:r>
              <w:rPr>
                <w:rFonts w:hint="eastAsia"/>
                <w:w w:val="80"/>
                <w:sz w:val="21"/>
                <w:szCs w:val="21"/>
              </w:rPr>
              <w:t>1.1</w:t>
            </w:r>
          </w:p>
        </w:tc>
        <w:tc>
          <w:tcPr>
            <w:tcW w:w="519" w:type="pct"/>
            <w:vAlign w:val="center"/>
          </w:tcPr>
          <w:p w14:paraId="21701F8B">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6576D2EA">
            <w:pPr>
              <w:snapToGrid w:val="0"/>
              <w:spacing w:line="240" w:lineRule="auto"/>
              <w:ind w:firstLine="0" w:firstLineChars="0"/>
              <w:jc w:val="center"/>
              <w:rPr>
                <w:w w:val="80"/>
                <w:sz w:val="21"/>
                <w:szCs w:val="21"/>
              </w:rPr>
            </w:pPr>
            <w:r>
              <w:rPr>
                <w:rFonts w:hint="eastAsia"/>
                <w:w w:val="80"/>
                <w:sz w:val="21"/>
                <w:szCs w:val="21"/>
              </w:rPr>
              <w:t>7.15</w:t>
            </w:r>
          </w:p>
        </w:tc>
      </w:tr>
      <w:tr w14:paraId="31CE6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286" w:type="pct"/>
            <w:vAlign w:val="center"/>
          </w:tcPr>
          <w:p w14:paraId="29E297CA">
            <w:pPr>
              <w:snapToGrid w:val="0"/>
              <w:spacing w:line="240" w:lineRule="auto"/>
              <w:ind w:firstLine="0" w:firstLineChars="0"/>
              <w:jc w:val="center"/>
              <w:rPr>
                <w:w w:val="80"/>
                <w:sz w:val="21"/>
                <w:szCs w:val="21"/>
              </w:rPr>
            </w:pPr>
            <w:r>
              <w:rPr>
                <w:rFonts w:hint="eastAsia"/>
                <w:w w:val="80"/>
                <w:sz w:val="21"/>
                <w:szCs w:val="21"/>
              </w:rPr>
              <w:t>2.</w:t>
            </w:r>
            <w:r>
              <w:rPr>
                <w:w w:val="80"/>
                <w:sz w:val="21"/>
                <w:szCs w:val="21"/>
              </w:rPr>
              <w:t>3</w:t>
            </w:r>
          </w:p>
        </w:tc>
        <w:tc>
          <w:tcPr>
            <w:tcW w:w="1661" w:type="pct"/>
            <w:vAlign w:val="center"/>
          </w:tcPr>
          <w:p w14:paraId="74E5EFF4">
            <w:pPr>
              <w:snapToGrid w:val="0"/>
              <w:spacing w:line="240" w:lineRule="auto"/>
              <w:ind w:firstLine="0" w:firstLineChars="0"/>
              <w:jc w:val="left"/>
              <w:rPr>
                <w:w w:val="80"/>
                <w:sz w:val="21"/>
                <w:szCs w:val="21"/>
              </w:rPr>
            </w:pPr>
            <w:r>
              <w:rPr>
                <w:w w:val="80"/>
                <w:sz w:val="21"/>
                <w:szCs w:val="21"/>
              </w:rPr>
              <w:t>-</w:t>
            </w:r>
            <w:r>
              <w:rPr>
                <w:rFonts w:hint="eastAsia"/>
                <w:w w:val="80"/>
                <w:sz w:val="21"/>
                <w:szCs w:val="21"/>
              </w:rPr>
              <w:t>580</w:t>
            </w:r>
            <w:r>
              <w:rPr>
                <w:w w:val="80"/>
                <w:sz w:val="21"/>
                <w:szCs w:val="21"/>
              </w:rPr>
              <w:t>m</w:t>
            </w:r>
            <w:r>
              <w:rPr>
                <w:rFonts w:hint="eastAsia"/>
                <w:w w:val="80"/>
                <w:sz w:val="21"/>
                <w:szCs w:val="21"/>
              </w:rPr>
              <w:t>水平</w:t>
            </w:r>
            <w:r>
              <w:rPr>
                <w:w w:val="80"/>
                <w:sz w:val="21"/>
                <w:szCs w:val="21"/>
              </w:rPr>
              <w:t>破碎硐室湿式除尘器</w:t>
            </w:r>
          </w:p>
        </w:tc>
        <w:tc>
          <w:tcPr>
            <w:tcW w:w="349" w:type="pct"/>
            <w:vAlign w:val="center"/>
          </w:tcPr>
          <w:p w14:paraId="34336019">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31FA6DAF">
            <w:pPr>
              <w:snapToGrid w:val="0"/>
              <w:spacing w:line="240" w:lineRule="auto"/>
              <w:ind w:firstLine="0" w:firstLineChars="0"/>
              <w:jc w:val="center"/>
              <w:rPr>
                <w:w w:val="80"/>
                <w:sz w:val="21"/>
                <w:szCs w:val="21"/>
              </w:rPr>
            </w:pPr>
            <w:r>
              <w:rPr>
                <w:w w:val="80"/>
                <w:sz w:val="21"/>
                <w:szCs w:val="21"/>
              </w:rPr>
              <w:t>0.5</w:t>
            </w:r>
          </w:p>
        </w:tc>
        <w:tc>
          <w:tcPr>
            <w:tcW w:w="478" w:type="pct"/>
            <w:vAlign w:val="center"/>
          </w:tcPr>
          <w:p w14:paraId="6F4E9ACD">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3595AE92">
            <w:pPr>
              <w:snapToGrid w:val="0"/>
              <w:spacing w:line="240" w:lineRule="auto"/>
              <w:ind w:firstLine="0" w:firstLineChars="0"/>
              <w:jc w:val="center"/>
              <w:rPr>
                <w:w w:val="80"/>
                <w:sz w:val="21"/>
                <w:szCs w:val="21"/>
              </w:rPr>
            </w:pPr>
            <w:r>
              <w:rPr>
                <w:w w:val="80"/>
                <w:sz w:val="21"/>
                <w:szCs w:val="21"/>
              </w:rPr>
              <w:t>1.1</w:t>
            </w:r>
          </w:p>
        </w:tc>
        <w:tc>
          <w:tcPr>
            <w:tcW w:w="519" w:type="pct"/>
            <w:vAlign w:val="center"/>
          </w:tcPr>
          <w:p w14:paraId="4A56F9DF">
            <w:pPr>
              <w:snapToGrid w:val="0"/>
              <w:spacing w:line="240" w:lineRule="auto"/>
              <w:ind w:firstLine="0" w:firstLineChars="0"/>
              <w:jc w:val="center"/>
              <w:rPr>
                <w:w w:val="80"/>
                <w:sz w:val="21"/>
                <w:szCs w:val="21"/>
              </w:rPr>
            </w:pPr>
            <w:r>
              <w:rPr>
                <w:rFonts w:hint="eastAsia"/>
                <w:w w:val="80"/>
                <w:sz w:val="21"/>
                <w:szCs w:val="21"/>
              </w:rPr>
              <w:t>0.25~0.6</w:t>
            </w:r>
          </w:p>
        </w:tc>
        <w:tc>
          <w:tcPr>
            <w:tcW w:w="579" w:type="pct"/>
            <w:vAlign w:val="center"/>
          </w:tcPr>
          <w:p w14:paraId="05BCA9E5">
            <w:pPr>
              <w:snapToGrid w:val="0"/>
              <w:spacing w:line="240" w:lineRule="auto"/>
              <w:ind w:firstLine="0" w:firstLineChars="0"/>
              <w:jc w:val="center"/>
              <w:rPr>
                <w:w w:val="80"/>
                <w:sz w:val="21"/>
                <w:szCs w:val="21"/>
              </w:rPr>
            </w:pPr>
            <w:r>
              <w:rPr>
                <w:w w:val="80"/>
                <w:sz w:val="21"/>
                <w:szCs w:val="21"/>
              </w:rPr>
              <w:t>0.39</w:t>
            </w:r>
          </w:p>
        </w:tc>
      </w:tr>
      <w:tr w14:paraId="5B75A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57485053">
            <w:pPr>
              <w:snapToGrid w:val="0"/>
              <w:spacing w:line="240" w:lineRule="auto"/>
              <w:ind w:firstLine="0" w:firstLineChars="0"/>
              <w:jc w:val="center"/>
              <w:rPr>
                <w:w w:val="80"/>
                <w:sz w:val="21"/>
                <w:szCs w:val="21"/>
              </w:rPr>
            </w:pPr>
            <w:r>
              <w:rPr>
                <w:rFonts w:hint="eastAsia"/>
                <w:w w:val="80"/>
                <w:sz w:val="21"/>
                <w:szCs w:val="21"/>
              </w:rPr>
              <w:t>2.</w:t>
            </w:r>
            <w:r>
              <w:rPr>
                <w:w w:val="80"/>
                <w:sz w:val="21"/>
                <w:szCs w:val="21"/>
              </w:rPr>
              <w:t>4</w:t>
            </w:r>
          </w:p>
        </w:tc>
        <w:tc>
          <w:tcPr>
            <w:tcW w:w="1661" w:type="pct"/>
            <w:vAlign w:val="center"/>
          </w:tcPr>
          <w:p w14:paraId="0C3E71AC">
            <w:pPr>
              <w:snapToGrid w:val="0"/>
              <w:spacing w:line="240" w:lineRule="auto"/>
              <w:ind w:firstLine="0" w:firstLineChars="0"/>
              <w:jc w:val="left"/>
              <w:rPr>
                <w:w w:val="80"/>
                <w:sz w:val="21"/>
                <w:szCs w:val="21"/>
              </w:rPr>
            </w:pPr>
            <w:r>
              <w:rPr>
                <w:w w:val="80"/>
                <w:sz w:val="21"/>
                <w:szCs w:val="21"/>
              </w:rPr>
              <w:t>-</w:t>
            </w:r>
            <w:r>
              <w:rPr>
                <w:rFonts w:hint="eastAsia"/>
                <w:w w:val="80"/>
                <w:sz w:val="21"/>
                <w:szCs w:val="21"/>
              </w:rPr>
              <w:t>655</w:t>
            </w:r>
            <w:r>
              <w:rPr>
                <w:w w:val="80"/>
                <w:sz w:val="21"/>
                <w:szCs w:val="21"/>
              </w:rPr>
              <w:t>m皮带道水平湿式除尘器</w:t>
            </w:r>
          </w:p>
        </w:tc>
        <w:tc>
          <w:tcPr>
            <w:tcW w:w="349" w:type="pct"/>
            <w:vAlign w:val="center"/>
          </w:tcPr>
          <w:p w14:paraId="529B8E14">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34A670C1">
            <w:pPr>
              <w:snapToGrid w:val="0"/>
              <w:spacing w:line="240" w:lineRule="auto"/>
              <w:ind w:firstLine="0" w:firstLineChars="0"/>
              <w:jc w:val="center"/>
              <w:rPr>
                <w:w w:val="80"/>
                <w:sz w:val="21"/>
                <w:szCs w:val="21"/>
              </w:rPr>
            </w:pPr>
            <w:r>
              <w:rPr>
                <w:w w:val="80"/>
                <w:sz w:val="21"/>
                <w:szCs w:val="21"/>
              </w:rPr>
              <w:t>0.5</w:t>
            </w:r>
          </w:p>
        </w:tc>
        <w:tc>
          <w:tcPr>
            <w:tcW w:w="478" w:type="pct"/>
            <w:vAlign w:val="center"/>
          </w:tcPr>
          <w:p w14:paraId="70406DA2">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72BAD1AA">
            <w:pPr>
              <w:snapToGrid w:val="0"/>
              <w:spacing w:line="240" w:lineRule="auto"/>
              <w:ind w:firstLine="0" w:firstLineChars="0"/>
              <w:jc w:val="center"/>
              <w:rPr>
                <w:w w:val="80"/>
                <w:sz w:val="21"/>
                <w:szCs w:val="21"/>
              </w:rPr>
            </w:pPr>
            <w:r>
              <w:rPr>
                <w:w w:val="80"/>
                <w:sz w:val="21"/>
                <w:szCs w:val="21"/>
              </w:rPr>
              <w:t>1.1</w:t>
            </w:r>
          </w:p>
        </w:tc>
        <w:tc>
          <w:tcPr>
            <w:tcW w:w="519" w:type="pct"/>
            <w:vAlign w:val="center"/>
          </w:tcPr>
          <w:p w14:paraId="040A63AB">
            <w:pPr>
              <w:snapToGrid w:val="0"/>
              <w:spacing w:line="240" w:lineRule="auto"/>
              <w:ind w:firstLine="0" w:firstLineChars="0"/>
              <w:jc w:val="center"/>
              <w:rPr>
                <w:w w:val="80"/>
                <w:sz w:val="21"/>
                <w:szCs w:val="21"/>
              </w:rPr>
            </w:pPr>
            <w:r>
              <w:rPr>
                <w:rFonts w:hint="eastAsia"/>
                <w:w w:val="80"/>
                <w:sz w:val="21"/>
                <w:szCs w:val="21"/>
              </w:rPr>
              <w:t>0.25~0.6</w:t>
            </w:r>
          </w:p>
        </w:tc>
        <w:tc>
          <w:tcPr>
            <w:tcW w:w="579" w:type="pct"/>
            <w:vAlign w:val="center"/>
          </w:tcPr>
          <w:p w14:paraId="1D9E42CF">
            <w:pPr>
              <w:snapToGrid w:val="0"/>
              <w:spacing w:line="240" w:lineRule="auto"/>
              <w:ind w:firstLine="0" w:firstLineChars="0"/>
              <w:jc w:val="center"/>
              <w:rPr>
                <w:w w:val="80"/>
                <w:sz w:val="21"/>
                <w:szCs w:val="21"/>
              </w:rPr>
            </w:pPr>
            <w:r>
              <w:rPr>
                <w:w w:val="80"/>
                <w:sz w:val="21"/>
                <w:szCs w:val="21"/>
              </w:rPr>
              <w:t>0.39</w:t>
            </w:r>
          </w:p>
        </w:tc>
      </w:tr>
      <w:tr w14:paraId="005DD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4CBC0F60">
            <w:pPr>
              <w:snapToGrid w:val="0"/>
              <w:spacing w:line="240" w:lineRule="auto"/>
              <w:ind w:firstLine="0" w:firstLineChars="0"/>
              <w:jc w:val="center"/>
              <w:rPr>
                <w:w w:val="80"/>
                <w:sz w:val="21"/>
                <w:szCs w:val="21"/>
              </w:rPr>
            </w:pPr>
            <w:r>
              <w:rPr>
                <w:rFonts w:hint="eastAsia"/>
                <w:w w:val="80"/>
                <w:sz w:val="21"/>
                <w:szCs w:val="21"/>
              </w:rPr>
              <w:t>2.5</w:t>
            </w:r>
          </w:p>
        </w:tc>
        <w:tc>
          <w:tcPr>
            <w:tcW w:w="1661" w:type="pct"/>
            <w:vAlign w:val="center"/>
          </w:tcPr>
          <w:p w14:paraId="65A6A380">
            <w:pPr>
              <w:snapToGrid w:val="0"/>
              <w:spacing w:line="240" w:lineRule="auto"/>
              <w:ind w:firstLine="0" w:firstLineChars="0"/>
              <w:jc w:val="left"/>
              <w:rPr>
                <w:w w:val="80"/>
                <w:sz w:val="21"/>
                <w:szCs w:val="21"/>
              </w:rPr>
            </w:pPr>
            <w:r>
              <w:rPr>
                <w:rFonts w:hint="eastAsia"/>
                <w:w w:val="80"/>
                <w:sz w:val="21"/>
                <w:szCs w:val="21"/>
              </w:rPr>
              <w:t>-835m水平污风处理系统</w:t>
            </w:r>
          </w:p>
        </w:tc>
        <w:tc>
          <w:tcPr>
            <w:tcW w:w="349" w:type="pct"/>
            <w:vAlign w:val="center"/>
          </w:tcPr>
          <w:p w14:paraId="44DB463C">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2B223262">
            <w:pPr>
              <w:snapToGrid w:val="0"/>
              <w:spacing w:line="240" w:lineRule="auto"/>
              <w:ind w:firstLine="0" w:firstLineChars="0"/>
              <w:jc w:val="center"/>
              <w:rPr>
                <w:w w:val="80"/>
                <w:sz w:val="21"/>
                <w:szCs w:val="21"/>
              </w:rPr>
            </w:pPr>
            <w:r>
              <w:rPr>
                <w:rFonts w:hint="eastAsia"/>
                <w:w w:val="80"/>
                <w:sz w:val="21"/>
                <w:szCs w:val="21"/>
              </w:rPr>
              <w:t>12</w:t>
            </w:r>
          </w:p>
        </w:tc>
        <w:tc>
          <w:tcPr>
            <w:tcW w:w="478" w:type="pct"/>
            <w:vAlign w:val="center"/>
          </w:tcPr>
          <w:p w14:paraId="59F3911F">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701342F4">
            <w:pPr>
              <w:snapToGrid w:val="0"/>
              <w:spacing w:line="240" w:lineRule="auto"/>
              <w:ind w:firstLine="0" w:firstLineChars="0"/>
              <w:jc w:val="center"/>
              <w:rPr>
                <w:w w:val="80"/>
                <w:sz w:val="21"/>
                <w:szCs w:val="21"/>
              </w:rPr>
            </w:pPr>
            <w:r>
              <w:rPr>
                <w:rFonts w:hint="eastAsia"/>
                <w:w w:val="80"/>
                <w:sz w:val="21"/>
                <w:szCs w:val="21"/>
              </w:rPr>
              <w:t>1.1</w:t>
            </w:r>
          </w:p>
        </w:tc>
        <w:tc>
          <w:tcPr>
            <w:tcW w:w="519" w:type="pct"/>
            <w:vAlign w:val="center"/>
          </w:tcPr>
          <w:p w14:paraId="2DFC6BAD">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47BB8804">
            <w:pPr>
              <w:snapToGrid w:val="0"/>
              <w:spacing w:line="240" w:lineRule="auto"/>
              <w:ind w:firstLine="0" w:firstLineChars="0"/>
              <w:jc w:val="center"/>
              <w:rPr>
                <w:w w:val="80"/>
                <w:sz w:val="21"/>
                <w:szCs w:val="21"/>
              </w:rPr>
            </w:pPr>
            <w:r>
              <w:rPr>
                <w:rFonts w:hint="eastAsia"/>
                <w:w w:val="80"/>
                <w:sz w:val="21"/>
                <w:szCs w:val="21"/>
              </w:rPr>
              <w:t>9.24</w:t>
            </w:r>
          </w:p>
        </w:tc>
      </w:tr>
      <w:tr w14:paraId="50C46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31" w:type="dxa"/>
            <w:vAlign w:val="center"/>
          </w:tcPr>
          <w:p w14:paraId="2AE0C75C">
            <w:pPr>
              <w:snapToGrid w:val="0"/>
              <w:spacing w:line="240" w:lineRule="auto"/>
              <w:ind w:firstLine="0" w:firstLineChars="0"/>
              <w:jc w:val="center"/>
              <w:rPr>
                <w:w w:val="80"/>
                <w:sz w:val="21"/>
                <w:szCs w:val="21"/>
              </w:rPr>
            </w:pPr>
            <w:r>
              <w:rPr>
                <w:rFonts w:hint="eastAsia"/>
                <w:w w:val="80"/>
                <w:sz w:val="21"/>
                <w:szCs w:val="21"/>
              </w:rPr>
              <w:t>2.6</w:t>
            </w:r>
          </w:p>
        </w:tc>
        <w:tc>
          <w:tcPr>
            <w:tcW w:w="1661" w:type="pct"/>
            <w:vAlign w:val="center"/>
          </w:tcPr>
          <w:p w14:paraId="0C4CE7BF">
            <w:pPr>
              <w:snapToGrid w:val="0"/>
              <w:spacing w:line="240" w:lineRule="auto"/>
              <w:ind w:firstLine="0" w:firstLineChars="0"/>
              <w:jc w:val="left"/>
              <w:rPr>
                <w:w w:val="80"/>
                <w:sz w:val="21"/>
                <w:szCs w:val="21"/>
              </w:rPr>
            </w:pPr>
            <w:r>
              <w:rPr>
                <w:rFonts w:hint="eastAsia"/>
                <w:w w:val="80"/>
                <w:sz w:val="21"/>
                <w:szCs w:val="21"/>
              </w:rPr>
              <w:t>K1胶带驱动转运硐室滤筒除尘器</w:t>
            </w:r>
          </w:p>
        </w:tc>
        <w:tc>
          <w:tcPr>
            <w:tcW w:w="349" w:type="pct"/>
            <w:vAlign w:val="center"/>
          </w:tcPr>
          <w:p w14:paraId="7D634BA5">
            <w:pPr>
              <w:snapToGrid w:val="0"/>
              <w:spacing w:line="240" w:lineRule="auto"/>
              <w:ind w:firstLine="0" w:firstLineChars="0"/>
              <w:jc w:val="center"/>
              <w:rPr>
                <w:w w:val="80"/>
                <w:sz w:val="21"/>
                <w:szCs w:val="21"/>
              </w:rPr>
            </w:pPr>
            <w:r>
              <w:rPr>
                <w:rFonts w:hint="eastAsia"/>
                <w:w w:val="80"/>
                <w:sz w:val="21"/>
                <w:szCs w:val="21"/>
              </w:rPr>
              <w:t>2</w:t>
            </w:r>
          </w:p>
        </w:tc>
        <w:tc>
          <w:tcPr>
            <w:tcW w:w="781" w:type="pct"/>
            <w:vAlign w:val="center"/>
          </w:tcPr>
          <w:p w14:paraId="655A0129">
            <w:pPr>
              <w:snapToGrid w:val="0"/>
              <w:spacing w:line="240" w:lineRule="auto"/>
              <w:ind w:firstLine="0" w:firstLineChars="0"/>
              <w:jc w:val="center"/>
              <w:rPr>
                <w:w w:val="80"/>
                <w:sz w:val="21"/>
                <w:szCs w:val="21"/>
              </w:rPr>
            </w:pPr>
            <w:r>
              <w:rPr>
                <w:rFonts w:hint="eastAsia"/>
                <w:w w:val="80"/>
                <w:sz w:val="21"/>
                <w:szCs w:val="21"/>
              </w:rPr>
              <w:t>1</w:t>
            </w:r>
          </w:p>
        </w:tc>
        <w:tc>
          <w:tcPr>
            <w:tcW w:w="478" w:type="pct"/>
            <w:vAlign w:val="center"/>
          </w:tcPr>
          <w:p w14:paraId="48EB646D">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09787DF8">
            <w:pPr>
              <w:snapToGrid w:val="0"/>
              <w:spacing w:line="240" w:lineRule="auto"/>
              <w:ind w:firstLine="0" w:firstLineChars="0"/>
              <w:jc w:val="center"/>
              <w:rPr>
                <w:w w:val="80"/>
                <w:sz w:val="21"/>
                <w:szCs w:val="21"/>
              </w:rPr>
            </w:pPr>
            <w:r>
              <w:rPr>
                <w:rFonts w:hint="eastAsia"/>
                <w:w w:val="80"/>
                <w:sz w:val="21"/>
                <w:szCs w:val="21"/>
              </w:rPr>
              <w:t>1.1</w:t>
            </w:r>
          </w:p>
        </w:tc>
        <w:tc>
          <w:tcPr>
            <w:tcW w:w="519" w:type="pct"/>
            <w:vAlign w:val="center"/>
          </w:tcPr>
          <w:p w14:paraId="6E855ACC">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0CF93DCC">
            <w:pPr>
              <w:snapToGrid w:val="0"/>
              <w:spacing w:line="240" w:lineRule="auto"/>
              <w:ind w:firstLine="0" w:firstLineChars="0"/>
              <w:jc w:val="center"/>
              <w:rPr>
                <w:w w:val="80"/>
                <w:sz w:val="21"/>
                <w:szCs w:val="21"/>
              </w:rPr>
            </w:pPr>
            <w:r>
              <w:rPr>
                <w:rFonts w:hint="eastAsia"/>
                <w:w w:val="80"/>
                <w:sz w:val="21"/>
                <w:szCs w:val="21"/>
              </w:rPr>
              <w:t>1.10</w:t>
            </w:r>
          </w:p>
        </w:tc>
      </w:tr>
      <w:tr w14:paraId="3E65D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31" w:type="dxa"/>
            <w:vAlign w:val="center"/>
          </w:tcPr>
          <w:p w14:paraId="1ABC4334">
            <w:pPr>
              <w:snapToGrid w:val="0"/>
              <w:spacing w:line="240" w:lineRule="auto"/>
              <w:ind w:firstLine="0" w:firstLineChars="0"/>
              <w:jc w:val="center"/>
              <w:rPr>
                <w:w w:val="80"/>
                <w:sz w:val="21"/>
                <w:szCs w:val="21"/>
              </w:rPr>
            </w:pPr>
            <w:r>
              <w:rPr>
                <w:rFonts w:hint="eastAsia"/>
                <w:w w:val="80"/>
                <w:sz w:val="21"/>
                <w:szCs w:val="21"/>
              </w:rPr>
              <w:t>2.7</w:t>
            </w:r>
          </w:p>
        </w:tc>
        <w:tc>
          <w:tcPr>
            <w:tcW w:w="1661" w:type="pct"/>
            <w:vAlign w:val="center"/>
          </w:tcPr>
          <w:p w14:paraId="436ACF86">
            <w:pPr>
              <w:snapToGrid w:val="0"/>
              <w:spacing w:line="240" w:lineRule="auto"/>
              <w:ind w:firstLine="0" w:firstLineChars="0"/>
              <w:jc w:val="left"/>
              <w:rPr>
                <w:w w:val="80"/>
                <w:sz w:val="21"/>
                <w:szCs w:val="21"/>
              </w:rPr>
            </w:pPr>
            <w:r>
              <w:rPr>
                <w:rFonts w:hint="eastAsia"/>
                <w:w w:val="80"/>
                <w:sz w:val="21"/>
                <w:szCs w:val="21"/>
              </w:rPr>
              <w:t>K2胶带驱动转运硐室滤筒除尘器</w:t>
            </w:r>
          </w:p>
        </w:tc>
        <w:tc>
          <w:tcPr>
            <w:tcW w:w="349" w:type="pct"/>
            <w:vAlign w:val="center"/>
          </w:tcPr>
          <w:p w14:paraId="73A812E8">
            <w:pPr>
              <w:snapToGrid w:val="0"/>
              <w:spacing w:line="240" w:lineRule="auto"/>
              <w:ind w:firstLine="0" w:firstLineChars="0"/>
              <w:jc w:val="center"/>
              <w:rPr>
                <w:w w:val="80"/>
                <w:sz w:val="21"/>
                <w:szCs w:val="21"/>
              </w:rPr>
            </w:pPr>
            <w:r>
              <w:rPr>
                <w:rFonts w:hint="eastAsia"/>
                <w:w w:val="80"/>
                <w:sz w:val="21"/>
                <w:szCs w:val="21"/>
              </w:rPr>
              <w:t>2</w:t>
            </w:r>
          </w:p>
        </w:tc>
        <w:tc>
          <w:tcPr>
            <w:tcW w:w="781" w:type="pct"/>
            <w:vAlign w:val="center"/>
          </w:tcPr>
          <w:p w14:paraId="11EA3636">
            <w:pPr>
              <w:snapToGrid w:val="0"/>
              <w:spacing w:line="240" w:lineRule="auto"/>
              <w:ind w:firstLine="0" w:firstLineChars="0"/>
              <w:jc w:val="center"/>
              <w:rPr>
                <w:w w:val="80"/>
                <w:sz w:val="21"/>
                <w:szCs w:val="21"/>
              </w:rPr>
            </w:pPr>
            <w:r>
              <w:rPr>
                <w:rFonts w:hint="eastAsia"/>
                <w:w w:val="80"/>
                <w:sz w:val="21"/>
                <w:szCs w:val="21"/>
              </w:rPr>
              <w:t>1</w:t>
            </w:r>
          </w:p>
        </w:tc>
        <w:tc>
          <w:tcPr>
            <w:tcW w:w="478" w:type="pct"/>
            <w:vAlign w:val="center"/>
          </w:tcPr>
          <w:p w14:paraId="612E66B2">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4C269387">
            <w:pPr>
              <w:snapToGrid w:val="0"/>
              <w:spacing w:line="240" w:lineRule="auto"/>
              <w:ind w:firstLine="0" w:firstLineChars="0"/>
              <w:jc w:val="center"/>
              <w:rPr>
                <w:w w:val="80"/>
                <w:sz w:val="21"/>
                <w:szCs w:val="21"/>
              </w:rPr>
            </w:pPr>
            <w:r>
              <w:rPr>
                <w:rFonts w:hint="eastAsia"/>
                <w:w w:val="80"/>
                <w:sz w:val="21"/>
                <w:szCs w:val="21"/>
              </w:rPr>
              <w:t>1.1</w:t>
            </w:r>
          </w:p>
        </w:tc>
        <w:tc>
          <w:tcPr>
            <w:tcW w:w="519" w:type="pct"/>
            <w:vAlign w:val="center"/>
          </w:tcPr>
          <w:p w14:paraId="7EF68C36">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536E0294">
            <w:pPr>
              <w:snapToGrid w:val="0"/>
              <w:spacing w:line="240" w:lineRule="auto"/>
              <w:ind w:firstLine="0" w:firstLineChars="0"/>
              <w:jc w:val="center"/>
              <w:rPr>
                <w:w w:val="80"/>
                <w:sz w:val="21"/>
                <w:szCs w:val="21"/>
              </w:rPr>
            </w:pPr>
            <w:r>
              <w:rPr>
                <w:rFonts w:hint="eastAsia"/>
                <w:w w:val="80"/>
                <w:sz w:val="21"/>
                <w:szCs w:val="21"/>
              </w:rPr>
              <w:t>1.10</w:t>
            </w:r>
          </w:p>
        </w:tc>
      </w:tr>
      <w:tr w14:paraId="00602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64088337">
            <w:pPr>
              <w:snapToGrid w:val="0"/>
              <w:spacing w:line="240" w:lineRule="auto"/>
              <w:ind w:firstLine="0" w:firstLineChars="0"/>
              <w:jc w:val="center"/>
              <w:rPr>
                <w:w w:val="80"/>
                <w:sz w:val="21"/>
                <w:szCs w:val="21"/>
              </w:rPr>
            </w:pPr>
            <w:r>
              <w:rPr>
                <w:rFonts w:hint="eastAsia"/>
                <w:w w:val="80"/>
                <w:sz w:val="21"/>
                <w:szCs w:val="21"/>
              </w:rPr>
              <w:t>2.8</w:t>
            </w:r>
          </w:p>
        </w:tc>
        <w:tc>
          <w:tcPr>
            <w:tcW w:w="1661" w:type="pct"/>
            <w:vAlign w:val="center"/>
          </w:tcPr>
          <w:p w14:paraId="359EC6A6">
            <w:pPr>
              <w:snapToGrid w:val="0"/>
              <w:spacing w:line="240" w:lineRule="auto"/>
              <w:ind w:firstLine="0" w:firstLineChars="0"/>
              <w:jc w:val="left"/>
              <w:rPr>
                <w:w w:val="80"/>
                <w:sz w:val="21"/>
                <w:szCs w:val="21"/>
              </w:rPr>
            </w:pPr>
            <w:r>
              <w:rPr>
                <w:w w:val="80"/>
                <w:sz w:val="21"/>
                <w:szCs w:val="21"/>
              </w:rPr>
              <w:t>-</w:t>
            </w:r>
            <w:r>
              <w:rPr>
                <w:rFonts w:hint="eastAsia"/>
                <w:w w:val="80"/>
                <w:sz w:val="21"/>
                <w:szCs w:val="21"/>
              </w:rPr>
              <w:t>905</w:t>
            </w:r>
            <w:r>
              <w:rPr>
                <w:w w:val="80"/>
                <w:sz w:val="21"/>
                <w:szCs w:val="21"/>
              </w:rPr>
              <w:t>m</w:t>
            </w:r>
            <w:r>
              <w:rPr>
                <w:rFonts w:hint="eastAsia"/>
                <w:w w:val="80"/>
                <w:sz w:val="21"/>
                <w:szCs w:val="21"/>
              </w:rPr>
              <w:t>水平</w:t>
            </w:r>
            <w:r>
              <w:rPr>
                <w:w w:val="80"/>
                <w:sz w:val="21"/>
                <w:szCs w:val="21"/>
              </w:rPr>
              <w:t>破碎硐室湿式除尘器</w:t>
            </w:r>
          </w:p>
        </w:tc>
        <w:tc>
          <w:tcPr>
            <w:tcW w:w="349" w:type="pct"/>
            <w:vAlign w:val="center"/>
          </w:tcPr>
          <w:p w14:paraId="273796D6">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1AA262FD">
            <w:pPr>
              <w:snapToGrid w:val="0"/>
              <w:spacing w:line="240" w:lineRule="auto"/>
              <w:ind w:firstLine="0" w:firstLineChars="0"/>
              <w:jc w:val="center"/>
              <w:rPr>
                <w:w w:val="80"/>
                <w:sz w:val="21"/>
                <w:szCs w:val="21"/>
              </w:rPr>
            </w:pPr>
            <w:r>
              <w:rPr>
                <w:rFonts w:hint="eastAsia"/>
                <w:w w:val="80"/>
                <w:sz w:val="21"/>
                <w:szCs w:val="21"/>
              </w:rPr>
              <w:t>0.5</w:t>
            </w:r>
          </w:p>
        </w:tc>
        <w:tc>
          <w:tcPr>
            <w:tcW w:w="478" w:type="pct"/>
            <w:vAlign w:val="center"/>
          </w:tcPr>
          <w:p w14:paraId="62BC562E">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6E430D7B">
            <w:pPr>
              <w:snapToGrid w:val="0"/>
              <w:spacing w:line="240" w:lineRule="auto"/>
              <w:ind w:firstLine="0" w:firstLineChars="0"/>
              <w:jc w:val="center"/>
              <w:rPr>
                <w:w w:val="80"/>
                <w:sz w:val="21"/>
                <w:szCs w:val="21"/>
              </w:rPr>
            </w:pPr>
            <w:r>
              <w:rPr>
                <w:rFonts w:hint="eastAsia"/>
                <w:w w:val="80"/>
                <w:sz w:val="21"/>
                <w:szCs w:val="21"/>
              </w:rPr>
              <w:t>1.1</w:t>
            </w:r>
          </w:p>
        </w:tc>
        <w:tc>
          <w:tcPr>
            <w:tcW w:w="519" w:type="pct"/>
            <w:vAlign w:val="center"/>
          </w:tcPr>
          <w:p w14:paraId="1D6921AB">
            <w:pPr>
              <w:snapToGrid w:val="0"/>
              <w:spacing w:line="240" w:lineRule="auto"/>
              <w:ind w:firstLine="0" w:firstLineChars="0"/>
              <w:jc w:val="center"/>
              <w:rPr>
                <w:w w:val="80"/>
                <w:sz w:val="21"/>
                <w:szCs w:val="21"/>
              </w:rPr>
            </w:pPr>
            <w:r>
              <w:rPr>
                <w:rFonts w:hint="eastAsia"/>
                <w:w w:val="80"/>
                <w:sz w:val="21"/>
                <w:szCs w:val="21"/>
              </w:rPr>
              <w:t>0.25~0.6</w:t>
            </w:r>
          </w:p>
        </w:tc>
        <w:tc>
          <w:tcPr>
            <w:tcW w:w="579" w:type="pct"/>
            <w:vAlign w:val="center"/>
          </w:tcPr>
          <w:p w14:paraId="653D6BDE">
            <w:pPr>
              <w:snapToGrid w:val="0"/>
              <w:spacing w:line="240" w:lineRule="auto"/>
              <w:ind w:firstLine="0" w:firstLineChars="0"/>
              <w:jc w:val="center"/>
              <w:rPr>
                <w:w w:val="80"/>
                <w:sz w:val="21"/>
                <w:szCs w:val="21"/>
              </w:rPr>
            </w:pPr>
            <w:r>
              <w:rPr>
                <w:rFonts w:hint="eastAsia"/>
                <w:w w:val="80"/>
                <w:sz w:val="21"/>
                <w:szCs w:val="21"/>
              </w:rPr>
              <w:t>0.39</w:t>
            </w:r>
          </w:p>
        </w:tc>
      </w:tr>
      <w:tr w14:paraId="2C99F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02BF5A35">
            <w:pPr>
              <w:snapToGrid w:val="0"/>
              <w:spacing w:line="240" w:lineRule="auto"/>
              <w:ind w:firstLine="0" w:firstLineChars="0"/>
              <w:jc w:val="center"/>
              <w:rPr>
                <w:w w:val="80"/>
                <w:sz w:val="21"/>
                <w:szCs w:val="21"/>
              </w:rPr>
            </w:pPr>
            <w:r>
              <w:rPr>
                <w:rFonts w:hint="eastAsia"/>
                <w:w w:val="80"/>
                <w:sz w:val="21"/>
                <w:szCs w:val="21"/>
              </w:rPr>
              <w:t>2.9</w:t>
            </w:r>
          </w:p>
        </w:tc>
        <w:tc>
          <w:tcPr>
            <w:tcW w:w="1661" w:type="pct"/>
            <w:vAlign w:val="center"/>
          </w:tcPr>
          <w:p w14:paraId="01F46067">
            <w:pPr>
              <w:snapToGrid w:val="0"/>
              <w:spacing w:line="240" w:lineRule="auto"/>
              <w:ind w:firstLine="0" w:firstLineChars="0"/>
              <w:jc w:val="left"/>
              <w:rPr>
                <w:w w:val="80"/>
                <w:sz w:val="21"/>
                <w:szCs w:val="21"/>
              </w:rPr>
            </w:pPr>
            <w:r>
              <w:rPr>
                <w:rFonts w:hint="eastAsia"/>
                <w:w w:val="80"/>
                <w:sz w:val="21"/>
                <w:szCs w:val="21"/>
              </w:rPr>
              <w:t>无轨设备组装修理</w:t>
            </w:r>
            <w:r>
              <w:rPr>
                <w:w w:val="80"/>
                <w:sz w:val="21"/>
                <w:szCs w:val="21"/>
              </w:rPr>
              <w:t>硐室</w:t>
            </w:r>
          </w:p>
        </w:tc>
        <w:tc>
          <w:tcPr>
            <w:tcW w:w="349" w:type="pct"/>
            <w:vAlign w:val="center"/>
          </w:tcPr>
          <w:p w14:paraId="1722F34D">
            <w:pPr>
              <w:snapToGrid w:val="0"/>
              <w:spacing w:line="240" w:lineRule="auto"/>
              <w:ind w:firstLine="0" w:firstLineChars="0"/>
              <w:jc w:val="center"/>
              <w:rPr>
                <w:w w:val="80"/>
                <w:sz w:val="21"/>
                <w:szCs w:val="21"/>
              </w:rPr>
            </w:pPr>
            <w:r>
              <w:rPr>
                <w:w w:val="80"/>
                <w:sz w:val="21"/>
                <w:szCs w:val="21"/>
              </w:rPr>
              <w:t>2</w:t>
            </w:r>
          </w:p>
        </w:tc>
        <w:tc>
          <w:tcPr>
            <w:tcW w:w="781" w:type="pct"/>
            <w:vAlign w:val="center"/>
          </w:tcPr>
          <w:p w14:paraId="32DC84C9">
            <w:pPr>
              <w:snapToGrid w:val="0"/>
              <w:spacing w:line="240" w:lineRule="auto"/>
              <w:ind w:firstLine="0" w:firstLineChars="0"/>
              <w:jc w:val="center"/>
              <w:rPr>
                <w:w w:val="80"/>
                <w:sz w:val="21"/>
                <w:szCs w:val="21"/>
              </w:rPr>
            </w:pPr>
            <w:r>
              <w:rPr>
                <w:w w:val="80"/>
                <w:sz w:val="21"/>
                <w:szCs w:val="21"/>
              </w:rPr>
              <w:t>2</w:t>
            </w:r>
          </w:p>
        </w:tc>
        <w:tc>
          <w:tcPr>
            <w:tcW w:w="478" w:type="pct"/>
            <w:vAlign w:val="center"/>
          </w:tcPr>
          <w:p w14:paraId="50DEF0DE">
            <w:pPr>
              <w:snapToGrid w:val="0"/>
              <w:spacing w:line="240" w:lineRule="auto"/>
              <w:ind w:firstLine="0" w:firstLineChars="0"/>
              <w:jc w:val="center"/>
              <w:rPr>
                <w:w w:val="80"/>
                <w:sz w:val="21"/>
                <w:szCs w:val="21"/>
              </w:rPr>
            </w:pPr>
            <w:r>
              <w:rPr>
                <w:w w:val="80"/>
                <w:sz w:val="21"/>
                <w:szCs w:val="21"/>
              </w:rPr>
              <w:t>0.</w:t>
            </w:r>
            <w:r>
              <w:rPr>
                <w:rFonts w:hint="eastAsia"/>
                <w:w w:val="80"/>
                <w:sz w:val="21"/>
                <w:szCs w:val="21"/>
              </w:rPr>
              <w:t>5</w:t>
            </w:r>
          </w:p>
        </w:tc>
        <w:tc>
          <w:tcPr>
            <w:tcW w:w="343" w:type="pct"/>
            <w:vAlign w:val="center"/>
          </w:tcPr>
          <w:p w14:paraId="13CB4EAE">
            <w:pPr>
              <w:snapToGrid w:val="0"/>
              <w:spacing w:line="240" w:lineRule="auto"/>
              <w:ind w:firstLine="0" w:firstLineChars="0"/>
              <w:jc w:val="center"/>
              <w:rPr>
                <w:w w:val="80"/>
                <w:sz w:val="21"/>
                <w:szCs w:val="21"/>
              </w:rPr>
            </w:pPr>
            <w:r>
              <w:rPr>
                <w:w w:val="80"/>
                <w:sz w:val="21"/>
                <w:szCs w:val="21"/>
              </w:rPr>
              <w:t>1.1</w:t>
            </w:r>
          </w:p>
        </w:tc>
        <w:tc>
          <w:tcPr>
            <w:tcW w:w="519" w:type="pct"/>
            <w:vAlign w:val="center"/>
          </w:tcPr>
          <w:p w14:paraId="799612B8">
            <w:pPr>
              <w:snapToGrid w:val="0"/>
              <w:spacing w:line="240" w:lineRule="auto"/>
              <w:ind w:firstLine="0" w:firstLineChars="0"/>
              <w:jc w:val="center"/>
              <w:rPr>
                <w:w w:val="80"/>
                <w:sz w:val="21"/>
                <w:szCs w:val="21"/>
              </w:rPr>
            </w:pPr>
            <w:r>
              <w:rPr>
                <w:rFonts w:hint="eastAsia"/>
                <w:w w:val="80"/>
                <w:sz w:val="21"/>
                <w:szCs w:val="21"/>
              </w:rPr>
              <w:t>0.4~0.8</w:t>
            </w:r>
          </w:p>
        </w:tc>
        <w:tc>
          <w:tcPr>
            <w:tcW w:w="579" w:type="pct"/>
            <w:vAlign w:val="center"/>
          </w:tcPr>
          <w:p w14:paraId="0D590ED0">
            <w:pPr>
              <w:snapToGrid w:val="0"/>
              <w:spacing w:line="240" w:lineRule="auto"/>
              <w:ind w:firstLine="0" w:firstLineChars="0"/>
              <w:jc w:val="center"/>
              <w:rPr>
                <w:w w:val="80"/>
                <w:sz w:val="21"/>
                <w:szCs w:val="21"/>
              </w:rPr>
            </w:pPr>
            <w:r>
              <w:rPr>
                <w:rFonts w:hint="eastAsia"/>
                <w:w w:val="80"/>
                <w:sz w:val="21"/>
                <w:szCs w:val="21"/>
              </w:rPr>
              <w:t>2.20</w:t>
            </w:r>
          </w:p>
        </w:tc>
      </w:tr>
      <w:tr w14:paraId="3F13D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6" w:type="pct"/>
            <w:vAlign w:val="center"/>
          </w:tcPr>
          <w:p w14:paraId="2AF27FF1">
            <w:pPr>
              <w:snapToGrid w:val="0"/>
              <w:spacing w:line="240" w:lineRule="auto"/>
              <w:ind w:firstLine="0" w:firstLineChars="0"/>
              <w:jc w:val="center"/>
              <w:rPr>
                <w:w w:val="80"/>
                <w:sz w:val="21"/>
                <w:szCs w:val="21"/>
              </w:rPr>
            </w:pPr>
          </w:p>
        </w:tc>
        <w:tc>
          <w:tcPr>
            <w:tcW w:w="4134" w:type="pct"/>
            <w:gridSpan w:val="6"/>
            <w:vAlign w:val="center"/>
          </w:tcPr>
          <w:p w14:paraId="34231033">
            <w:pPr>
              <w:snapToGrid w:val="0"/>
              <w:spacing w:line="240" w:lineRule="auto"/>
              <w:ind w:firstLine="0" w:firstLineChars="0"/>
              <w:jc w:val="center"/>
              <w:rPr>
                <w:w w:val="80"/>
                <w:sz w:val="21"/>
                <w:szCs w:val="21"/>
              </w:rPr>
            </w:pPr>
            <w:r>
              <w:rPr>
                <w:w w:val="80"/>
                <w:sz w:val="21"/>
                <w:szCs w:val="21"/>
              </w:rPr>
              <w:t>合  计</w:t>
            </w:r>
          </w:p>
        </w:tc>
        <w:tc>
          <w:tcPr>
            <w:tcW w:w="579" w:type="pct"/>
            <w:vAlign w:val="center"/>
          </w:tcPr>
          <w:p w14:paraId="40315197">
            <w:pPr>
              <w:snapToGrid w:val="0"/>
              <w:spacing w:line="240" w:lineRule="auto"/>
              <w:ind w:firstLine="0" w:firstLineChars="0"/>
              <w:jc w:val="center"/>
              <w:rPr>
                <w:w w:val="80"/>
                <w:sz w:val="21"/>
                <w:szCs w:val="21"/>
              </w:rPr>
            </w:pPr>
            <w:r>
              <w:rPr>
                <w:rFonts w:hint="eastAsia"/>
                <w:w w:val="80"/>
                <w:sz w:val="21"/>
                <w:szCs w:val="21"/>
              </w:rPr>
              <w:t>29.10</w:t>
            </w:r>
          </w:p>
        </w:tc>
      </w:tr>
    </w:tbl>
    <w:p w14:paraId="775C43F9">
      <w:pPr>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表2</w:t>
      </w:r>
      <w:r>
        <w:rPr>
          <w:rFonts w:asciiTheme="minorHAnsi" w:hAnsiTheme="minorHAnsi" w:cstheme="minorHAnsi"/>
          <w:szCs w:val="28"/>
        </w:rPr>
        <w:t>.4-19</w:t>
      </w:r>
      <w:r>
        <w:rPr>
          <w:rFonts w:hint="eastAsia" w:asciiTheme="minorHAnsi" w:hAnsiTheme="minorHAnsi" w:cstheme="minorHAnsi"/>
          <w:szCs w:val="28"/>
        </w:rPr>
        <w:t>二期单独生产时地表</w:t>
      </w:r>
      <w:r>
        <w:rPr>
          <w:rFonts w:asciiTheme="minorHAnsi" w:hAnsiTheme="minorHAnsi" w:cstheme="minorHAnsi"/>
          <w:szCs w:val="28"/>
        </w:rPr>
        <w:t>用气设备及耗气量表</w:t>
      </w:r>
    </w:p>
    <w:tbl>
      <w:tblPr>
        <w:tblStyle w:val="54"/>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3195"/>
        <w:gridCol w:w="671"/>
        <w:gridCol w:w="1502"/>
        <w:gridCol w:w="919"/>
        <w:gridCol w:w="660"/>
        <w:gridCol w:w="1006"/>
        <w:gridCol w:w="1111"/>
      </w:tblGrid>
      <w:tr w14:paraId="39322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87" w:type="pct"/>
            <w:vAlign w:val="center"/>
          </w:tcPr>
          <w:p w14:paraId="29A8AC28">
            <w:pPr>
              <w:snapToGrid w:val="0"/>
              <w:spacing w:line="240" w:lineRule="auto"/>
              <w:ind w:left="-140" w:leftChars="-50" w:right="-140" w:rightChars="-50" w:firstLine="0" w:firstLineChars="0"/>
              <w:jc w:val="center"/>
              <w:rPr>
                <w:w w:val="80"/>
                <w:sz w:val="21"/>
                <w:szCs w:val="21"/>
              </w:rPr>
            </w:pPr>
            <w:r>
              <w:rPr>
                <w:w w:val="80"/>
                <w:sz w:val="21"/>
                <w:szCs w:val="21"/>
              </w:rPr>
              <w:t>序</w:t>
            </w:r>
          </w:p>
          <w:p w14:paraId="46E14862">
            <w:pPr>
              <w:snapToGrid w:val="0"/>
              <w:spacing w:line="240" w:lineRule="auto"/>
              <w:ind w:left="-140" w:leftChars="-50" w:right="-140" w:rightChars="-50" w:firstLine="0" w:firstLineChars="0"/>
              <w:jc w:val="center"/>
              <w:rPr>
                <w:w w:val="80"/>
                <w:sz w:val="21"/>
                <w:szCs w:val="21"/>
              </w:rPr>
            </w:pPr>
            <w:r>
              <w:rPr>
                <w:w w:val="80"/>
                <w:sz w:val="21"/>
                <w:szCs w:val="21"/>
              </w:rPr>
              <w:t>号</w:t>
            </w:r>
          </w:p>
        </w:tc>
        <w:tc>
          <w:tcPr>
            <w:tcW w:w="1661" w:type="pct"/>
            <w:vAlign w:val="center"/>
          </w:tcPr>
          <w:p w14:paraId="4BA2A6E0">
            <w:pPr>
              <w:snapToGrid w:val="0"/>
              <w:spacing w:line="240" w:lineRule="auto"/>
              <w:ind w:firstLine="0" w:firstLineChars="0"/>
              <w:jc w:val="center"/>
              <w:rPr>
                <w:w w:val="80"/>
                <w:sz w:val="21"/>
                <w:szCs w:val="21"/>
              </w:rPr>
            </w:pPr>
            <w:r>
              <w:rPr>
                <w:w w:val="80"/>
                <w:sz w:val="21"/>
                <w:szCs w:val="21"/>
              </w:rPr>
              <w:t>设备名称</w:t>
            </w:r>
          </w:p>
        </w:tc>
        <w:tc>
          <w:tcPr>
            <w:tcW w:w="349" w:type="pct"/>
            <w:vAlign w:val="center"/>
          </w:tcPr>
          <w:p w14:paraId="39E8BFF5">
            <w:pPr>
              <w:snapToGrid w:val="0"/>
              <w:spacing w:line="240" w:lineRule="auto"/>
              <w:ind w:firstLine="0" w:firstLineChars="0"/>
              <w:jc w:val="center"/>
              <w:rPr>
                <w:w w:val="80"/>
                <w:sz w:val="21"/>
                <w:szCs w:val="21"/>
              </w:rPr>
            </w:pPr>
            <w:r>
              <w:rPr>
                <w:w w:val="80"/>
                <w:sz w:val="21"/>
                <w:szCs w:val="21"/>
              </w:rPr>
              <w:t>数量</w:t>
            </w:r>
            <w:r>
              <w:rPr>
                <w:rFonts w:hint="eastAsia"/>
                <w:w w:val="80"/>
                <w:sz w:val="21"/>
                <w:szCs w:val="21"/>
              </w:rPr>
              <w:t>(</w:t>
            </w:r>
            <w:r>
              <w:rPr>
                <w:w w:val="80"/>
                <w:sz w:val="21"/>
                <w:szCs w:val="21"/>
              </w:rPr>
              <w:t>台</w:t>
            </w:r>
            <w:r>
              <w:rPr>
                <w:rFonts w:hint="eastAsia"/>
                <w:w w:val="80"/>
                <w:sz w:val="21"/>
                <w:szCs w:val="21"/>
              </w:rPr>
              <w:t>)</w:t>
            </w:r>
          </w:p>
        </w:tc>
        <w:tc>
          <w:tcPr>
            <w:tcW w:w="781" w:type="pct"/>
            <w:vAlign w:val="center"/>
          </w:tcPr>
          <w:p w14:paraId="3118F904">
            <w:pPr>
              <w:snapToGrid w:val="0"/>
              <w:spacing w:line="240" w:lineRule="auto"/>
              <w:ind w:firstLine="0" w:firstLineChars="0"/>
              <w:jc w:val="center"/>
              <w:rPr>
                <w:w w:val="80"/>
                <w:sz w:val="21"/>
                <w:szCs w:val="21"/>
              </w:rPr>
            </w:pPr>
            <w:r>
              <w:rPr>
                <w:w w:val="80"/>
                <w:sz w:val="21"/>
                <w:szCs w:val="21"/>
              </w:rPr>
              <w:t>单台压气耗量</w:t>
            </w: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c>
          <w:tcPr>
            <w:tcW w:w="478" w:type="pct"/>
            <w:vAlign w:val="center"/>
          </w:tcPr>
          <w:p w14:paraId="2615CE38">
            <w:pPr>
              <w:snapToGrid w:val="0"/>
              <w:spacing w:line="240" w:lineRule="auto"/>
              <w:ind w:firstLine="0" w:firstLineChars="0"/>
              <w:jc w:val="center"/>
              <w:rPr>
                <w:w w:val="80"/>
                <w:sz w:val="21"/>
                <w:szCs w:val="21"/>
              </w:rPr>
            </w:pPr>
            <w:r>
              <w:rPr>
                <w:w w:val="80"/>
                <w:sz w:val="21"/>
                <w:szCs w:val="21"/>
              </w:rPr>
              <w:t>同时工作系数</w:t>
            </w:r>
          </w:p>
        </w:tc>
        <w:tc>
          <w:tcPr>
            <w:tcW w:w="343" w:type="pct"/>
            <w:vAlign w:val="center"/>
          </w:tcPr>
          <w:p w14:paraId="2D9503ED">
            <w:pPr>
              <w:snapToGrid w:val="0"/>
              <w:spacing w:line="240" w:lineRule="auto"/>
              <w:ind w:firstLine="0" w:firstLineChars="0"/>
              <w:jc w:val="center"/>
              <w:rPr>
                <w:w w:val="80"/>
                <w:sz w:val="21"/>
                <w:szCs w:val="21"/>
              </w:rPr>
            </w:pPr>
            <w:r>
              <w:rPr>
                <w:w w:val="80"/>
                <w:sz w:val="21"/>
                <w:szCs w:val="21"/>
              </w:rPr>
              <w:t>磨损系数</w:t>
            </w:r>
          </w:p>
        </w:tc>
        <w:tc>
          <w:tcPr>
            <w:tcW w:w="523" w:type="pct"/>
            <w:vAlign w:val="center"/>
          </w:tcPr>
          <w:p w14:paraId="48C45CCF">
            <w:pPr>
              <w:snapToGrid w:val="0"/>
              <w:spacing w:line="240" w:lineRule="auto"/>
              <w:ind w:firstLine="0" w:firstLineChars="0"/>
              <w:jc w:val="center"/>
              <w:rPr>
                <w:w w:val="80"/>
                <w:sz w:val="21"/>
                <w:szCs w:val="21"/>
              </w:rPr>
            </w:pPr>
            <w:r>
              <w:rPr>
                <w:rFonts w:hint="eastAsia"/>
                <w:w w:val="80"/>
                <w:sz w:val="21"/>
                <w:szCs w:val="21"/>
              </w:rPr>
              <w:t>风压(MPa)</w:t>
            </w:r>
          </w:p>
        </w:tc>
        <w:tc>
          <w:tcPr>
            <w:tcW w:w="579" w:type="pct"/>
            <w:vAlign w:val="center"/>
          </w:tcPr>
          <w:p w14:paraId="30295681">
            <w:pPr>
              <w:snapToGrid w:val="0"/>
              <w:spacing w:line="240" w:lineRule="auto"/>
              <w:ind w:firstLine="0" w:firstLineChars="0"/>
              <w:jc w:val="center"/>
              <w:rPr>
                <w:w w:val="80"/>
                <w:sz w:val="21"/>
                <w:szCs w:val="21"/>
              </w:rPr>
            </w:pPr>
            <w:r>
              <w:rPr>
                <w:w w:val="80"/>
                <w:sz w:val="21"/>
                <w:szCs w:val="21"/>
              </w:rPr>
              <w:t>合计</w:t>
            </w:r>
          </w:p>
          <w:p w14:paraId="3CE85C85">
            <w:pPr>
              <w:snapToGrid w:val="0"/>
              <w:spacing w:line="240" w:lineRule="auto"/>
              <w:ind w:firstLine="0" w:firstLineChars="0"/>
              <w:jc w:val="center"/>
              <w:rPr>
                <w:w w:val="80"/>
                <w:sz w:val="21"/>
                <w:szCs w:val="21"/>
              </w:rPr>
            </w:pPr>
            <w:r>
              <w:rPr>
                <w:rFonts w:hint="eastAsia"/>
                <w:w w:val="80"/>
                <w:sz w:val="21"/>
                <w:szCs w:val="21"/>
              </w:rPr>
              <w:t>(N</w:t>
            </w:r>
            <w:r>
              <w:rPr>
                <w:w w:val="80"/>
                <w:sz w:val="21"/>
                <w:szCs w:val="21"/>
              </w:rPr>
              <w:t>m</w:t>
            </w:r>
            <w:r>
              <w:rPr>
                <w:w w:val="80"/>
                <w:sz w:val="21"/>
                <w:szCs w:val="21"/>
                <w:vertAlign w:val="superscript"/>
              </w:rPr>
              <w:t>3</w:t>
            </w:r>
            <w:r>
              <w:rPr>
                <w:w w:val="80"/>
                <w:sz w:val="21"/>
                <w:szCs w:val="21"/>
              </w:rPr>
              <w:t>/min</w:t>
            </w:r>
            <w:r>
              <w:rPr>
                <w:rFonts w:hint="eastAsia"/>
                <w:w w:val="80"/>
                <w:sz w:val="21"/>
                <w:szCs w:val="21"/>
              </w:rPr>
              <w:t>)</w:t>
            </w:r>
          </w:p>
        </w:tc>
      </w:tr>
      <w:tr w14:paraId="1DFFF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537571D1">
            <w:pPr>
              <w:snapToGrid w:val="0"/>
              <w:spacing w:line="240" w:lineRule="auto"/>
              <w:ind w:left="-140" w:leftChars="-50" w:right="-140" w:rightChars="-50" w:firstLine="0" w:firstLineChars="0"/>
              <w:jc w:val="center"/>
              <w:rPr>
                <w:w w:val="80"/>
                <w:sz w:val="21"/>
                <w:szCs w:val="21"/>
              </w:rPr>
            </w:pPr>
            <w:r>
              <w:rPr>
                <w:w w:val="80"/>
                <w:sz w:val="21"/>
                <w:szCs w:val="21"/>
              </w:rPr>
              <w:t>1</w:t>
            </w:r>
          </w:p>
        </w:tc>
        <w:tc>
          <w:tcPr>
            <w:tcW w:w="1661" w:type="pct"/>
            <w:vAlign w:val="center"/>
          </w:tcPr>
          <w:p w14:paraId="5B9C4F51">
            <w:pPr>
              <w:snapToGrid w:val="0"/>
              <w:spacing w:line="240" w:lineRule="auto"/>
              <w:ind w:firstLine="0" w:firstLineChars="0"/>
              <w:rPr>
                <w:w w:val="80"/>
                <w:sz w:val="21"/>
                <w:szCs w:val="21"/>
              </w:rPr>
            </w:pPr>
            <w:r>
              <w:rPr>
                <w:rFonts w:hint="eastAsia"/>
                <w:w w:val="80"/>
                <w:sz w:val="21"/>
                <w:szCs w:val="21"/>
              </w:rPr>
              <w:t>尾砂压滤车间压滤机</w:t>
            </w:r>
          </w:p>
        </w:tc>
        <w:tc>
          <w:tcPr>
            <w:tcW w:w="349" w:type="pct"/>
            <w:vAlign w:val="center"/>
          </w:tcPr>
          <w:p w14:paraId="169BC1F3">
            <w:pPr>
              <w:snapToGrid w:val="0"/>
              <w:spacing w:line="240" w:lineRule="auto"/>
              <w:ind w:firstLine="0" w:firstLineChars="0"/>
              <w:jc w:val="center"/>
              <w:rPr>
                <w:w w:val="80"/>
                <w:sz w:val="21"/>
                <w:szCs w:val="21"/>
              </w:rPr>
            </w:pPr>
            <w:r>
              <w:rPr>
                <w:rFonts w:hint="eastAsia"/>
                <w:w w:val="80"/>
                <w:sz w:val="21"/>
                <w:szCs w:val="21"/>
              </w:rPr>
              <w:t>4</w:t>
            </w:r>
          </w:p>
        </w:tc>
        <w:tc>
          <w:tcPr>
            <w:tcW w:w="781" w:type="pct"/>
            <w:vAlign w:val="center"/>
          </w:tcPr>
          <w:p w14:paraId="706C53DA">
            <w:pPr>
              <w:snapToGrid w:val="0"/>
              <w:spacing w:line="240" w:lineRule="auto"/>
              <w:ind w:firstLine="0" w:firstLineChars="0"/>
              <w:jc w:val="center"/>
              <w:rPr>
                <w:w w:val="80"/>
                <w:sz w:val="21"/>
                <w:szCs w:val="21"/>
              </w:rPr>
            </w:pPr>
            <w:r>
              <w:rPr>
                <w:rFonts w:hint="eastAsia"/>
                <w:w w:val="80"/>
                <w:sz w:val="21"/>
                <w:szCs w:val="21"/>
              </w:rPr>
              <w:t>1.5</w:t>
            </w:r>
          </w:p>
        </w:tc>
        <w:tc>
          <w:tcPr>
            <w:tcW w:w="478" w:type="pct"/>
            <w:vAlign w:val="center"/>
          </w:tcPr>
          <w:p w14:paraId="06D9C477">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6B52BCDB">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6023FD2A">
            <w:pPr>
              <w:snapToGrid w:val="0"/>
              <w:spacing w:line="240" w:lineRule="auto"/>
              <w:ind w:firstLine="0" w:firstLineChars="0"/>
              <w:jc w:val="center"/>
              <w:rPr>
                <w:w w:val="80"/>
                <w:sz w:val="21"/>
                <w:szCs w:val="21"/>
              </w:rPr>
            </w:pPr>
            <w:r>
              <w:rPr>
                <w:rFonts w:hint="eastAsia"/>
                <w:w w:val="80"/>
                <w:sz w:val="21"/>
                <w:szCs w:val="21"/>
              </w:rPr>
              <w:t>0.8~1.0</w:t>
            </w:r>
          </w:p>
        </w:tc>
        <w:tc>
          <w:tcPr>
            <w:tcW w:w="579" w:type="pct"/>
            <w:vAlign w:val="center"/>
          </w:tcPr>
          <w:p w14:paraId="5FB42BC4">
            <w:pPr>
              <w:snapToGrid w:val="0"/>
              <w:spacing w:line="240" w:lineRule="auto"/>
              <w:ind w:firstLine="0" w:firstLineChars="0"/>
              <w:jc w:val="center"/>
              <w:rPr>
                <w:w w:val="80"/>
                <w:sz w:val="21"/>
                <w:szCs w:val="21"/>
              </w:rPr>
            </w:pPr>
            <w:r>
              <w:rPr>
                <w:rFonts w:hint="eastAsia"/>
                <w:w w:val="80"/>
                <w:sz w:val="21"/>
                <w:szCs w:val="21"/>
              </w:rPr>
              <w:t>6.60</w:t>
            </w:r>
          </w:p>
        </w:tc>
      </w:tr>
      <w:tr w14:paraId="68275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7F2EE034">
            <w:pPr>
              <w:snapToGrid w:val="0"/>
              <w:spacing w:line="240" w:lineRule="auto"/>
              <w:ind w:left="-140" w:leftChars="-50" w:right="-140" w:rightChars="-50" w:firstLine="0" w:firstLineChars="0"/>
              <w:jc w:val="center"/>
              <w:rPr>
                <w:w w:val="80"/>
                <w:sz w:val="21"/>
                <w:szCs w:val="21"/>
              </w:rPr>
            </w:pPr>
            <w:r>
              <w:rPr>
                <w:w w:val="80"/>
                <w:sz w:val="21"/>
                <w:szCs w:val="21"/>
              </w:rPr>
              <w:t>2</w:t>
            </w:r>
          </w:p>
        </w:tc>
        <w:tc>
          <w:tcPr>
            <w:tcW w:w="1661" w:type="pct"/>
            <w:vAlign w:val="center"/>
          </w:tcPr>
          <w:p w14:paraId="445C1A62">
            <w:pPr>
              <w:snapToGrid w:val="0"/>
              <w:spacing w:line="240" w:lineRule="auto"/>
              <w:ind w:firstLine="0" w:firstLineChars="0"/>
              <w:rPr>
                <w:w w:val="80"/>
                <w:sz w:val="21"/>
                <w:szCs w:val="21"/>
              </w:rPr>
            </w:pPr>
            <w:r>
              <w:rPr>
                <w:rFonts w:hint="eastAsia"/>
                <w:w w:val="80"/>
                <w:sz w:val="21"/>
                <w:szCs w:val="21"/>
              </w:rPr>
              <w:t>尾砂压滤车间气动阀门</w:t>
            </w:r>
          </w:p>
        </w:tc>
        <w:tc>
          <w:tcPr>
            <w:tcW w:w="349" w:type="pct"/>
            <w:vAlign w:val="center"/>
          </w:tcPr>
          <w:p w14:paraId="1C6D063C">
            <w:pPr>
              <w:snapToGrid w:val="0"/>
              <w:spacing w:line="240" w:lineRule="auto"/>
              <w:ind w:firstLine="0" w:firstLineChars="0"/>
              <w:jc w:val="center"/>
              <w:rPr>
                <w:w w:val="80"/>
                <w:sz w:val="21"/>
                <w:szCs w:val="21"/>
              </w:rPr>
            </w:pPr>
            <w:r>
              <w:rPr>
                <w:rFonts w:hint="eastAsia"/>
                <w:w w:val="80"/>
                <w:sz w:val="21"/>
                <w:szCs w:val="21"/>
              </w:rPr>
              <w:t>5</w:t>
            </w:r>
          </w:p>
        </w:tc>
        <w:tc>
          <w:tcPr>
            <w:tcW w:w="781" w:type="pct"/>
            <w:vAlign w:val="center"/>
          </w:tcPr>
          <w:p w14:paraId="1D94DD1A">
            <w:pPr>
              <w:snapToGrid w:val="0"/>
              <w:spacing w:line="240" w:lineRule="auto"/>
              <w:ind w:firstLine="0" w:firstLineChars="0"/>
              <w:jc w:val="center"/>
              <w:rPr>
                <w:w w:val="80"/>
                <w:sz w:val="21"/>
                <w:szCs w:val="21"/>
              </w:rPr>
            </w:pPr>
            <w:r>
              <w:rPr>
                <w:rFonts w:hint="eastAsia"/>
                <w:w w:val="80"/>
                <w:sz w:val="21"/>
                <w:szCs w:val="21"/>
              </w:rPr>
              <w:t>0.05</w:t>
            </w:r>
          </w:p>
        </w:tc>
        <w:tc>
          <w:tcPr>
            <w:tcW w:w="478" w:type="pct"/>
            <w:vAlign w:val="center"/>
          </w:tcPr>
          <w:p w14:paraId="72F2F5D9">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6DCE8A01">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27913217">
            <w:pPr>
              <w:snapToGrid w:val="0"/>
              <w:spacing w:line="240" w:lineRule="auto"/>
              <w:ind w:firstLine="0" w:firstLineChars="0"/>
              <w:jc w:val="center"/>
              <w:rPr>
                <w:w w:val="80"/>
                <w:sz w:val="21"/>
                <w:szCs w:val="21"/>
              </w:rPr>
            </w:pPr>
            <w:r>
              <w:rPr>
                <w:rFonts w:hint="eastAsia"/>
                <w:w w:val="80"/>
                <w:sz w:val="21"/>
                <w:szCs w:val="21"/>
              </w:rPr>
              <w:t>0.4~0.8</w:t>
            </w:r>
          </w:p>
        </w:tc>
        <w:tc>
          <w:tcPr>
            <w:tcW w:w="579" w:type="pct"/>
            <w:vAlign w:val="center"/>
          </w:tcPr>
          <w:p w14:paraId="083B5B39">
            <w:pPr>
              <w:snapToGrid w:val="0"/>
              <w:spacing w:line="240" w:lineRule="auto"/>
              <w:ind w:firstLine="0" w:firstLineChars="0"/>
              <w:jc w:val="center"/>
              <w:rPr>
                <w:w w:val="80"/>
                <w:sz w:val="21"/>
                <w:szCs w:val="21"/>
              </w:rPr>
            </w:pPr>
            <w:r>
              <w:rPr>
                <w:rFonts w:hint="eastAsia"/>
                <w:w w:val="80"/>
                <w:sz w:val="21"/>
                <w:szCs w:val="21"/>
              </w:rPr>
              <w:t>0.28</w:t>
            </w:r>
          </w:p>
        </w:tc>
      </w:tr>
      <w:tr w14:paraId="5C808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9105B7E">
            <w:pPr>
              <w:snapToGrid w:val="0"/>
              <w:spacing w:line="240" w:lineRule="auto"/>
              <w:ind w:left="-140" w:leftChars="-50" w:right="-140" w:rightChars="-50" w:firstLine="0" w:firstLineChars="0"/>
              <w:jc w:val="center"/>
              <w:rPr>
                <w:w w:val="80"/>
                <w:sz w:val="21"/>
                <w:szCs w:val="21"/>
              </w:rPr>
            </w:pPr>
            <w:r>
              <w:rPr>
                <w:rFonts w:hint="eastAsia"/>
                <w:w w:val="80"/>
                <w:sz w:val="21"/>
                <w:szCs w:val="21"/>
              </w:rPr>
              <w:t>3</w:t>
            </w:r>
          </w:p>
        </w:tc>
        <w:tc>
          <w:tcPr>
            <w:tcW w:w="1661" w:type="pct"/>
            <w:vAlign w:val="center"/>
          </w:tcPr>
          <w:p w14:paraId="1392D195">
            <w:pPr>
              <w:snapToGrid w:val="0"/>
              <w:spacing w:line="240" w:lineRule="auto"/>
              <w:ind w:firstLine="0" w:firstLineChars="0"/>
              <w:rPr>
                <w:w w:val="80"/>
                <w:sz w:val="21"/>
                <w:szCs w:val="21"/>
              </w:rPr>
            </w:pPr>
            <w:r>
              <w:rPr>
                <w:rFonts w:hint="eastAsia"/>
                <w:w w:val="80"/>
                <w:sz w:val="21"/>
                <w:szCs w:val="21"/>
              </w:rPr>
              <w:t>盘式</w:t>
            </w:r>
            <w:r>
              <w:rPr>
                <w:w w:val="80"/>
                <w:sz w:val="21"/>
                <w:szCs w:val="21"/>
              </w:rPr>
              <w:t>过滤机</w:t>
            </w:r>
          </w:p>
        </w:tc>
        <w:tc>
          <w:tcPr>
            <w:tcW w:w="349" w:type="pct"/>
            <w:vAlign w:val="center"/>
          </w:tcPr>
          <w:p w14:paraId="027F0EAF">
            <w:pPr>
              <w:snapToGrid w:val="0"/>
              <w:spacing w:line="240" w:lineRule="auto"/>
              <w:ind w:firstLine="0" w:firstLineChars="0"/>
              <w:jc w:val="center"/>
              <w:rPr>
                <w:w w:val="80"/>
                <w:sz w:val="21"/>
                <w:szCs w:val="21"/>
              </w:rPr>
            </w:pPr>
            <w:r>
              <w:rPr>
                <w:rFonts w:hint="eastAsia"/>
                <w:w w:val="80"/>
                <w:sz w:val="21"/>
                <w:szCs w:val="21"/>
              </w:rPr>
              <w:t>3</w:t>
            </w:r>
          </w:p>
        </w:tc>
        <w:tc>
          <w:tcPr>
            <w:tcW w:w="781" w:type="pct"/>
            <w:vAlign w:val="center"/>
          </w:tcPr>
          <w:p w14:paraId="5F6302F9">
            <w:pPr>
              <w:snapToGrid w:val="0"/>
              <w:spacing w:line="240" w:lineRule="auto"/>
              <w:ind w:firstLine="0" w:firstLineChars="0"/>
              <w:jc w:val="center"/>
              <w:rPr>
                <w:w w:val="80"/>
                <w:sz w:val="21"/>
                <w:szCs w:val="21"/>
              </w:rPr>
            </w:pPr>
            <w:r>
              <w:rPr>
                <w:rFonts w:hint="eastAsia"/>
                <w:w w:val="80"/>
                <w:sz w:val="21"/>
                <w:szCs w:val="21"/>
              </w:rPr>
              <w:t>12</w:t>
            </w:r>
          </w:p>
        </w:tc>
        <w:tc>
          <w:tcPr>
            <w:tcW w:w="478" w:type="pct"/>
            <w:vAlign w:val="center"/>
          </w:tcPr>
          <w:p w14:paraId="7475FB86">
            <w:pPr>
              <w:snapToGrid w:val="0"/>
              <w:spacing w:line="240" w:lineRule="auto"/>
              <w:ind w:firstLine="0" w:firstLineChars="0"/>
              <w:jc w:val="center"/>
              <w:rPr>
                <w:w w:val="80"/>
                <w:sz w:val="21"/>
                <w:szCs w:val="21"/>
              </w:rPr>
            </w:pPr>
            <w:r>
              <w:rPr>
                <w:rFonts w:hint="eastAsia"/>
                <w:w w:val="80"/>
                <w:sz w:val="21"/>
                <w:szCs w:val="21"/>
              </w:rPr>
              <w:t>1</w:t>
            </w:r>
          </w:p>
        </w:tc>
        <w:tc>
          <w:tcPr>
            <w:tcW w:w="343" w:type="pct"/>
            <w:vAlign w:val="center"/>
          </w:tcPr>
          <w:p w14:paraId="6D3F3831">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2D5B9B06">
            <w:pPr>
              <w:snapToGrid w:val="0"/>
              <w:spacing w:line="240" w:lineRule="auto"/>
              <w:ind w:firstLine="0" w:firstLineChars="0"/>
              <w:jc w:val="center"/>
              <w:rPr>
                <w:w w:val="80"/>
                <w:sz w:val="21"/>
                <w:szCs w:val="21"/>
              </w:rPr>
            </w:pPr>
            <w:r>
              <w:rPr>
                <w:rFonts w:hint="eastAsia"/>
                <w:w w:val="80"/>
                <w:sz w:val="21"/>
                <w:szCs w:val="21"/>
              </w:rPr>
              <w:t>0.7</w:t>
            </w:r>
          </w:p>
        </w:tc>
        <w:tc>
          <w:tcPr>
            <w:tcW w:w="579" w:type="pct"/>
            <w:vAlign w:val="center"/>
          </w:tcPr>
          <w:p w14:paraId="2E570C53">
            <w:pPr>
              <w:snapToGrid w:val="0"/>
              <w:spacing w:line="240" w:lineRule="auto"/>
              <w:ind w:firstLine="0" w:firstLineChars="0"/>
              <w:jc w:val="center"/>
              <w:rPr>
                <w:w w:val="80"/>
                <w:sz w:val="21"/>
                <w:szCs w:val="21"/>
              </w:rPr>
            </w:pPr>
            <w:r>
              <w:rPr>
                <w:rFonts w:hint="eastAsia"/>
                <w:w w:val="80"/>
                <w:sz w:val="21"/>
                <w:szCs w:val="21"/>
              </w:rPr>
              <w:t>39.60</w:t>
            </w:r>
          </w:p>
        </w:tc>
      </w:tr>
      <w:tr w14:paraId="7FA5F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A1A24BC">
            <w:pPr>
              <w:snapToGrid w:val="0"/>
              <w:spacing w:line="240" w:lineRule="auto"/>
              <w:ind w:left="-140" w:leftChars="-50" w:right="-140" w:rightChars="-50" w:firstLine="0" w:firstLineChars="0"/>
              <w:jc w:val="center"/>
              <w:rPr>
                <w:w w:val="80"/>
                <w:sz w:val="21"/>
                <w:szCs w:val="21"/>
              </w:rPr>
            </w:pPr>
            <w:r>
              <w:rPr>
                <w:rFonts w:hint="eastAsia"/>
                <w:w w:val="80"/>
                <w:sz w:val="21"/>
                <w:szCs w:val="21"/>
              </w:rPr>
              <w:t>4</w:t>
            </w:r>
          </w:p>
        </w:tc>
        <w:tc>
          <w:tcPr>
            <w:tcW w:w="1661" w:type="pct"/>
            <w:vAlign w:val="center"/>
          </w:tcPr>
          <w:p w14:paraId="68002765">
            <w:pPr>
              <w:snapToGrid w:val="0"/>
              <w:spacing w:line="240" w:lineRule="auto"/>
              <w:ind w:firstLine="0" w:firstLineChars="0"/>
              <w:jc w:val="left"/>
              <w:rPr>
                <w:w w:val="80"/>
                <w:sz w:val="21"/>
                <w:szCs w:val="21"/>
              </w:rPr>
            </w:pPr>
            <w:r>
              <w:rPr>
                <w:w w:val="80"/>
                <w:sz w:val="21"/>
                <w:szCs w:val="21"/>
              </w:rPr>
              <w:t>中细碎车间布袋除尘系统</w:t>
            </w:r>
          </w:p>
        </w:tc>
        <w:tc>
          <w:tcPr>
            <w:tcW w:w="349" w:type="pct"/>
            <w:vAlign w:val="center"/>
          </w:tcPr>
          <w:p w14:paraId="68F44B7E">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7F012000">
            <w:pPr>
              <w:snapToGrid w:val="0"/>
              <w:spacing w:line="240" w:lineRule="auto"/>
              <w:ind w:firstLine="0" w:firstLineChars="0"/>
              <w:jc w:val="center"/>
              <w:rPr>
                <w:w w:val="80"/>
                <w:sz w:val="21"/>
                <w:szCs w:val="21"/>
              </w:rPr>
            </w:pPr>
            <w:r>
              <w:rPr>
                <w:w w:val="80"/>
                <w:sz w:val="21"/>
                <w:szCs w:val="21"/>
              </w:rPr>
              <w:t>5</w:t>
            </w:r>
          </w:p>
        </w:tc>
        <w:tc>
          <w:tcPr>
            <w:tcW w:w="478" w:type="pct"/>
            <w:vAlign w:val="center"/>
          </w:tcPr>
          <w:p w14:paraId="69358A2C">
            <w:pPr>
              <w:snapToGrid w:val="0"/>
              <w:spacing w:line="240" w:lineRule="auto"/>
              <w:ind w:firstLine="0" w:firstLineChars="0"/>
              <w:jc w:val="center"/>
              <w:rPr>
                <w:w w:val="80"/>
                <w:sz w:val="21"/>
                <w:szCs w:val="21"/>
              </w:rPr>
            </w:pPr>
            <w:r>
              <w:rPr>
                <w:w w:val="80"/>
                <w:sz w:val="21"/>
                <w:szCs w:val="21"/>
              </w:rPr>
              <w:t>0</w:t>
            </w:r>
            <w:r>
              <w:rPr>
                <w:rFonts w:hint="eastAsia"/>
                <w:w w:val="80"/>
                <w:sz w:val="21"/>
                <w:szCs w:val="21"/>
              </w:rPr>
              <w:t>.7</w:t>
            </w:r>
          </w:p>
        </w:tc>
        <w:tc>
          <w:tcPr>
            <w:tcW w:w="343" w:type="pct"/>
            <w:vAlign w:val="center"/>
          </w:tcPr>
          <w:p w14:paraId="4602A2A9">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6E26FDB7">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68E04AE4">
            <w:pPr>
              <w:snapToGrid w:val="0"/>
              <w:spacing w:line="240" w:lineRule="auto"/>
              <w:ind w:firstLine="0" w:firstLineChars="0"/>
              <w:jc w:val="center"/>
              <w:rPr>
                <w:w w:val="80"/>
                <w:sz w:val="21"/>
                <w:szCs w:val="21"/>
              </w:rPr>
            </w:pPr>
            <w:r>
              <w:rPr>
                <w:rFonts w:hint="eastAsia"/>
                <w:w w:val="80"/>
                <w:sz w:val="21"/>
                <w:szCs w:val="21"/>
              </w:rPr>
              <w:t>3.85</w:t>
            </w:r>
          </w:p>
        </w:tc>
      </w:tr>
      <w:tr w14:paraId="77FCA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1E3255E5">
            <w:pPr>
              <w:snapToGrid w:val="0"/>
              <w:spacing w:line="240" w:lineRule="auto"/>
              <w:ind w:firstLine="0" w:firstLineChars="0"/>
              <w:jc w:val="center"/>
              <w:rPr>
                <w:w w:val="80"/>
                <w:sz w:val="21"/>
                <w:szCs w:val="21"/>
              </w:rPr>
            </w:pPr>
            <w:r>
              <w:rPr>
                <w:rFonts w:hint="eastAsia"/>
                <w:w w:val="80"/>
                <w:sz w:val="21"/>
                <w:szCs w:val="21"/>
              </w:rPr>
              <w:t>5</w:t>
            </w:r>
          </w:p>
        </w:tc>
        <w:tc>
          <w:tcPr>
            <w:tcW w:w="1661" w:type="pct"/>
            <w:vAlign w:val="center"/>
          </w:tcPr>
          <w:p w14:paraId="0C15ECDD">
            <w:pPr>
              <w:snapToGrid w:val="0"/>
              <w:spacing w:line="240" w:lineRule="auto"/>
              <w:ind w:firstLine="0" w:firstLineChars="0"/>
              <w:jc w:val="left"/>
              <w:rPr>
                <w:w w:val="80"/>
                <w:sz w:val="21"/>
                <w:szCs w:val="21"/>
              </w:rPr>
            </w:pPr>
            <w:r>
              <w:rPr>
                <w:rFonts w:hint="eastAsia"/>
                <w:w w:val="80"/>
                <w:sz w:val="21"/>
                <w:szCs w:val="21"/>
              </w:rPr>
              <w:t>筛分干选</w:t>
            </w:r>
            <w:r>
              <w:rPr>
                <w:w w:val="80"/>
                <w:sz w:val="21"/>
                <w:szCs w:val="21"/>
              </w:rPr>
              <w:t>车间布袋除尘系统</w:t>
            </w:r>
          </w:p>
        </w:tc>
        <w:tc>
          <w:tcPr>
            <w:tcW w:w="349" w:type="pct"/>
            <w:vAlign w:val="center"/>
          </w:tcPr>
          <w:p w14:paraId="402C9661">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0991D4A5">
            <w:pPr>
              <w:snapToGrid w:val="0"/>
              <w:spacing w:line="240" w:lineRule="auto"/>
              <w:ind w:firstLine="0" w:firstLineChars="0"/>
              <w:jc w:val="center"/>
              <w:rPr>
                <w:w w:val="80"/>
                <w:sz w:val="21"/>
                <w:szCs w:val="21"/>
              </w:rPr>
            </w:pPr>
            <w:r>
              <w:rPr>
                <w:rFonts w:hint="eastAsia"/>
                <w:w w:val="80"/>
                <w:sz w:val="21"/>
                <w:szCs w:val="21"/>
              </w:rPr>
              <w:t>8</w:t>
            </w:r>
          </w:p>
        </w:tc>
        <w:tc>
          <w:tcPr>
            <w:tcW w:w="478" w:type="pct"/>
            <w:vAlign w:val="center"/>
          </w:tcPr>
          <w:p w14:paraId="3A976368">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5CCD5FBA">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4DDE3F55">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623074C5">
            <w:pPr>
              <w:snapToGrid w:val="0"/>
              <w:spacing w:line="240" w:lineRule="auto"/>
              <w:ind w:firstLine="0" w:firstLineChars="0"/>
              <w:jc w:val="center"/>
              <w:rPr>
                <w:w w:val="80"/>
                <w:sz w:val="21"/>
                <w:szCs w:val="21"/>
              </w:rPr>
            </w:pPr>
            <w:r>
              <w:rPr>
                <w:rFonts w:hint="eastAsia"/>
                <w:w w:val="80"/>
                <w:sz w:val="21"/>
                <w:szCs w:val="21"/>
              </w:rPr>
              <w:t>6.16</w:t>
            </w:r>
          </w:p>
        </w:tc>
      </w:tr>
      <w:tr w14:paraId="23219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31E1A98F">
            <w:pPr>
              <w:snapToGrid w:val="0"/>
              <w:spacing w:line="240" w:lineRule="auto"/>
              <w:ind w:firstLine="0" w:firstLineChars="0"/>
              <w:jc w:val="center"/>
              <w:rPr>
                <w:w w:val="80"/>
                <w:sz w:val="21"/>
                <w:szCs w:val="21"/>
              </w:rPr>
            </w:pPr>
            <w:r>
              <w:rPr>
                <w:rFonts w:hint="eastAsia"/>
                <w:w w:val="80"/>
                <w:sz w:val="21"/>
                <w:szCs w:val="21"/>
              </w:rPr>
              <w:t>6</w:t>
            </w:r>
          </w:p>
        </w:tc>
        <w:tc>
          <w:tcPr>
            <w:tcW w:w="1661" w:type="pct"/>
            <w:vAlign w:val="center"/>
          </w:tcPr>
          <w:p w14:paraId="3932AEE3">
            <w:pPr>
              <w:snapToGrid w:val="0"/>
              <w:spacing w:line="240" w:lineRule="auto"/>
              <w:ind w:firstLine="0" w:firstLineChars="0"/>
              <w:jc w:val="left"/>
              <w:rPr>
                <w:w w:val="80"/>
                <w:sz w:val="21"/>
                <w:szCs w:val="21"/>
              </w:rPr>
            </w:pPr>
            <w:r>
              <w:rPr>
                <w:w w:val="80"/>
                <w:sz w:val="21"/>
                <w:szCs w:val="21"/>
              </w:rPr>
              <w:t>中间储矿仓及</w:t>
            </w:r>
            <w:r>
              <w:rPr>
                <w:rFonts w:hint="eastAsia"/>
                <w:w w:val="80"/>
                <w:sz w:val="21"/>
                <w:szCs w:val="21"/>
              </w:rPr>
              <w:t>微粉筛</w:t>
            </w:r>
            <w:r>
              <w:rPr>
                <w:w w:val="80"/>
                <w:sz w:val="21"/>
                <w:szCs w:val="21"/>
              </w:rPr>
              <w:t>车间布袋除尘系统</w:t>
            </w:r>
          </w:p>
        </w:tc>
        <w:tc>
          <w:tcPr>
            <w:tcW w:w="349" w:type="pct"/>
            <w:vAlign w:val="center"/>
          </w:tcPr>
          <w:p w14:paraId="686C0F6E">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1498EE6B">
            <w:pPr>
              <w:snapToGrid w:val="0"/>
              <w:spacing w:line="240" w:lineRule="auto"/>
              <w:ind w:firstLine="0" w:firstLineChars="0"/>
              <w:jc w:val="center"/>
              <w:rPr>
                <w:w w:val="80"/>
                <w:sz w:val="21"/>
                <w:szCs w:val="21"/>
              </w:rPr>
            </w:pPr>
            <w:r>
              <w:rPr>
                <w:rFonts w:hint="eastAsia"/>
                <w:w w:val="80"/>
                <w:sz w:val="21"/>
                <w:szCs w:val="21"/>
              </w:rPr>
              <w:t>6</w:t>
            </w:r>
          </w:p>
        </w:tc>
        <w:tc>
          <w:tcPr>
            <w:tcW w:w="478" w:type="pct"/>
            <w:vAlign w:val="center"/>
          </w:tcPr>
          <w:p w14:paraId="49FF3139">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5E1033F1">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2EA59565">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21610C4D">
            <w:pPr>
              <w:snapToGrid w:val="0"/>
              <w:spacing w:line="240" w:lineRule="auto"/>
              <w:ind w:firstLine="0" w:firstLineChars="0"/>
              <w:jc w:val="center"/>
              <w:rPr>
                <w:w w:val="80"/>
                <w:sz w:val="21"/>
                <w:szCs w:val="21"/>
              </w:rPr>
            </w:pPr>
            <w:r>
              <w:rPr>
                <w:rFonts w:hint="eastAsia"/>
                <w:w w:val="80"/>
                <w:sz w:val="21"/>
                <w:szCs w:val="21"/>
              </w:rPr>
              <w:t>4.62</w:t>
            </w:r>
          </w:p>
        </w:tc>
      </w:tr>
      <w:tr w14:paraId="21AB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5B1701CD">
            <w:pPr>
              <w:snapToGrid w:val="0"/>
              <w:spacing w:line="240" w:lineRule="auto"/>
              <w:ind w:firstLine="0" w:firstLineChars="0"/>
              <w:jc w:val="center"/>
              <w:rPr>
                <w:w w:val="80"/>
                <w:sz w:val="21"/>
                <w:szCs w:val="21"/>
              </w:rPr>
            </w:pPr>
            <w:r>
              <w:rPr>
                <w:rFonts w:hint="eastAsia"/>
                <w:w w:val="80"/>
                <w:sz w:val="21"/>
                <w:szCs w:val="21"/>
              </w:rPr>
              <w:t>7</w:t>
            </w:r>
          </w:p>
        </w:tc>
        <w:tc>
          <w:tcPr>
            <w:tcW w:w="1661" w:type="pct"/>
            <w:vAlign w:val="center"/>
          </w:tcPr>
          <w:p w14:paraId="1CAD009F">
            <w:pPr>
              <w:snapToGrid w:val="0"/>
              <w:spacing w:line="240" w:lineRule="auto"/>
              <w:ind w:firstLine="0" w:firstLineChars="0"/>
              <w:jc w:val="left"/>
              <w:rPr>
                <w:w w:val="80"/>
                <w:sz w:val="21"/>
                <w:szCs w:val="21"/>
              </w:rPr>
            </w:pPr>
            <w:r>
              <w:rPr>
                <w:w w:val="80"/>
                <w:sz w:val="21"/>
                <w:szCs w:val="21"/>
              </w:rPr>
              <w:t>高压辊磨车间布袋除尘系统</w:t>
            </w:r>
          </w:p>
        </w:tc>
        <w:tc>
          <w:tcPr>
            <w:tcW w:w="349" w:type="pct"/>
            <w:vAlign w:val="center"/>
          </w:tcPr>
          <w:p w14:paraId="33FDA3DC">
            <w:pPr>
              <w:snapToGrid w:val="0"/>
              <w:spacing w:line="240" w:lineRule="auto"/>
              <w:ind w:firstLine="0" w:firstLineChars="0"/>
              <w:jc w:val="center"/>
              <w:rPr>
                <w:w w:val="80"/>
                <w:sz w:val="21"/>
                <w:szCs w:val="21"/>
              </w:rPr>
            </w:pPr>
            <w:r>
              <w:rPr>
                <w:w w:val="80"/>
                <w:sz w:val="21"/>
                <w:szCs w:val="21"/>
              </w:rPr>
              <w:t>1</w:t>
            </w:r>
          </w:p>
        </w:tc>
        <w:tc>
          <w:tcPr>
            <w:tcW w:w="781" w:type="pct"/>
            <w:vAlign w:val="center"/>
          </w:tcPr>
          <w:p w14:paraId="24840F6E">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7950C700">
            <w:pPr>
              <w:snapToGrid w:val="0"/>
              <w:spacing w:line="240" w:lineRule="auto"/>
              <w:ind w:firstLine="0" w:firstLineChars="0"/>
              <w:jc w:val="center"/>
              <w:rPr>
                <w:w w:val="80"/>
                <w:sz w:val="21"/>
                <w:szCs w:val="21"/>
              </w:rPr>
            </w:pPr>
            <w:r>
              <w:rPr>
                <w:w w:val="80"/>
                <w:sz w:val="21"/>
                <w:szCs w:val="21"/>
              </w:rPr>
              <w:t>0.7</w:t>
            </w:r>
          </w:p>
        </w:tc>
        <w:tc>
          <w:tcPr>
            <w:tcW w:w="343" w:type="pct"/>
            <w:vAlign w:val="center"/>
          </w:tcPr>
          <w:p w14:paraId="2AEF3540">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35DAA19B">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1F768A7B">
            <w:pPr>
              <w:snapToGrid w:val="0"/>
              <w:spacing w:line="240" w:lineRule="auto"/>
              <w:ind w:firstLine="0" w:firstLineChars="0"/>
              <w:jc w:val="center"/>
              <w:rPr>
                <w:w w:val="80"/>
                <w:sz w:val="21"/>
                <w:szCs w:val="21"/>
              </w:rPr>
            </w:pPr>
            <w:r>
              <w:rPr>
                <w:rFonts w:hint="eastAsia"/>
                <w:w w:val="80"/>
                <w:sz w:val="21"/>
                <w:szCs w:val="21"/>
              </w:rPr>
              <w:t>3.08</w:t>
            </w:r>
          </w:p>
        </w:tc>
      </w:tr>
      <w:tr w14:paraId="0E62C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45F4C171">
            <w:pPr>
              <w:snapToGrid w:val="0"/>
              <w:spacing w:line="240" w:lineRule="auto"/>
              <w:ind w:firstLine="0" w:firstLineChars="0"/>
              <w:jc w:val="center"/>
              <w:rPr>
                <w:w w:val="80"/>
                <w:sz w:val="21"/>
                <w:szCs w:val="21"/>
              </w:rPr>
            </w:pPr>
            <w:r>
              <w:rPr>
                <w:rFonts w:hint="eastAsia"/>
                <w:w w:val="80"/>
                <w:sz w:val="21"/>
                <w:szCs w:val="21"/>
              </w:rPr>
              <w:t>8</w:t>
            </w:r>
          </w:p>
        </w:tc>
        <w:tc>
          <w:tcPr>
            <w:tcW w:w="1661" w:type="pct"/>
            <w:vAlign w:val="center"/>
          </w:tcPr>
          <w:p w14:paraId="59ADDF4B">
            <w:pPr>
              <w:snapToGrid w:val="0"/>
              <w:spacing w:line="240" w:lineRule="auto"/>
              <w:ind w:firstLine="0" w:firstLineChars="0"/>
              <w:jc w:val="left"/>
              <w:rPr>
                <w:w w:val="80"/>
                <w:sz w:val="21"/>
                <w:szCs w:val="21"/>
              </w:rPr>
            </w:pPr>
            <w:r>
              <w:rPr>
                <w:w w:val="80"/>
                <w:sz w:val="21"/>
                <w:szCs w:val="21"/>
              </w:rPr>
              <w:t>磨矿仓及主厂房布袋除尘系统</w:t>
            </w:r>
          </w:p>
        </w:tc>
        <w:tc>
          <w:tcPr>
            <w:tcW w:w="349" w:type="pct"/>
            <w:vAlign w:val="center"/>
          </w:tcPr>
          <w:p w14:paraId="7E5C38E1">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32FEFA83">
            <w:pPr>
              <w:snapToGrid w:val="0"/>
              <w:spacing w:line="240" w:lineRule="auto"/>
              <w:ind w:firstLine="0" w:firstLineChars="0"/>
              <w:jc w:val="center"/>
              <w:rPr>
                <w:w w:val="80"/>
                <w:sz w:val="21"/>
                <w:szCs w:val="21"/>
              </w:rPr>
            </w:pPr>
            <w:r>
              <w:rPr>
                <w:rFonts w:hint="eastAsia"/>
                <w:w w:val="80"/>
                <w:sz w:val="21"/>
                <w:szCs w:val="21"/>
              </w:rPr>
              <w:t>5</w:t>
            </w:r>
          </w:p>
        </w:tc>
        <w:tc>
          <w:tcPr>
            <w:tcW w:w="478" w:type="pct"/>
            <w:vAlign w:val="center"/>
          </w:tcPr>
          <w:p w14:paraId="7ADD4748">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1604913E">
            <w:pPr>
              <w:snapToGrid w:val="0"/>
              <w:spacing w:line="240" w:lineRule="auto"/>
              <w:ind w:firstLine="0" w:firstLineChars="0"/>
              <w:jc w:val="center"/>
              <w:rPr>
                <w:w w:val="80"/>
                <w:sz w:val="21"/>
                <w:szCs w:val="21"/>
              </w:rPr>
            </w:pPr>
            <w:r>
              <w:rPr>
                <w:w w:val="80"/>
                <w:sz w:val="21"/>
                <w:szCs w:val="21"/>
              </w:rPr>
              <w:t>1.1</w:t>
            </w:r>
          </w:p>
        </w:tc>
        <w:tc>
          <w:tcPr>
            <w:tcW w:w="523" w:type="pct"/>
            <w:vAlign w:val="center"/>
          </w:tcPr>
          <w:p w14:paraId="4844A335">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0C35FE20">
            <w:pPr>
              <w:snapToGrid w:val="0"/>
              <w:spacing w:line="240" w:lineRule="auto"/>
              <w:ind w:firstLine="0" w:firstLineChars="0"/>
              <w:jc w:val="center"/>
              <w:rPr>
                <w:w w:val="80"/>
                <w:sz w:val="21"/>
                <w:szCs w:val="21"/>
              </w:rPr>
            </w:pPr>
            <w:r>
              <w:rPr>
                <w:rFonts w:hint="eastAsia"/>
                <w:w w:val="80"/>
                <w:sz w:val="21"/>
                <w:szCs w:val="21"/>
              </w:rPr>
              <w:t>3.85</w:t>
            </w:r>
          </w:p>
        </w:tc>
      </w:tr>
      <w:tr w14:paraId="2364B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7F1BFD82">
            <w:pPr>
              <w:snapToGrid w:val="0"/>
              <w:spacing w:line="240" w:lineRule="auto"/>
              <w:ind w:firstLine="0" w:firstLineChars="0"/>
              <w:jc w:val="center"/>
              <w:rPr>
                <w:w w:val="80"/>
                <w:sz w:val="21"/>
                <w:szCs w:val="21"/>
              </w:rPr>
            </w:pPr>
            <w:r>
              <w:rPr>
                <w:rFonts w:hint="eastAsia"/>
                <w:w w:val="80"/>
                <w:sz w:val="21"/>
                <w:szCs w:val="21"/>
              </w:rPr>
              <w:t>9</w:t>
            </w:r>
          </w:p>
        </w:tc>
        <w:tc>
          <w:tcPr>
            <w:tcW w:w="1661" w:type="pct"/>
            <w:vAlign w:val="center"/>
          </w:tcPr>
          <w:p w14:paraId="6FD96B52">
            <w:pPr>
              <w:snapToGrid w:val="0"/>
              <w:spacing w:line="240" w:lineRule="auto"/>
              <w:ind w:firstLine="0" w:firstLineChars="0"/>
              <w:jc w:val="left"/>
              <w:rPr>
                <w:w w:val="80"/>
                <w:sz w:val="21"/>
                <w:szCs w:val="21"/>
              </w:rPr>
            </w:pPr>
            <w:r>
              <w:rPr>
                <w:rFonts w:hint="eastAsia"/>
                <w:w w:val="80"/>
                <w:sz w:val="21"/>
                <w:szCs w:val="21"/>
              </w:rPr>
              <w:t>干选废石仓</w:t>
            </w:r>
            <w:r>
              <w:rPr>
                <w:w w:val="80"/>
                <w:sz w:val="21"/>
                <w:szCs w:val="21"/>
              </w:rPr>
              <w:t>布袋除尘系统</w:t>
            </w:r>
          </w:p>
        </w:tc>
        <w:tc>
          <w:tcPr>
            <w:tcW w:w="349" w:type="pct"/>
            <w:vAlign w:val="center"/>
          </w:tcPr>
          <w:p w14:paraId="02F715D0">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5C0C8B20">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68423E2A">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5057C58C">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5242621A">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57BA5BE8">
            <w:pPr>
              <w:snapToGrid w:val="0"/>
              <w:spacing w:line="240" w:lineRule="auto"/>
              <w:ind w:firstLine="0" w:firstLineChars="0"/>
              <w:jc w:val="center"/>
              <w:rPr>
                <w:w w:val="80"/>
                <w:sz w:val="21"/>
                <w:szCs w:val="21"/>
              </w:rPr>
            </w:pPr>
            <w:r>
              <w:rPr>
                <w:rFonts w:hint="eastAsia"/>
                <w:w w:val="80"/>
                <w:sz w:val="21"/>
                <w:szCs w:val="21"/>
              </w:rPr>
              <w:t>3.08</w:t>
            </w:r>
          </w:p>
        </w:tc>
      </w:tr>
      <w:tr w14:paraId="492F5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6927065C">
            <w:pPr>
              <w:snapToGrid w:val="0"/>
              <w:spacing w:line="240" w:lineRule="auto"/>
              <w:ind w:firstLine="0" w:firstLineChars="0"/>
              <w:jc w:val="center"/>
              <w:rPr>
                <w:w w:val="80"/>
                <w:sz w:val="21"/>
                <w:szCs w:val="21"/>
              </w:rPr>
            </w:pPr>
            <w:r>
              <w:rPr>
                <w:rFonts w:hint="eastAsia"/>
                <w:w w:val="80"/>
                <w:sz w:val="21"/>
                <w:szCs w:val="21"/>
              </w:rPr>
              <w:t>10</w:t>
            </w:r>
          </w:p>
        </w:tc>
        <w:tc>
          <w:tcPr>
            <w:tcW w:w="1661" w:type="pct"/>
            <w:vAlign w:val="center"/>
          </w:tcPr>
          <w:p w14:paraId="192BF920">
            <w:pPr>
              <w:snapToGrid w:val="0"/>
              <w:spacing w:line="240" w:lineRule="auto"/>
              <w:ind w:firstLine="0" w:firstLineChars="0"/>
              <w:jc w:val="left"/>
              <w:rPr>
                <w:w w:val="80"/>
                <w:sz w:val="21"/>
                <w:szCs w:val="21"/>
              </w:rPr>
            </w:pPr>
            <w:r>
              <w:rPr>
                <w:w w:val="80"/>
                <w:sz w:val="21"/>
                <w:szCs w:val="21"/>
              </w:rPr>
              <w:t>磨矿仓车间装车区域干雾抑尘</w:t>
            </w:r>
          </w:p>
        </w:tc>
        <w:tc>
          <w:tcPr>
            <w:tcW w:w="349" w:type="pct"/>
            <w:vAlign w:val="center"/>
          </w:tcPr>
          <w:p w14:paraId="47010436">
            <w:pPr>
              <w:snapToGrid w:val="0"/>
              <w:spacing w:line="240" w:lineRule="auto"/>
              <w:ind w:firstLine="0" w:firstLineChars="0"/>
              <w:jc w:val="center"/>
              <w:rPr>
                <w:w w:val="80"/>
                <w:sz w:val="21"/>
                <w:szCs w:val="21"/>
              </w:rPr>
            </w:pPr>
            <w:r>
              <w:rPr>
                <w:rFonts w:hint="eastAsia"/>
                <w:w w:val="80"/>
                <w:sz w:val="21"/>
                <w:szCs w:val="21"/>
              </w:rPr>
              <w:t>1</w:t>
            </w:r>
          </w:p>
        </w:tc>
        <w:tc>
          <w:tcPr>
            <w:tcW w:w="781" w:type="pct"/>
            <w:vAlign w:val="center"/>
          </w:tcPr>
          <w:p w14:paraId="0D0B5F51">
            <w:pPr>
              <w:snapToGrid w:val="0"/>
              <w:spacing w:line="240" w:lineRule="auto"/>
              <w:ind w:firstLine="0" w:firstLineChars="0"/>
              <w:jc w:val="center"/>
              <w:rPr>
                <w:w w:val="80"/>
                <w:sz w:val="21"/>
                <w:szCs w:val="21"/>
              </w:rPr>
            </w:pPr>
            <w:r>
              <w:rPr>
                <w:rFonts w:hint="eastAsia"/>
                <w:w w:val="80"/>
                <w:sz w:val="21"/>
                <w:szCs w:val="21"/>
              </w:rPr>
              <w:t>4</w:t>
            </w:r>
          </w:p>
        </w:tc>
        <w:tc>
          <w:tcPr>
            <w:tcW w:w="478" w:type="pct"/>
            <w:vAlign w:val="center"/>
          </w:tcPr>
          <w:p w14:paraId="085455C9">
            <w:pPr>
              <w:snapToGrid w:val="0"/>
              <w:spacing w:line="240" w:lineRule="auto"/>
              <w:ind w:firstLine="0" w:firstLineChars="0"/>
              <w:jc w:val="center"/>
              <w:rPr>
                <w:w w:val="80"/>
                <w:sz w:val="21"/>
                <w:szCs w:val="21"/>
              </w:rPr>
            </w:pPr>
            <w:r>
              <w:rPr>
                <w:rFonts w:hint="eastAsia"/>
                <w:w w:val="80"/>
                <w:sz w:val="21"/>
                <w:szCs w:val="21"/>
              </w:rPr>
              <w:t>0.7</w:t>
            </w:r>
          </w:p>
        </w:tc>
        <w:tc>
          <w:tcPr>
            <w:tcW w:w="343" w:type="pct"/>
            <w:vAlign w:val="center"/>
          </w:tcPr>
          <w:p w14:paraId="266BABB4">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0BA6EE43">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1E0F39F6">
            <w:pPr>
              <w:snapToGrid w:val="0"/>
              <w:spacing w:line="240" w:lineRule="auto"/>
              <w:ind w:firstLine="0" w:firstLineChars="0"/>
              <w:jc w:val="center"/>
              <w:rPr>
                <w:w w:val="80"/>
                <w:sz w:val="21"/>
                <w:szCs w:val="21"/>
              </w:rPr>
            </w:pPr>
            <w:r>
              <w:rPr>
                <w:rFonts w:hint="eastAsia"/>
                <w:w w:val="80"/>
                <w:sz w:val="21"/>
                <w:szCs w:val="21"/>
              </w:rPr>
              <w:t>3.08</w:t>
            </w:r>
          </w:p>
        </w:tc>
      </w:tr>
      <w:tr w14:paraId="589C5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39827402">
            <w:pPr>
              <w:snapToGrid w:val="0"/>
              <w:spacing w:line="240" w:lineRule="auto"/>
              <w:ind w:firstLine="0" w:firstLineChars="0"/>
              <w:jc w:val="center"/>
              <w:rPr>
                <w:w w:val="80"/>
                <w:sz w:val="21"/>
                <w:szCs w:val="21"/>
              </w:rPr>
            </w:pPr>
            <w:r>
              <w:rPr>
                <w:rFonts w:hint="eastAsia"/>
                <w:w w:val="80"/>
                <w:sz w:val="21"/>
                <w:szCs w:val="21"/>
              </w:rPr>
              <w:t>11</w:t>
            </w:r>
          </w:p>
        </w:tc>
        <w:tc>
          <w:tcPr>
            <w:tcW w:w="1661" w:type="pct"/>
            <w:vAlign w:val="center"/>
          </w:tcPr>
          <w:p w14:paraId="5CA9374F">
            <w:pPr>
              <w:snapToGrid w:val="0"/>
              <w:spacing w:line="240" w:lineRule="auto"/>
              <w:ind w:firstLine="0" w:firstLineChars="0"/>
              <w:jc w:val="left"/>
              <w:rPr>
                <w:w w:val="80"/>
                <w:sz w:val="21"/>
                <w:szCs w:val="21"/>
              </w:rPr>
            </w:pPr>
            <w:r>
              <w:rPr>
                <w:rFonts w:hint="eastAsia"/>
                <w:w w:val="80"/>
                <w:sz w:val="21"/>
                <w:szCs w:val="21"/>
              </w:rPr>
              <w:t>充填站仓顶除尘器</w:t>
            </w:r>
          </w:p>
        </w:tc>
        <w:tc>
          <w:tcPr>
            <w:tcW w:w="349" w:type="pct"/>
            <w:vAlign w:val="center"/>
          </w:tcPr>
          <w:p w14:paraId="62BBAF95">
            <w:pPr>
              <w:snapToGrid w:val="0"/>
              <w:spacing w:line="240" w:lineRule="auto"/>
              <w:ind w:firstLine="0" w:firstLineChars="0"/>
              <w:jc w:val="center"/>
              <w:rPr>
                <w:w w:val="80"/>
                <w:sz w:val="21"/>
                <w:szCs w:val="21"/>
              </w:rPr>
            </w:pPr>
            <w:r>
              <w:rPr>
                <w:rFonts w:hint="eastAsia"/>
                <w:w w:val="80"/>
                <w:sz w:val="21"/>
                <w:szCs w:val="21"/>
              </w:rPr>
              <w:t>2</w:t>
            </w:r>
          </w:p>
        </w:tc>
        <w:tc>
          <w:tcPr>
            <w:tcW w:w="781" w:type="pct"/>
            <w:vAlign w:val="center"/>
          </w:tcPr>
          <w:p w14:paraId="554BD7D2">
            <w:pPr>
              <w:snapToGrid w:val="0"/>
              <w:spacing w:line="240" w:lineRule="auto"/>
              <w:ind w:firstLine="0" w:firstLineChars="0"/>
              <w:jc w:val="center"/>
              <w:rPr>
                <w:w w:val="80"/>
                <w:sz w:val="21"/>
                <w:szCs w:val="21"/>
              </w:rPr>
            </w:pPr>
            <w:r>
              <w:rPr>
                <w:rFonts w:hint="eastAsia"/>
                <w:w w:val="80"/>
                <w:sz w:val="21"/>
                <w:szCs w:val="21"/>
              </w:rPr>
              <w:t>1.2</w:t>
            </w:r>
          </w:p>
        </w:tc>
        <w:tc>
          <w:tcPr>
            <w:tcW w:w="478" w:type="pct"/>
            <w:vAlign w:val="center"/>
          </w:tcPr>
          <w:p w14:paraId="59A37452">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6EB2503E">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9BD4E4A">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7E7138C8">
            <w:pPr>
              <w:snapToGrid w:val="0"/>
              <w:spacing w:line="240" w:lineRule="auto"/>
              <w:ind w:firstLine="0" w:firstLineChars="0"/>
              <w:jc w:val="center"/>
              <w:rPr>
                <w:w w:val="80"/>
                <w:sz w:val="21"/>
                <w:szCs w:val="21"/>
              </w:rPr>
            </w:pPr>
            <w:r>
              <w:rPr>
                <w:rFonts w:hint="eastAsia"/>
                <w:w w:val="80"/>
                <w:sz w:val="21"/>
                <w:szCs w:val="21"/>
              </w:rPr>
              <w:t>1.56</w:t>
            </w:r>
          </w:p>
        </w:tc>
      </w:tr>
      <w:tr w14:paraId="76EDB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7FD9B976">
            <w:pPr>
              <w:snapToGrid w:val="0"/>
              <w:spacing w:line="240" w:lineRule="auto"/>
              <w:ind w:firstLine="0" w:firstLineChars="0"/>
              <w:jc w:val="center"/>
              <w:rPr>
                <w:w w:val="80"/>
                <w:sz w:val="21"/>
                <w:szCs w:val="21"/>
              </w:rPr>
            </w:pPr>
            <w:r>
              <w:rPr>
                <w:rFonts w:hint="eastAsia"/>
                <w:w w:val="80"/>
                <w:sz w:val="21"/>
                <w:szCs w:val="21"/>
              </w:rPr>
              <w:t>12</w:t>
            </w:r>
          </w:p>
        </w:tc>
        <w:tc>
          <w:tcPr>
            <w:tcW w:w="1661" w:type="pct"/>
            <w:vAlign w:val="center"/>
          </w:tcPr>
          <w:p w14:paraId="5EACDF7F">
            <w:pPr>
              <w:snapToGrid w:val="0"/>
              <w:spacing w:line="240" w:lineRule="auto"/>
              <w:ind w:firstLine="0" w:firstLineChars="0"/>
              <w:jc w:val="left"/>
              <w:rPr>
                <w:w w:val="80"/>
                <w:sz w:val="21"/>
                <w:szCs w:val="21"/>
              </w:rPr>
            </w:pPr>
            <w:r>
              <w:rPr>
                <w:rFonts w:hint="eastAsia"/>
                <w:w w:val="80"/>
                <w:sz w:val="21"/>
                <w:szCs w:val="21"/>
              </w:rPr>
              <w:t>充填站特种除尘器</w:t>
            </w:r>
          </w:p>
        </w:tc>
        <w:tc>
          <w:tcPr>
            <w:tcW w:w="349" w:type="pct"/>
            <w:vAlign w:val="center"/>
          </w:tcPr>
          <w:p w14:paraId="29070040">
            <w:pPr>
              <w:snapToGrid w:val="0"/>
              <w:spacing w:line="240" w:lineRule="auto"/>
              <w:ind w:firstLine="0" w:firstLineChars="0"/>
              <w:jc w:val="center"/>
              <w:rPr>
                <w:w w:val="80"/>
                <w:sz w:val="21"/>
                <w:szCs w:val="21"/>
              </w:rPr>
            </w:pPr>
            <w:r>
              <w:rPr>
                <w:rFonts w:hint="eastAsia"/>
                <w:w w:val="80"/>
                <w:sz w:val="21"/>
                <w:szCs w:val="21"/>
              </w:rPr>
              <w:t>3</w:t>
            </w:r>
          </w:p>
        </w:tc>
        <w:tc>
          <w:tcPr>
            <w:tcW w:w="781" w:type="pct"/>
            <w:vAlign w:val="center"/>
          </w:tcPr>
          <w:p w14:paraId="0CA16D6C">
            <w:pPr>
              <w:snapToGrid w:val="0"/>
              <w:spacing w:line="240" w:lineRule="auto"/>
              <w:ind w:firstLine="0" w:firstLineChars="0"/>
              <w:jc w:val="center"/>
              <w:rPr>
                <w:w w:val="80"/>
                <w:sz w:val="21"/>
                <w:szCs w:val="21"/>
              </w:rPr>
            </w:pPr>
            <w:r>
              <w:rPr>
                <w:rFonts w:hint="eastAsia"/>
                <w:w w:val="80"/>
                <w:sz w:val="21"/>
                <w:szCs w:val="21"/>
              </w:rPr>
              <w:t>3</w:t>
            </w:r>
          </w:p>
        </w:tc>
        <w:tc>
          <w:tcPr>
            <w:tcW w:w="478" w:type="pct"/>
            <w:vAlign w:val="center"/>
          </w:tcPr>
          <w:p w14:paraId="27EF775E">
            <w:pPr>
              <w:snapToGrid w:val="0"/>
              <w:spacing w:line="240" w:lineRule="auto"/>
              <w:ind w:firstLine="0" w:firstLineChars="0"/>
              <w:jc w:val="center"/>
              <w:rPr>
                <w:w w:val="80"/>
                <w:sz w:val="21"/>
                <w:szCs w:val="21"/>
              </w:rPr>
            </w:pPr>
            <w:r>
              <w:rPr>
                <w:rFonts w:hint="eastAsia"/>
                <w:w w:val="80"/>
                <w:sz w:val="21"/>
                <w:szCs w:val="21"/>
              </w:rPr>
              <w:t>0.5</w:t>
            </w:r>
          </w:p>
        </w:tc>
        <w:tc>
          <w:tcPr>
            <w:tcW w:w="343" w:type="pct"/>
            <w:vAlign w:val="center"/>
          </w:tcPr>
          <w:p w14:paraId="28C30E4B">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5E080F1D">
            <w:pPr>
              <w:snapToGrid w:val="0"/>
              <w:spacing w:line="240" w:lineRule="auto"/>
              <w:ind w:firstLine="0" w:firstLineChars="0"/>
              <w:jc w:val="center"/>
              <w:rPr>
                <w:w w:val="80"/>
                <w:sz w:val="21"/>
                <w:szCs w:val="21"/>
              </w:rPr>
            </w:pPr>
            <w:r>
              <w:rPr>
                <w:rFonts w:hint="eastAsia"/>
                <w:w w:val="80"/>
                <w:sz w:val="21"/>
                <w:szCs w:val="21"/>
              </w:rPr>
              <w:t>0.4~0.6</w:t>
            </w:r>
          </w:p>
        </w:tc>
        <w:tc>
          <w:tcPr>
            <w:tcW w:w="579" w:type="pct"/>
            <w:vAlign w:val="center"/>
          </w:tcPr>
          <w:p w14:paraId="7638AA64">
            <w:pPr>
              <w:snapToGrid w:val="0"/>
              <w:spacing w:line="240" w:lineRule="auto"/>
              <w:ind w:firstLine="0" w:firstLineChars="0"/>
              <w:jc w:val="center"/>
              <w:rPr>
                <w:w w:val="80"/>
                <w:sz w:val="21"/>
                <w:szCs w:val="21"/>
              </w:rPr>
            </w:pPr>
            <w:r>
              <w:rPr>
                <w:rFonts w:hint="eastAsia"/>
                <w:w w:val="80"/>
                <w:sz w:val="21"/>
                <w:szCs w:val="21"/>
              </w:rPr>
              <w:t>5.83</w:t>
            </w:r>
          </w:p>
        </w:tc>
      </w:tr>
      <w:tr w14:paraId="1C56F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87" w:type="pct"/>
            <w:vAlign w:val="center"/>
          </w:tcPr>
          <w:p w14:paraId="1973FC00">
            <w:pPr>
              <w:snapToGrid w:val="0"/>
              <w:spacing w:line="240" w:lineRule="auto"/>
              <w:ind w:firstLine="0" w:firstLineChars="0"/>
              <w:jc w:val="center"/>
              <w:rPr>
                <w:w w:val="80"/>
                <w:sz w:val="21"/>
                <w:szCs w:val="21"/>
              </w:rPr>
            </w:pPr>
            <w:r>
              <w:rPr>
                <w:rFonts w:hint="eastAsia"/>
                <w:w w:val="80"/>
                <w:sz w:val="21"/>
                <w:szCs w:val="21"/>
              </w:rPr>
              <w:t>13</w:t>
            </w:r>
          </w:p>
        </w:tc>
        <w:tc>
          <w:tcPr>
            <w:tcW w:w="1661" w:type="pct"/>
            <w:vAlign w:val="center"/>
          </w:tcPr>
          <w:p w14:paraId="11975402">
            <w:pPr>
              <w:snapToGrid w:val="0"/>
              <w:spacing w:line="240" w:lineRule="auto"/>
              <w:ind w:firstLine="0" w:firstLineChars="0"/>
              <w:jc w:val="left"/>
              <w:rPr>
                <w:w w:val="80"/>
                <w:sz w:val="21"/>
                <w:szCs w:val="21"/>
              </w:rPr>
            </w:pPr>
            <w:r>
              <w:rPr>
                <w:rFonts w:hint="eastAsia"/>
                <w:w w:val="80"/>
                <w:sz w:val="21"/>
                <w:szCs w:val="21"/>
              </w:rPr>
              <w:t>充填站声波清灰器</w:t>
            </w:r>
          </w:p>
        </w:tc>
        <w:tc>
          <w:tcPr>
            <w:tcW w:w="349" w:type="pct"/>
            <w:vAlign w:val="center"/>
          </w:tcPr>
          <w:p w14:paraId="757E998E">
            <w:pPr>
              <w:snapToGrid w:val="0"/>
              <w:spacing w:line="240" w:lineRule="auto"/>
              <w:ind w:firstLine="0" w:firstLineChars="0"/>
              <w:jc w:val="center"/>
              <w:rPr>
                <w:w w:val="80"/>
                <w:sz w:val="21"/>
                <w:szCs w:val="21"/>
              </w:rPr>
            </w:pPr>
            <w:r>
              <w:rPr>
                <w:rFonts w:hint="eastAsia"/>
                <w:w w:val="80"/>
                <w:sz w:val="21"/>
                <w:szCs w:val="21"/>
              </w:rPr>
              <w:t>4</w:t>
            </w:r>
          </w:p>
        </w:tc>
        <w:tc>
          <w:tcPr>
            <w:tcW w:w="781" w:type="pct"/>
            <w:vAlign w:val="center"/>
          </w:tcPr>
          <w:p w14:paraId="14D5CBB5">
            <w:pPr>
              <w:snapToGrid w:val="0"/>
              <w:spacing w:line="240" w:lineRule="auto"/>
              <w:ind w:firstLine="0" w:firstLineChars="0"/>
              <w:jc w:val="center"/>
              <w:rPr>
                <w:w w:val="80"/>
                <w:sz w:val="21"/>
                <w:szCs w:val="21"/>
              </w:rPr>
            </w:pPr>
            <w:r>
              <w:rPr>
                <w:rFonts w:hint="eastAsia"/>
                <w:w w:val="80"/>
                <w:sz w:val="21"/>
                <w:szCs w:val="21"/>
              </w:rPr>
              <w:t>1.5</w:t>
            </w:r>
          </w:p>
        </w:tc>
        <w:tc>
          <w:tcPr>
            <w:tcW w:w="478" w:type="pct"/>
            <w:vAlign w:val="center"/>
          </w:tcPr>
          <w:p w14:paraId="68F4A09D">
            <w:pPr>
              <w:snapToGrid w:val="0"/>
              <w:spacing w:line="240" w:lineRule="auto"/>
              <w:ind w:firstLine="0" w:firstLineChars="0"/>
              <w:jc w:val="center"/>
              <w:rPr>
                <w:w w:val="80"/>
                <w:sz w:val="21"/>
                <w:szCs w:val="21"/>
              </w:rPr>
            </w:pPr>
            <w:r>
              <w:rPr>
                <w:rFonts w:hint="eastAsia"/>
                <w:w w:val="80"/>
                <w:sz w:val="21"/>
                <w:szCs w:val="21"/>
              </w:rPr>
              <w:t>0.4</w:t>
            </w:r>
          </w:p>
        </w:tc>
        <w:tc>
          <w:tcPr>
            <w:tcW w:w="343" w:type="pct"/>
            <w:vAlign w:val="center"/>
          </w:tcPr>
          <w:p w14:paraId="0BC29A47">
            <w:pPr>
              <w:snapToGrid w:val="0"/>
              <w:spacing w:line="240" w:lineRule="auto"/>
              <w:ind w:firstLine="0" w:firstLineChars="0"/>
              <w:jc w:val="center"/>
              <w:rPr>
                <w:w w:val="80"/>
                <w:sz w:val="21"/>
                <w:szCs w:val="21"/>
              </w:rPr>
            </w:pPr>
            <w:r>
              <w:rPr>
                <w:rFonts w:hint="eastAsia"/>
                <w:w w:val="80"/>
                <w:sz w:val="21"/>
                <w:szCs w:val="21"/>
              </w:rPr>
              <w:t>1.1</w:t>
            </w:r>
          </w:p>
        </w:tc>
        <w:tc>
          <w:tcPr>
            <w:tcW w:w="523" w:type="pct"/>
            <w:vAlign w:val="center"/>
          </w:tcPr>
          <w:p w14:paraId="43A55735">
            <w:pPr>
              <w:snapToGrid w:val="0"/>
              <w:spacing w:line="240" w:lineRule="auto"/>
              <w:ind w:firstLine="0" w:firstLineChars="0"/>
              <w:jc w:val="center"/>
              <w:rPr>
                <w:w w:val="80"/>
                <w:sz w:val="21"/>
                <w:szCs w:val="21"/>
              </w:rPr>
            </w:pPr>
            <w:r>
              <w:rPr>
                <w:rFonts w:hint="eastAsia"/>
                <w:w w:val="80"/>
                <w:sz w:val="21"/>
                <w:szCs w:val="21"/>
              </w:rPr>
              <w:t>0.4~0.7</w:t>
            </w:r>
          </w:p>
        </w:tc>
        <w:tc>
          <w:tcPr>
            <w:tcW w:w="579" w:type="pct"/>
            <w:vAlign w:val="center"/>
          </w:tcPr>
          <w:p w14:paraId="390F55AF">
            <w:pPr>
              <w:snapToGrid w:val="0"/>
              <w:spacing w:line="240" w:lineRule="auto"/>
              <w:ind w:firstLine="0" w:firstLineChars="0"/>
              <w:jc w:val="center"/>
              <w:rPr>
                <w:w w:val="80"/>
                <w:sz w:val="21"/>
                <w:szCs w:val="21"/>
              </w:rPr>
            </w:pPr>
            <w:r>
              <w:rPr>
                <w:rFonts w:hint="eastAsia"/>
                <w:w w:val="80"/>
                <w:sz w:val="21"/>
                <w:szCs w:val="21"/>
              </w:rPr>
              <w:t>3.11</w:t>
            </w:r>
          </w:p>
        </w:tc>
      </w:tr>
      <w:tr w14:paraId="4B621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421" w:type="pct"/>
            <w:gridSpan w:val="7"/>
            <w:vAlign w:val="center"/>
          </w:tcPr>
          <w:p w14:paraId="4EF6D7A9">
            <w:pPr>
              <w:snapToGrid w:val="0"/>
              <w:spacing w:line="240" w:lineRule="auto"/>
              <w:ind w:firstLine="0" w:firstLineChars="0"/>
              <w:jc w:val="center"/>
              <w:rPr>
                <w:w w:val="80"/>
                <w:sz w:val="21"/>
                <w:szCs w:val="21"/>
              </w:rPr>
            </w:pPr>
            <w:r>
              <w:rPr>
                <w:w w:val="80"/>
                <w:sz w:val="21"/>
                <w:szCs w:val="21"/>
              </w:rPr>
              <w:t>合  计</w:t>
            </w:r>
          </w:p>
        </w:tc>
        <w:tc>
          <w:tcPr>
            <w:tcW w:w="579" w:type="pct"/>
            <w:vAlign w:val="center"/>
          </w:tcPr>
          <w:p w14:paraId="6EBC5DA9">
            <w:pPr>
              <w:snapToGrid w:val="0"/>
              <w:spacing w:line="240" w:lineRule="auto"/>
              <w:ind w:firstLine="0" w:firstLineChars="0"/>
              <w:jc w:val="center"/>
              <w:rPr>
                <w:w w:val="80"/>
                <w:sz w:val="21"/>
                <w:szCs w:val="21"/>
              </w:rPr>
            </w:pPr>
            <w:r>
              <w:rPr>
                <w:rFonts w:hint="eastAsia"/>
                <w:w w:val="80"/>
                <w:sz w:val="21"/>
                <w:szCs w:val="21"/>
              </w:rPr>
              <w:t>85.42</w:t>
            </w:r>
          </w:p>
        </w:tc>
      </w:tr>
    </w:tbl>
    <w:p w14:paraId="56CA2ED0">
      <w:pPr>
        <w:spacing w:line="360" w:lineRule="auto"/>
        <w:ind w:firstLine="560"/>
        <w:rPr>
          <w:rFonts w:asciiTheme="minorHAnsi" w:hAnsiTheme="minorHAnsi" w:cstheme="minorHAnsi"/>
          <w:szCs w:val="28"/>
        </w:rPr>
      </w:pPr>
    </w:p>
    <w:p w14:paraId="1DD2606D">
      <w:pPr>
        <w:spacing w:line="360" w:lineRule="auto"/>
        <w:ind w:firstLine="560"/>
        <w:rPr>
          <w:rFonts w:asciiTheme="minorHAnsi" w:hAnsiTheme="minorHAnsi" w:cstheme="minorHAnsi"/>
          <w:szCs w:val="28"/>
        </w:rPr>
      </w:pPr>
      <w:r>
        <w:rPr>
          <w:rFonts w:hint="eastAsia" w:asciiTheme="minorHAnsi" w:hAnsiTheme="minorHAnsi" w:cstheme="minorHAnsi"/>
          <w:szCs w:val="28"/>
        </w:rPr>
        <w:t>1）移动式空压机</w:t>
      </w:r>
    </w:p>
    <w:p w14:paraId="2AC9FFEE">
      <w:pPr>
        <w:spacing w:line="360" w:lineRule="auto"/>
        <w:ind w:firstLine="560"/>
        <w:rPr>
          <w:rFonts w:asciiTheme="minorHAnsi" w:hAnsiTheme="minorHAnsi" w:cstheme="minorHAnsi"/>
          <w:szCs w:val="28"/>
        </w:rPr>
      </w:pPr>
      <w:r>
        <w:rPr>
          <w:rFonts w:hint="eastAsia" w:asciiTheme="minorHAnsi" w:hAnsiTheme="minorHAnsi" w:cstheme="minorHAnsi"/>
          <w:szCs w:val="28"/>
        </w:rPr>
        <w:t>利旧一期设置的1台MLGF22/16-200G矿用螺杆式移动空气压缩机，为井下KQG-150凿岩台车提供气源。空压机排气量22Nm</w:t>
      </w:r>
      <w:r>
        <w:rPr>
          <w:rFonts w:hint="eastAsia" w:asciiTheme="minorHAnsi" w:hAnsiTheme="minorHAnsi" w:cstheme="minorHAnsi"/>
          <w:szCs w:val="28"/>
          <w:vertAlign w:val="superscript"/>
        </w:rPr>
        <w:t>3</w:t>
      </w:r>
      <w:r>
        <w:rPr>
          <w:rFonts w:hint="eastAsia" w:asciiTheme="minorHAnsi" w:hAnsiTheme="minorHAnsi" w:cstheme="minorHAnsi"/>
          <w:szCs w:val="28"/>
        </w:rPr>
        <w:t>/min，排气压力1.6MPa，配电功率200kW，电压380V。</w:t>
      </w:r>
    </w:p>
    <w:p w14:paraId="490E2386">
      <w:pPr>
        <w:spacing w:line="360" w:lineRule="auto"/>
        <w:ind w:firstLine="560"/>
        <w:rPr>
          <w:rFonts w:asciiTheme="minorHAnsi" w:hAnsiTheme="minorHAnsi" w:cstheme="minorHAnsi"/>
          <w:szCs w:val="28"/>
        </w:rPr>
      </w:pPr>
      <w:r>
        <w:rPr>
          <w:rFonts w:hint="eastAsia" w:asciiTheme="minorHAnsi" w:hAnsiTheme="minorHAnsi" w:cstheme="minorHAnsi"/>
          <w:szCs w:val="28"/>
        </w:rPr>
        <w:t>2）地表空压机站</w:t>
      </w:r>
    </w:p>
    <w:p w14:paraId="6C1D259F">
      <w:pPr>
        <w:spacing w:line="360" w:lineRule="auto"/>
        <w:ind w:firstLine="560"/>
        <w:rPr>
          <w:rFonts w:asciiTheme="minorHAnsi" w:hAnsiTheme="minorHAnsi" w:cstheme="minorHAnsi"/>
          <w:szCs w:val="28"/>
        </w:rPr>
      </w:pPr>
      <w:r>
        <w:rPr>
          <w:rFonts w:hint="eastAsia" w:asciiTheme="minorHAnsi" w:hAnsiTheme="minorHAnsi" w:cstheme="minorHAnsi"/>
          <w:szCs w:val="28"/>
        </w:rPr>
        <w:t>二期利旧使用一期已建成的固定空压机站，分别为井下和地表设施提供气源，其中：</w:t>
      </w:r>
    </w:p>
    <w:p w14:paraId="35392F89">
      <w:pPr>
        <w:spacing w:line="360" w:lineRule="auto"/>
        <w:ind w:firstLine="560"/>
        <w:rPr>
          <w:rFonts w:asciiTheme="minorHAnsi" w:hAnsiTheme="minorHAnsi" w:cstheme="minorHAnsi"/>
          <w:szCs w:val="28"/>
        </w:rPr>
      </w:pPr>
      <w:r>
        <w:rPr>
          <w:rFonts w:hint="eastAsia" w:asciiTheme="minorHAnsi" w:hAnsiTheme="minorHAnsi" w:cstheme="minorHAnsi"/>
          <w:szCs w:val="28"/>
        </w:rPr>
        <w:t>利旧一期已安装的2台DLGF 40/8-250矿用螺杆式空气压缩机和地表及井下压气管路（-505m水平以上为Φ159×7无缝钢管，-505m水平以下为Φ133×7无缝钢管），为井下除（抑）尘和机修硐室等设施、压风自救系统提供气源，正常生产时，1台工作，1台备用；井下遇险时，1台工作，1台备用。单台空压机排气量40Nm</w:t>
      </w:r>
      <w:r>
        <w:rPr>
          <w:rFonts w:hint="eastAsia" w:asciiTheme="minorHAnsi" w:hAnsiTheme="minorHAnsi" w:cstheme="minorHAnsi"/>
          <w:szCs w:val="28"/>
          <w:vertAlign w:val="superscript"/>
        </w:rPr>
        <w:t>3</w:t>
      </w:r>
      <w:r>
        <w:rPr>
          <w:rFonts w:hint="eastAsia" w:asciiTheme="minorHAnsi" w:hAnsiTheme="minorHAnsi" w:cstheme="minorHAnsi"/>
          <w:szCs w:val="28"/>
        </w:rPr>
        <w:t>/min，排气压力0.8MPa，配电机功率250kW，电压380V。每台空压机配1个5m</w:t>
      </w:r>
      <w:r>
        <w:rPr>
          <w:rFonts w:hint="eastAsia" w:asciiTheme="minorHAnsi" w:hAnsiTheme="minorHAnsi" w:cstheme="minorHAnsi"/>
          <w:szCs w:val="28"/>
          <w:vertAlign w:val="superscript"/>
        </w:rPr>
        <w:t>3</w:t>
      </w:r>
      <w:r>
        <w:rPr>
          <w:rFonts w:hint="eastAsia" w:asciiTheme="minorHAnsi" w:hAnsiTheme="minorHAnsi" w:cstheme="minorHAnsi"/>
          <w:szCs w:val="28"/>
        </w:rPr>
        <w:t>储气罐和1台微热再生吸附式干燥机。压气管道经副井、采区人行回风天井敷设至井下各水平，并延伸至用气点。</w:t>
      </w:r>
    </w:p>
    <w:p w14:paraId="2D9A2E83">
      <w:pPr>
        <w:spacing w:line="360" w:lineRule="auto"/>
        <w:ind w:firstLine="560"/>
        <w:rPr>
          <w:rFonts w:asciiTheme="minorHAnsi" w:hAnsiTheme="minorHAnsi" w:cstheme="minorHAnsi"/>
          <w:szCs w:val="28"/>
        </w:rPr>
      </w:pPr>
      <w:r>
        <w:rPr>
          <w:rFonts w:hint="eastAsia" w:asciiTheme="minorHAnsi" w:hAnsiTheme="minorHAnsi" w:cstheme="minorHAnsi"/>
          <w:szCs w:val="28"/>
        </w:rPr>
        <w:t>利旧一期已安装的4台变频螺杆式空压机和地表压气管路，为地表设施（含充填站）提供气源，3台工作，1台备用。单台空压机排气量为43Nm</w:t>
      </w:r>
      <w:r>
        <w:rPr>
          <w:rFonts w:hint="eastAsia" w:asciiTheme="minorHAnsi" w:hAnsiTheme="minorHAnsi" w:cstheme="minorHAnsi"/>
          <w:szCs w:val="28"/>
          <w:vertAlign w:val="superscript"/>
        </w:rPr>
        <w:t>3</w:t>
      </w:r>
      <w:r>
        <w:rPr>
          <w:rFonts w:hint="eastAsia" w:asciiTheme="minorHAnsi" w:hAnsiTheme="minorHAnsi" w:cstheme="minorHAnsi"/>
          <w:szCs w:val="28"/>
        </w:rPr>
        <w:t>/min，排气压力1.0MPa，电机功率250kW，电压380V，每台空压机配1个5m</w:t>
      </w:r>
      <w:r>
        <w:rPr>
          <w:rFonts w:hint="eastAsia" w:asciiTheme="minorHAnsi" w:hAnsiTheme="minorHAnsi" w:cstheme="minorHAnsi"/>
          <w:szCs w:val="28"/>
          <w:vertAlign w:val="superscript"/>
        </w:rPr>
        <w:t>3</w:t>
      </w:r>
      <w:r>
        <w:rPr>
          <w:rFonts w:hint="eastAsia" w:asciiTheme="minorHAnsi" w:hAnsiTheme="minorHAnsi" w:cstheme="minorHAnsi"/>
          <w:szCs w:val="28"/>
        </w:rPr>
        <w:t>储气罐和1台微热再生吸附式干燥机。</w:t>
      </w:r>
    </w:p>
    <w:p w14:paraId="026EA2B6">
      <w:pPr>
        <w:spacing w:line="360" w:lineRule="auto"/>
        <w:ind w:firstLine="562"/>
        <w:rPr>
          <w:rFonts w:asciiTheme="minorHAnsi" w:hAnsiTheme="minorHAnsi" w:cstheme="minorHAnsi"/>
          <w:b/>
          <w:szCs w:val="28"/>
        </w:rPr>
      </w:pPr>
      <w:r>
        <w:rPr>
          <w:rFonts w:hint="eastAsia" w:asciiTheme="minorHAnsi" w:hAnsiTheme="minorHAnsi" w:cstheme="minorHAnsi"/>
          <w:b/>
          <w:szCs w:val="28"/>
        </w:rPr>
        <w:t>（2）供水设施</w:t>
      </w:r>
    </w:p>
    <w:p w14:paraId="2FCB179B">
      <w:pPr>
        <w:widowControl/>
        <w:adjustRightInd w:val="0"/>
        <w:snapToGrid w:val="0"/>
        <w:spacing w:line="360" w:lineRule="auto"/>
        <w:ind w:firstLine="560"/>
        <w:rPr>
          <w:bCs/>
          <w:szCs w:val="28"/>
        </w:rPr>
      </w:pPr>
      <w:r>
        <w:rPr>
          <w:rFonts w:hint="eastAsia"/>
          <w:bCs/>
          <w:szCs w:val="28"/>
        </w:rPr>
        <w:t>二期投产后与一期同时生产，矿山井下生产、除尘的耗水量与一期相同；二期单独生产时矿山井下生产、除尘的班总耗水量为548.66m</w:t>
      </w:r>
      <w:r>
        <w:rPr>
          <w:rFonts w:hint="eastAsia"/>
          <w:bCs/>
          <w:szCs w:val="28"/>
          <w:vertAlign w:val="superscript"/>
        </w:rPr>
        <w:t>3</w:t>
      </w:r>
      <w:r>
        <w:rPr>
          <w:rFonts w:hint="eastAsia"/>
          <w:bCs/>
          <w:szCs w:val="28"/>
        </w:rPr>
        <w:t>/班（彭集深部487.70m</w:t>
      </w:r>
      <w:r>
        <w:rPr>
          <w:rFonts w:hint="eastAsia"/>
          <w:bCs/>
          <w:szCs w:val="28"/>
          <w:vertAlign w:val="superscript"/>
        </w:rPr>
        <w:t>3</w:t>
      </w:r>
      <w:r>
        <w:rPr>
          <w:rFonts w:hint="eastAsia"/>
          <w:bCs/>
          <w:szCs w:val="28"/>
        </w:rPr>
        <w:t>/班，冯家庄矿段60.96m</w:t>
      </w:r>
      <w:r>
        <w:rPr>
          <w:rFonts w:hint="eastAsia"/>
          <w:bCs/>
          <w:szCs w:val="28"/>
          <w:vertAlign w:val="superscript"/>
        </w:rPr>
        <w:t>3</w:t>
      </w:r>
      <w:r>
        <w:rPr>
          <w:rFonts w:hint="eastAsia"/>
          <w:bCs/>
          <w:szCs w:val="28"/>
        </w:rPr>
        <w:t>/班），小时最大耗水量为145.11m</w:t>
      </w:r>
      <w:r>
        <w:rPr>
          <w:rFonts w:hint="eastAsia"/>
          <w:bCs/>
          <w:szCs w:val="28"/>
          <w:vertAlign w:val="superscript"/>
        </w:rPr>
        <w:t>3</w:t>
      </w:r>
      <w:r>
        <w:rPr>
          <w:rFonts w:hint="eastAsia"/>
          <w:bCs/>
          <w:szCs w:val="28"/>
        </w:rPr>
        <w:t>/h（彭集深部128.99m</w:t>
      </w:r>
      <w:r>
        <w:rPr>
          <w:rFonts w:hint="eastAsia"/>
          <w:bCs/>
          <w:szCs w:val="28"/>
          <w:vertAlign w:val="superscript"/>
        </w:rPr>
        <w:t>3</w:t>
      </w:r>
      <w:r>
        <w:rPr>
          <w:rFonts w:hint="eastAsia"/>
          <w:bCs/>
          <w:szCs w:val="28"/>
        </w:rPr>
        <w:t>/h，冯家庄矿段16.12m</w:t>
      </w:r>
      <w:r>
        <w:rPr>
          <w:rFonts w:hint="eastAsia"/>
          <w:bCs/>
          <w:szCs w:val="28"/>
          <w:vertAlign w:val="superscript"/>
        </w:rPr>
        <w:t>3</w:t>
      </w:r>
      <w:r>
        <w:rPr>
          <w:rFonts w:hint="eastAsia"/>
          <w:bCs/>
          <w:szCs w:val="28"/>
        </w:rPr>
        <w:t>/h）。井下消防用水量按20L/s（72m</w:t>
      </w:r>
      <w:r>
        <w:rPr>
          <w:rFonts w:hint="eastAsia"/>
          <w:bCs/>
          <w:szCs w:val="28"/>
          <w:vertAlign w:val="superscript"/>
        </w:rPr>
        <w:t>3</w:t>
      </w:r>
      <w:r>
        <w:rPr>
          <w:rFonts w:hint="eastAsia"/>
          <w:bCs/>
          <w:szCs w:val="28"/>
        </w:rPr>
        <w:t>/h），持续时间3h考虑。消防用水与生产用水不同时使用。</w:t>
      </w:r>
    </w:p>
    <w:p w14:paraId="1D5573F2">
      <w:pPr>
        <w:widowControl/>
        <w:adjustRightInd w:val="0"/>
        <w:snapToGrid w:val="0"/>
        <w:spacing w:line="360" w:lineRule="auto"/>
        <w:ind w:firstLine="560"/>
        <w:rPr>
          <w:bCs/>
          <w:szCs w:val="28"/>
        </w:rPr>
      </w:pPr>
      <w:r>
        <w:rPr>
          <w:rFonts w:hint="eastAsia"/>
          <w:bCs/>
          <w:szCs w:val="28"/>
        </w:rPr>
        <w:t>二期继续利用一期已建成的地表</w:t>
      </w:r>
      <w:r>
        <w:rPr>
          <w:bCs/>
          <w:szCs w:val="28"/>
        </w:rPr>
        <w:t>3000m</w:t>
      </w:r>
      <w:r>
        <w:rPr>
          <w:bCs/>
          <w:szCs w:val="28"/>
          <w:vertAlign w:val="superscript"/>
        </w:rPr>
        <w:t>3</w:t>
      </w:r>
      <w:r>
        <w:rPr>
          <w:rFonts w:hint="eastAsia"/>
          <w:bCs/>
          <w:szCs w:val="28"/>
        </w:rPr>
        <w:t>储水池和供水管路（-505m水平以上为Φ273×12无缝钢管，-505m水平以下为Φ219×14无缝钢管），井下供水主管道由副井各水平马头门接入，经减压阀减压后，通过水平巷道敷设至各用水点。给至分段凿岩水平的供水管道由出矿水平接管，通过3号采区人行回风天井（彭集深部）和4号采区人行回风天井（冯家庄矿段）敷设，以满足井下生产、除尘及消防要求。</w:t>
      </w:r>
    </w:p>
    <w:p w14:paraId="724DCE32">
      <w:pPr>
        <w:widowControl/>
        <w:adjustRightInd w:val="0"/>
        <w:snapToGrid w:val="0"/>
        <w:spacing w:line="360" w:lineRule="auto"/>
        <w:ind w:firstLine="560"/>
      </w:pPr>
      <w:r>
        <w:rPr>
          <w:rFonts w:hint="eastAsia"/>
          <w:bCs/>
          <w:szCs w:val="28"/>
        </w:rPr>
        <w:t>在井下主要中段井底车场、采区斜坡道和无轨设备组装维修硐室设消火栓。沿井下巷道内的消防管路每隔50m～100m设一个消火栓。每个消火栓均配备消防水枪和消防水带，水带长度满足消火栓设置间距内的消防要求，消火栓栓口动压力0.25MPa~0.5MPa，消火栓最不利点的水枪充实水柱不小于7m。</w:t>
      </w:r>
    </w:p>
    <w:p w14:paraId="0F40205C">
      <w:pPr>
        <w:pStyle w:val="5"/>
        <w:spacing w:after="190"/>
        <w:rPr>
          <w:rFonts w:asciiTheme="minorHAnsi" w:hAnsiTheme="minorHAnsi" w:cstheme="minorHAnsi"/>
        </w:rPr>
      </w:pPr>
      <w:r>
        <w:rPr>
          <w:rFonts w:asciiTheme="minorHAnsi" w:hAnsiTheme="minorHAnsi" w:cstheme="minorHAnsi"/>
        </w:rPr>
        <w:t>2.4.11安全管理及其他</w:t>
      </w:r>
    </w:p>
    <w:bookmarkEnd w:id="82"/>
    <w:p w14:paraId="2A262D4F">
      <w:pPr>
        <w:adjustRightInd w:val="0"/>
        <w:snapToGrid w:val="0"/>
        <w:spacing w:line="360" w:lineRule="auto"/>
        <w:ind w:firstLine="562"/>
        <w:rPr>
          <w:rFonts w:asciiTheme="minorHAnsi" w:hAnsiTheme="minorHAnsi" w:cstheme="minorHAnsi"/>
          <w:b/>
          <w:szCs w:val="28"/>
        </w:rPr>
      </w:pPr>
      <w:bookmarkStart w:id="83" w:name="_Toc19677"/>
      <w:bookmarkStart w:id="84" w:name="_Toc314650670"/>
      <w:bookmarkStart w:id="85" w:name="_Toc61007899"/>
      <w:r>
        <w:rPr>
          <w:rFonts w:hint="eastAsia" w:asciiTheme="minorHAnsi" w:hAnsiTheme="minorHAnsi" w:cstheme="minorHAnsi"/>
          <w:b/>
          <w:szCs w:val="28"/>
        </w:rPr>
        <w:t>（1）安全管理机构</w:t>
      </w:r>
    </w:p>
    <w:p w14:paraId="5ACD701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应设置安全与工业卫生管理机构，负责监督落实安全生产责任制、监督检查各部门专业安全管理的实施情况、监督检查作业区各项安全管理工作的实施情况、监督检查各岗位的安全状况和岗位人员的操作行为、是否按标准作业等。</w:t>
      </w:r>
    </w:p>
    <w:p w14:paraId="16521F3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企业主要负责人是本单位安全生产第一责任人，必须严格履行《安全生产法》规定的职责。主要负责人应当每月对照金属非金属矿山重大生产安全事故隐患判定标准，组织开展全面排查，形成重大事故隐患排查治理报告签字备案。</w:t>
      </w:r>
    </w:p>
    <w:p w14:paraId="67833F7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地下矿山企业主要负责人每月带班下井不得少于5个。每个月在生产现场履行安全生产职责时间不得少于10个工作日，每月组织研究一次安全生产重大问题，形成会议纪要。</w:t>
      </w:r>
    </w:p>
    <w:p w14:paraId="3125A51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地下矿山应配备分管安全、生产、机电的副矿长，以上人员应具有采矿、地质、矿建（井建）、通风、测量、机电、安全等矿山相关专业大专及以上学历或者中级及以上技术职称。</w:t>
      </w:r>
    </w:p>
    <w:p w14:paraId="1AF0B55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建立健全技术管理制度，配备具有采矿、地质、测量、机电等矿山相关专业中专及以上学历或者中级及以上技术职称的专职技术人员，每个专业至少配备1人。</w:t>
      </w:r>
    </w:p>
    <w:p w14:paraId="68C8EF6C">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（2）空气预热</w:t>
      </w:r>
    </w:p>
    <w:p w14:paraId="5061A82A">
      <w:pPr>
        <w:widowControl/>
        <w:adjustRightInd w:val="0"/>
        <w:snapToGrid w:val="0"/>
        <w:spacing w:line="360" w:lineRule="auto"/>
        <w:ind w:firstLine="560"/>
        <w:rPr>
          <w:bCs/>
          <w:szCs w:val="28"/>
        </w:rPr>
      </w:pPr>
      <w:r>
        <w:rPr>
          <w:rFonts w:hint="eastAsia"/>
          <w:bCs/>
          <w:szCs w:val="28"/>
        </w:rPr>
        <w:t>副井进风量为190m</w:t>
      </w:r>
      <w:r>
        <w:rPr>
          <w:rFonts w:hint="eastAsia"/>
          <w:bCs/>
          <w:szCs w:val="28"/>
          <w:vertAlign w:val="superscript"/>
        </w:rPr>
        <w:t>3</w:t>
      </w:r>
      <w:r>
        <w:rPr>
          <w:rFonts w:hint="eastAsia"/>
          <w:bCs/>
          <w:szCs w:val="28"/>
        </w:rPr>
        <w:t>/s，进风井进风量为480m</w:t>
      </w:r>
      <w:r>
        <w:rPr>
          <w:rFonts w:hint="eastAsia"/>
          <w:bCs/>
          <w:szCs w:val="28"/>
          <w:vertAlign w:val="superscript"/>
        </w:rPr>
        <w:t>3</w:t>
      </w:r>
      <w:r>
        <w:rPr>
          <w:rFonts w:hint="eastAsia"/>
          <w:bCs/>
          <w:szCs w:val="28"/>
        </w:rPr>
        <w:t>/s。为保证进风井巷空气温度不低于2℃，同时防止副井井口结冰威胁提升系统及通行安全，需对进入井下的空气进行预热。</w:t>
      </w:r>
    </w:p>
    <w:p w14:paraId="4D7D4154">
      <w:pPr>
        <w:widowControl/>
        <w:adjustRightInd w:val="0"/>
        <w:snapToGrid w:val="0"/>
        <w:spacing w:line="360" w:lineRule="auto"/>
        <w:ind w:firstLine="560"/>
        <w:rPr>
          <w:bCs/>
          <w:szCs w:val="28"/>
        </w:rPr>
      </w:pPr>
      <w:r>
        <w:rPr>
          <w:rFonts w:hint="eastAsia"/>
          <w:bCs/>
          <w:szCs w:val="28"/>
        </w:rPr>
        <w:t>根据当地的历史气象资料，供暖室外计算温度为-6℃，当地历年极端最低气温平均值为-13.4℃，冬季室外大气压力101.12kPa。当空气温度为2℃时，空气密度为</w:t>
      </w:r>
      <w:r>
        <w:rPr>
          <w:bCs/>
          <w:szCs w:val="28"/>
        </w:rPr>
        <w:t>1.281kg/m</w:t>
      </w:r>
      <w:r>
        <w:rPr>
          <w:bCs/>
          <w:szCs w:val="28"/>
          <w:vertAlign w:val="superscript"/>
        </w:rPr>
        <w:t>3</w:t>
      </w:r>
      <w:r>
        <w:rPr>
          <w:rFonts w:hint="eastAsia"/>
          <w:bCs/>
          <w:szCs w:val="28"/>
        </w:rPr>
        <w:t>。</w:t>
      </w:r>
    </w:p>
    <w:p w14:paraId="594006D6">
      <w:pPr>
        <w:widowControl/>
        <w:adjustRightInd w:val="0"/>
        <w:snapToGrid w:val="0"/>
        <w:spacing w:line="360" w:lineRule="auto"/>
        <w:ind w:firstLine="560"/>
        <w:rPr>
          <w:bCs/>
          <w:szCs w:val="28"/>
        </w:rPr>
      </w:pPr>
      <w:r>
        <w:rPr>
          <w:bCs/>
          <w:szCs w:val="28"/>
        </w:rPr>
        <w:t>1）副井井口空气预热</w:t>
      </w:r>
    </w:p>
    <w:p w14:paraId="085318FC">
      <w:pPr>
        <w:widowControl/>
        <w:adjustRightInd w:val="0"/>
        <w:snapToGrid w:val="0"/>
        <w:spacing w:line="360" w:lineRule="auto"/>
        <w:ind w:firstLine="560"/>
        <w:rPr>
          <w:bCs/>
          <w:szCs w:val="28"/>
        </w:rPr>
      </w:pPr>
      <w:r>
        <w:rPr>
          <w:bCs/>
          <w:szCs w:val="28"/>
        </w:rPr>
        <w:t>副井井口空气预热的室外空气计算温度取当地历年极端最低气温平均值，t</w:t>
      </w:r>
      <w:r>
        <w:rPr>
          <w:bCs/>
          <w:szCs w:val="28"/>
          <w:vertAlign w:val="subscript"/>
        </w:rPr>
        <w:t>副</w:t>
      </w:r>
      <w:r>
        <w:rPr>
          <w:bCs/>
          <w:szCs w:val="28"/>
        </w:rPr>
        <w:t>=-13.4℃，加热后送往井口房的热风温度为20℃～30℃，冷风和热风在地表井口房混合后的空气温度为2℃。</w:t>
      </w:r>
      <w:r>
        <w:rPr>
          <w:rFonts w:hint="eastAsia"/>
          <w:bCs/>
          <w:szCs w:val="28"/>
        </w:rPr>
        <w:t>经计算，</w:t>
      </w:r>
      <w:r>
        <w:rPr>
          <w:bCs/>
          <w:szCs w:val="28"/>
        </w:rPr>
        <w:t>加热空气所需热量</w:t>
      </w:r>
      <w:r>
        <w:rPr>
          <w:rFonts w:hint="eastAsia"/>
          <w:bCs/>
          <w:szCs w:val="28"/>
        </w:rPr>
        <w:t>为</w:t>
      </w:r>
      <w:r>
        <w:rPr>
          <w:bCs/>
          <w:szCs w:val="28"/>
        </w:rPr>
        <w:t>3936</w:t>
      </w:r>
      <w:r>
        <w:rPr>
          <w:rFonts w:hint="eastAsia"/>
          <w:bCs/>
          <w:szCs w:val="28"/>
        </w:rPr>
        <w:t>kW。</w:t>
      </w:r>
    </w:p>
    <w:p w14:paraId="76F23BD5">
      <w:pPr>
        <w:widowControl/>
        <w:adjustRightInd w:val="0"/>
        <w:snapToGrid w:val="0"/>
        <w:spacing w:line="360" w:lineRule="auto"/>
        <w:ind w:firstLine="560"/>
        <w:rPr>
          <w:bCs/>
          <w:szCs w:val="28"/>
        </w:rPr>
      </w:pPr>
      <w:r>
        <w:rPr>
          <w:rFonts w:hint="eastAsia"/>
          <w:bCs/>
          <w:szCs w:val="28"/>
        </w:rPr>
        <w:t>副井井口设空气加热间，安装2台换热量为1970kW的组合式空调机组，单台组合式空调机组的换热量为1970kW，配套风机的电机功率37kW，电压380V。热源采用热泵机房提供的循环热水。</w:t>
      </w:r>
    </w:p>
    <w:p w14:paraId="45EE54BD">
      <w:pPr>
        <w:widowControl/>
        <w:adjustRightInd w:val="0"/>
        <w:snapToGrid w:val="0"/>
        <w:spacing w:line="360" w:lineRule="auto"/>
        <w:ind w:firstLine="560"/>
        <w:rPr>
          <w:bCs/>
          <w:szCs w:val="28"/>
        </w:rPr>
      </w:pPr>
      <w:r>
        <w:rPr>
          <w:rFonts w:hint="eastAsia"/>
          <w:bCs/>
          <w:szCs w:val="28"/>
        </w:rPr>
        <w:t>2）进风井井口空气预热</w:t>
      </w:r>
    </w:p>
    <w:p w14:paraId="6335A1F6">
      <w:pPr>
        <w:widowControl/>
        <w:adjustRightInd w:val="0"/>
        <w:snapToGrid w:val="0"/>
        <w:spacing w:line="360" w:lineRule="auto"/>
        <w:ind w:firstLine="560"/>
        <w:rPr>
          <w:bCs/>
          <w:szCs w:val="28"/>
        </w:rPr>
      </w:pPr>
      <w:r>
        <w:rPr>
          <w:rFonts w:hint="eastAsia"/>
          <w:bCs/>
          <w:szCs w:val="28"/>
        </w:rPr>
        <w:t>进风井井口空气预热的室外空气计算温度取当地历年极端最低气温平均值与供暖室外计算温度二者的平均值，t</w:t>
      </w:r>
      <w:r>
        <w:rPr>
          <w:rFonts w:hint="eastAsia"/>
          <w:bCs/>
          <w:szCs w:val="28"/>
          <w:vertAlign w:val="subscript"/>
        </w:rPr>
        <w:t>进</w:t>
      </w:r>
      <w:r>
        <w:rPr>
          <w:rFonts w:hint="eastAsia"/>
          <w:bCs/>
          <w:szCs w:val="28"/>
        </w:rPr>
        <w:t>=-</w:t>
      </w:r>
      <w:r>
        <w:rPr>
          <w:bCs/>
          <w:szCs w:val="28"/>
        </w:rPr>
        <w:t>9.7</w:t>
      </w:r>
      <w:r>
        <w:rPr>
          <w:rFonts w:hint="eastAsia"/>
          <w:bCs/>
          <w:szCs w:val="28"/>
        </w:rPr>
        <w:t>℃，加热后送往井筒的热风温度为60℃～70℃，冷风和热风在井筒内混合后的空气温度为2℃。经计算，</w:t>
      </w:r>
      <w:r>
        <w:rPr>
          <w:bCs/>
          <w:szCs w:val="28"/>
        </w:rPr>
        <w:t>加热空气所需热量</w:t>
      </w:r>
      <w:r>
        <w:rPr>
          <w:rFonts w:hint="eastAsia"/>
          <w:bCs/>
          <w:szCs w:val="28"/>
        </w:rPr>
        <w:t>为</w:t>
      </w:r>
      <w:r>
        <w:rPr>
          <w:bCs/>
          <w:szCs w:val="28"/>
        </w:rPr>
        <w:t>7554</w:t>
      </w:r>
      <w:r>
        <w:rPr>
          <w:rFonts w:hint="eastAsia"/>
          <w:bCs/>
          <w:szCs w:val="28"/>
        </w:rPr>
        <w:t>kW。</w:t>
      </w:r>
    </w:p>
    <w:p w14:paraId="1B934943">
      <w:pPr>
        <w:widowControl/>
        <w:adjustRightInd w:val="0"/>
        <w:snapToGrid w:val="0"/>
        <w:spacing w:line="360" w:lineRule="auto"/>
        <w:ind w:firstLine="560"/>
        <w:rPr>
          <w:bCs/>
          <w:szCs w:val="28"/>
        </w:rPr>
      </w:pPr>
      <w:r>
        <w:rPr>
          <w:rFonts w:hint="eastAsia"/>
          <w:bCs/>
          <w:szCs w:val="28"/>
        </w:rPr>
        <w:t>进风井井口设4台制热量为1</w:t>
      </w:r>
      <w:r>
        <w:rPr>
          <w:bCs/>
          <w:szCs w:val="28"/>
        </w:rPr>
        <w:t>9</w:t>
      </w:r>
      <w:r>
        <w:rPr>
          <w:rFonts w:hint="eastAsia"/>
          <w:bCs/>
          <w:szCs w:val="28"/>
        </w:rPr>
        <w:t>00kW的室外型远红外电热风炉，单台电热风炉的制热量为1</w:t>
      </w:r>
      <w:r>
        <w:rPr>
          <w:bCs/>
          <w:szCs w:val="28"/>
        </w:rPr>
        <w:t>9</w:t>
      </w:r>
      <w:r>
        <w:rPr>
          <w:rFonts w:hint="eastAsia"/>
          <w:bCs/>
          <w:szCs w:val="28"/>
        </w:rPr>
        <w:t>00kW，配套风机的电机功率75kW，电压380V。</w:t>
      </w:r>
    </w:p>
    <w:p w14:paraId="1CF5B176">
      <w:pPr>
        <w:adjustRightInd w:val="0"/>
        <w:snapToGrid w:val="0"/>
        <w:spacing w:line="360" w:lineRule="auto"/>
        <w:ind w:firstLine="562"/>
        <w:rPr>
          <w:rFonts w:asciiTheme="minorHAnsi" w:hAnsiTheme="minorHAnsi" w:cstheme="minorHAnsi"/>
          <w:b/>
        </w:rPr>
      </w:pPr>
      <w:r>
        <w:rPr>
          <w:rFonts w:hint="eastAsia" w:asciiTheme="minorHAnsi" w:hAnsiTheme="minorHAnsi" w:cstheme="minorHAnsi"/>
          <w:b/>
          <w:szCs w:val="28"/>
        </w:rPr>
        <w:t>（</w:t>
      </w:r>
      <w:r>
        <w:rPr>
          <w:rFonts w:asciiTheme="minorHAnsi" w:hAnsiTheme="minorHAnsi" w:cstheme="minorHAnsi"/>
          <w:b/>
          <w:szCs w:val="28"/>
        </w:rPr>
        <w:t>3</w:t>
      </w:r>
      <w:r>
        <w:rPr>
          <w:rFonts w:hint="eastAsia" w:asciiTheme="minorHAnsi" w:hAnsiTheme="minorHAnsi" w:cstheme="minorHAnsi"/>
          <w:b/>
          <w:szCs w:val="28"/>
        </w:rPr>
        <w:t>）</w:t>
      </w:r>
      <w:bookmarkEnd w:id="83"/>
      <w:bookmarkEnd w:id="84"/>
      <w:bookmarkEnd w:id="85"/>
      <w:r>
        <w:rPr>
          <w:rFonts w:asciiTheme="minorHAnsi" w:hAnsiTheme="minorHAnsi" w:cstheme="minorHAnsi"/>
          <w:b/>
        </w:rPr>
        <w:t>劳动定员</w:t>
      </w:r>
    </w:p>
    <w:p w14:paraId="18A5B44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采矿职工定员（800×1</w:t>
      </w:r>
      <w:r>
        <w:rPr>
          <w:rFonts w:asciiTheme="minorHAnsi" w:hAnsiTheme="minorHAnsi" w:cstheme="minorHAnsi"/>
          <w:szCs w:val="28"/>
        </w:rPr>
        <w:t>0</w:t>
      </w:r>
      <w:r>
        <w:rPr>
          <w:rFonts w:asciiTheme="minorHAnsi" w:hAnsiTheme="minorHAnsi" w:cstheme="minorHAnsi"/>
          <w:szCs w:val="28"/>
          <w:vertAlign w:val="superscript"/>
        </w:rPr>
        <w:t>4</w:t>
      </w:r>
      <w:r>
        <w:rPr>
          <w:rFonts w:hint="eastAsia" w:asciiTheme="minorHAnsi" w:hAnsiTheme="minorHAnsi" w:cstheme="minorHAnsi"/>
          <w:szCs w:val="28"/>
        </w:rPr>
        <w:t>t）合计为</w:t>
      </w:r>
      <w:r>
        <w:rPr>
          <w:rFonts w:asciiTheme="minorHAnsi" w:hAnsiTheme="minorHAnsi" w:cstheme="minorHAnsi"/>
          <w:szCs w:val="28"/>
        </w:rPr>
        <w:t>667</w:t>
      </w:r>
      <w:r>
        <w:rPr>
          <w:rFonts w:hint="eastAsia" w:asciiTheme="minorHAnsi" w:hAnsiTheme="minorHAnsi" w:cstheme="minorHAnsi"/>
          <w:szCs w:val="28"/>
        </w:rPr>
        <w:t>人，其中生产人员</w:t>
      </w:r>
      <w:r>
        <w:rPr>
          <w:rFonts w:asciiTheme="minorHAnsi" w:hAnsiTheme="minorHAnsi" w:cstheme="minorHAnsi"/>
          <w:szCs w:val="28"/>
        </w:rPr>
        <w:t>593</w:t>
      </w:r>
      <w:r>
        <w:rPr>
          <w:rFonts w:hint="eastAsia" w:asciiTheme="minorHAnsi" w:hAnsiTheme="minorHAnsi" w:cstheme="minorHAnsi"/>
          <w:szCs w:val="28"/>
        </w:rPr>
        <w:t>人，管理服务人员</w:t>
      </w:r>
      <w:r>
        <w:rPr>
          <w:rFonts w:asciiTheme="minorHAnsi" w:hAnsiTheme="minorHAnsi" w:cstheme="minorHAnsi"/>
          <w:szCs w:val="28"/>
        </w:rPr>
        <w:t>74</w:t>
      </w:r>
      <w:r>
        <w:rPr>
          <w:rFonts w:hint="eastAsia" w:asciiTheme="minorHAnsi" w:hAnsiTheme="minorHAnsi" w:cstheme="minorHAnsi"/>
          <w:szCs w:val="28"/>
        </w:rPr>
        <w:t>人。</w:t>
      </w:r>
    </w:p>
    <w:p w14:paraId="28024C1B">
      <w:pPr>
        <w:adjustRightInd w:val="0"/>
        <w:snapToGrid w:val="0"/>
        <w:spacing w:line="360" w:lineRule="auto"/>
        <w:ind w:firstLine="562"/>
        <w:rPr>
          <w:rFonts w:asciiTheme="minorHAnsi" w:hAnsiTheme="minorHAnsi" w:cstheme="minorHAnsi"/>
          <w:b/>
        </w:rPr>
      </w:pPr>
      <w:bookmarkStart w:id="86" w:name="_Toc502702601"/>
      <w:r>
        <w:rPr>
          <w:rFonts w:asciiTheme="minorHAnsi" w:hAnsiTheme="minorHAnsi" w:cstheme="minorHAnsi"/>
          <w:b/>
        </w:rPr>
        <w:t>（4）投资估算</w:t>
      </w:r>
    </w:p>
    <w:bookmarkEnd w:id="86"/>
    <w:p w14:paraId="209463B9">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1</w:t>
      </w:r>
      <w:r>
        <w:rPr>
          <w:rFonts w:hint="eastAsia" w:asciiTheme="minorHAnsi" w:hAnsiTheme="minorHAnsi" w:cstheme="minorHAnsi"/>
          <w:szCs w:val="28"/>
        </w:rPr>
        <w:t>） 一期投资概算</w:t>
      </w:r>
    </w:p>
    <w:p w14:paraId="77C27C0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项目总投资</w:t>
      </w:r>
      <w:r>
        <w:rPr>
          <w:szCs w:val="24"/>
        </w:rPr>
        <w:t>391887.93</w:t>
      </w:r>
      <w:r>
        <w:rPr>
          <w:rFonts w:hint="eastAsia" w:asciiTheme="minorHAnsi" w:hAnsiTheme="minorHAnsi" w:cstheme="minorHAnsi"/>
          <w:szCs w:val="28"/>
        </w:rPr>
        <w:t>万元，含建设投资</w:t>
      </w:r>
      <w:r>
        <w:rPr>
          <w:szCs w:val="24"/>
        </w:rPr>
        <w:t>378592.02</w:t>
      </w:r>
      <w:r>
        <w:rPr>
          <w:rFonts w:hint="eastAsia" w:asciiTheme="minorHAnsi" w:hAnsiTheme="minorHAnsi" w:cstheme="minorHAnsi"/>
          <w:szCs w:val="28"/>
        </w:rPr>
        <w:t>万元、建设期利息</w:t>
      </w:r>
      <w:r>
        <w:rPr>
          <w:szCs w:val="24"/>
        </w:rPr>
        <w:t>2582.37</w:t>
      </w:r>
      <w:r>
        <w:rPr>
          <w:rFonts w:hint="eastAsia" w:asciiTheme="minorHAnsi" w:hAnsiTheme="minorHAnsi" w:cstheme="minorHAnsi"/>
          <w:szCs w:val="28"/>
        </w:rPr>
        <w:t>万元，流动资金</w:t>
      </w:r>
      <w:r>
        <w:rPr>
          <w:rFonts w:hint="eastAsia"/>
          <w:szCs w:val="24"/>
        </w:rPr>
        <w:t>1</w:t>
      </w:r>
      <w:r>
        <w:rPr>
          <w:szCs w:val="24"/>
        </w:rPr>
        <w:t>0713.54</w:t>
      </w:r>
      <w:r>
        <w:rPr>
          <w:rFonts w:hint="eastAsia" w:asciiTheme="minorHAnsi" w:hAnsiTheme="minorHAnsi" w:cstheme="minorHAnsi"/>
          <w:szCs w:val="28"/>
        </w:rPr>
        <w:t>万元。其中铺底流动资金</w:t>
      </w:r>
      <w:r>
        <w:rPr>
          <w:rFonts w:hint="eastAsia"/>
          <w:szCs w:val="24"/>
        </w:rPr>
        <w:t>3</w:t>
      </w:r>
      <w:r>
        <w:rPr>
          <w:szCs w:val="24"/>
        </w:rPr>
        <w:t>214.54</w:t>
      </w:r>
      <w:r>
        <w:rPr>
          <w:rFonts w:hint="eastAsia" w:asciiTheme="minorHAnsi" w:hAnsiTheme="minorHAnsi" w:cstheme="minorHAnsi"/>
          <w:szCs w:val="28"/>
        </w:rPr>
        <w:t>万元。</w:t>
      </w:r>
    </w:p>
    <w:p w14:paraId="78F36147">
      <w:pPr>
        <w:adjustRightInd w:val="0"/>
        <w:snapToGrid w:val="0"/>
        <w:spacing w:line="360" w:lineRule="auto"/>
        <w:ind w:firstLine="560"/>
        <w:rPr>
          <w:rFonts w:asciiTheme="minorHAnsi" w:hAnsiTheme="minorHAnsi" w:cstheme="minorHAnsi"/>
          <w:szCs w:val="28"/>
        </w:rPr>
      </w:pPr>
      <w:r>
        <w:rPr>
          <w:rFonts w:hint="eastAsia" w:cs="Times New Roman"/>
          <w:bCs/>
          <w:szCs w:val="21"/>
        </w:rPr>
        <w:t>项目工程建设投资</w:t>
      </w:r>
      <w:r>
        <w:rPr>
          <w:rFonts w:cs="Times New Roman"/>
          <w:bCs/>
          <w:szCs w:val="21"/>
        </w:rPr>
        <w:t>378592.02</w:t>
      </w:r>
      <w:r>
        <w:rPr>
          <w:rFonts w:hint="eastAsia" w:cs="Times New Roman"/>
          <w:bCs/>
          <w:szCs w:val="21"/>
        </w:rPr>
        <w:t>万元（含采矿权价款，不含采矿权价款</w:t>
      </w:r>
      <w:r>
        <w:rPr>
          <w:rFonts w:cs="Times New Roman"/>
          <w:bCs/>
          <w:szCs w:val="21"/>
        </w:rPr>
        <w:t>263486.09</w:t>
      </w:r>
      <w:r>
        <w:rPr>
          <w:rFonts w:hint="eastAsia" w:cs="Times New Roman"/>
          <w:bCs/>
          <w:szCs w:val="21"/>
        </w:rPr>
        <w:t>万元），其中工程费用</w:t>
      </w:r>
      <w:r>
        <w:rPr>
          <w:rFonts w:cs="Times New Roman"/>
          <w:bCs/>
          <w:szCs w:val="21"/>
        </w:rPr>
        <w:t>225981.53</w:t>
      </w:r>
      <w:r>
        <w:rPr>
          <w:rFonts w:hint="eastAsia" w:cs="Times New Roman"/>
          <w:bCs/>
          <w:szCs w:val="21"/>
        </w:rPr>
        <w:t>万元，工程建设其他费</w:t>
      </w:r>
      <w:r>
        <w:rPr>
          <w:rFonts w:cs="Times New Roman"/>
          <w:bCs/>
          <w:szCs w:val="21"/>
        </w:rPr>
        <w:t>20267.15</w:t>
      </w:r>
      <w:r>
        <w:rPr>
          <w:rFonts w:hint="eastAsia" w:cs="Times New Roman"/>
          <w:bCs/>
          <w:szCs w:val="21"/>
        </w:rPr>
        <w:t>万元，基本预备费</w:t>
      </w:r>
      <w:r>
        <w:rPr>
          <w:rFonts w:cs="Times New Roman"/>
          <w:bCs/>
          <w:szCs w:val="21"/>
        </w:rPr>
        <w:t>17237.41</w:t>
      </w:r>
      <w:r>
        <w:rPr>
          <w:rFonts w:hint="eastAsia" w:cs="Times New Roman"/>
          <w:bCs/>
          <w:szCs w:val="21"/>
        </w:rPr>
        <w:t>万元、</w:t>
      </w:r>
      <w:r>
        <w:rPr>
          <w:rFonts w:hint="eastAsia" w:asciiTheme="minorHAnsi" w:hAnsiTheme="minorHAnsi" w:cstheme="minorHAnsi"/>
          <w:szCs w:val="28"/>
        </w:rPr>
        <w:t>采矿权价款115105.93万元。</w:t>
      </w:r>
    </w:p>
    <w:p w14:paraId="23638DEA">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2</w:t>
      </w:r>
      <w:r>
        <w:rPr>
          <w:rFonts w:hint="eastAsia" w:asciiTheme="minorHAnsi" w:hAnsiTheme="minorHAnsi" w:cstheme="minorHAnsi"/>
          <w:szCs w:val="28"/>
        </w:rPr>
        <w:t>）二期投资概算</w:t>
      </w:r>
    </w:p>
    <w:p w14:paraId="419B15B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彭集项目二期工程投资为：</w:t>
      </w:r>
      <w:r>
        <w:rPr>
          <w:rFonts w:cs="Times New Roman"/>
          <w:szCs w:val="28"/>
        </w:rPr>
        <w:t>87854.64</w:t>
      </w:r>
      <w:r>
        <w:rPr>
          <w:rFonts w:hint="eastAsia" w:asciiTheme="minorHAnsi" w:hAnsiTheme="minorHAnsi" w:cstheme="minorHAnsi"/>
          <w:szCs w:val="28"/>
        </w:rPr>
        <w:t>万元。</w:t>
      </w:r>
    </w:p>
    <w:p w14:paraId="0A02EBB5">
      <w:pPr>
        <w:widowControl/>
        <w:adjustRightInd w:val="0"/>
        <w:snapToGrid w:val="0"/>
        <w:spacing w:line="360" w:lineRule="auto"/>
        <w:ind w:firstLine="560"/>
        <w:rPr>
          <w:rFonts w:asciiTheme="minorHAnsi" w:hAnsiTheme="minorHAnsi" w:cstheme="minorHAnsi"/>
          <w:bCs/>
        </w:rPr>
        <w:sectPr>
          <w:pgSz w:w="11906" w:h="16838"/>
          <w:pgMar w:top="1247" w:right="1304" w:bottom="1134" w:left="1304" w:header="794" w:footer="907" w:gutter="0"/>
          <w:pgNumType w:start="1"/>
          <w:cols w:space="425" w:num="1"/>
          <w:docGrid w:type="lines" w:linePitch="381" w:charSpace="0"/>
        </w:sectPr>
      </w:pPr>
    </w:p>
    <w:p w14:paraId="0BB6E90B">
      <w:pPr>
        <w:pStyle w:val="3"/>
        <w:spacing w:before="190" w:after="190"/>
        <w:rPr>
          <w:rFonts w:asciiTheme="minorHAnsi" w:hAnsiTheme="minorHAnsi" w:cstheme="minorHAnsi"/>
        </w:rPr>
      </w:pPr>
      <w:bookmarkStart w:id="87" w:name="_Toc199426936"/>
      <w:r>
        <w:rPr>
          <w:rFonts w:asciiTheme="minorHAnsi" w:hAnsiTheme="minorHAnsi" w:cstheme="minorHAnsi"/>
        </w:rPr>
        <w:t>3定性定量评价</w:t>
      </w:r>
      <w:bookmarkEnd w:id="87"/>
    </w:p>
    <w:p w14:paraId="031705F8">
      <w:pPr>
        <w:snapToGrid w:val="0"/>
        <w:spacing w:line="360" w:lineRule="auto"/>
        <w:ind w:firstLine="560"/>
        <w:rPr>
          <w:rFonts w:asciiTheme="minorHAnsi" w:hAnsiTheme="minorHAnsi" w:cstheme="minorHAnsi"/>
        </w:rPr>
      </w:pPr>
      <w:r>
        <w:rPr>
          <w:rFonts w:asciiTheme="minorHAnsi" w:hAnsiTheme="minorHAnsi" w:cstheme="minorHAnsi"/>
        </w:rPr>
        <w:t>本章根据有关国家标准规范，利用预先危险性分析法（PHA）、安全检查表法（SCL）、数值计算法等评价方法，按划分的评价单元辨识建设项目潜在的危险、有害因素，分析可能发生的事故类型，预测事故后果严重等级；评价项目建设方案与相关安全生产法律法规、规范标准的符合性；采用定性定量的方法分析评价其安全性及其发生事故后的后果，评价单元划分及评价方法选择如表3-1所示。</w:t>
      </w:r>
    </w:p>
    <w:p w14:paraId="254CACB3">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表3-1评价单元划分及评价方法选择</w:t>
      </w:r>
    </w:p>
    <w:tbl>
      <w:tblPr>
        <w:tblStyle w:val="5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2978"/>
        <w:gridCol w:w="5648"/>
      </w:tblGrid>
      <w:tr w14:paraId="52278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098A0BF3">
            <w:pPr>
              <w:pStyle w:val="67"/>
              <w:ind w:left="-56" w:right="-56"/>
              <w:rPr>
                <w:rFonts w:asciiTheme="minorHAnsi" w:hAnsiTheme="minorHAnsi" w:cstheme="minorHAnsi"/>
                <w:b/>
                <w:bCs/>
              </w:rPr>
            </w:pPr>
            <w:r>
              <w:rPr>
                <w:rFonts w:asciiTheme="minorHAnsi" w:hAnsiTheme="minorHAnsi" w:cstheme="minorHAnsi"/>
                <w:b/>
                <w:bCs/>
              </w:rPr>
              <w:t>序号</w:t>
            </w:r>
          </w:p>
        </w:tc>
        <w:tc>
          <w:tcPr>
            <w:tcW w:w="1565" w:type="pct"/>
            <w:vAlign w:val="center"/>
          </w:tcPr>
          <w:p w14:paraId="0FF9273F">
            <w:pPr>
              <w:pStyle w:val="67"/>
              <w:ind w:left="-56" w:right="-56"/>
              <w:rPr>
                <w:rFonts w:asciiTheme="minorHAnsi" w:hAnsiTheme="minorHAnsi" w:cstheme="minorHAnsi"/>
                <w:b/>
                <w:bCs/>
              </w:rPr>
            </w:pPr>
            <w:r>
              <w:rPr>
                <w:rFonts w:asciiTheme="minorHAnsi" w:hAnsiTheme="minorHAnsi" w:cstheme="minorHAnsi"/>
                <w:b/>
                <w:bCs/>
              </w:rPr>
              <w:t>评价单元</w:t>
            </w:r>
          </w:p>
        </w:tc>
        <w:tc>
          <w:tcPr>
            <w:tcW w:w="2968" w:type="pct"/>
            <w:vAlign w:val="center"/>
          </w:tcPr>
          <w:p w14:paraId="646357AD">
            <w:pPr>
              <w:pStyle w:val="67"/>
              <w:ind w:left="-56" w:right="-56"/>
              <w:rPr>
                <w:rFonts w:asciiTheme="minorHAnsi" w:hAnsiTheme="minorHAnsi" w:cstheme="minorHAnsi"/>
                <w:b/>
                <w:bCs/>
              </w:rPr>
            </w:pPr>
            <w:r>
              <w:rPr>
                <w:rFonts w:asciiTheme="minorHAnsi" w:hAnsiTheme="minorHAnsi" w:cstheme="minorHAnsi"/>
                <w:b/>
                <w:bCs/>
              </w:rPr>
              <w:t>评价方法</w:t>
            </w:r>
          </w:p>
        </w:tc>
      </w:tr>
      <w:tr w14:paraId="2E21B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51506FC2">
            <w:pPr>
              <w:pStyle w:val="67"/>
              <w:ind w:left="-56" w:right="-56"/>
              <w:rPr>
                <w:rFonts w:asciiTheme="minorHAnsi" w:hAnsiTheme="minorHAnsi" w:cstheme="minorHAnsi"/>
              </w:rPr>
            </w:pPr>
            <w:r>
              <w:rPr>
                <w:rFonts w:asciiTheme="minorHAnsi" w:hAnsiTheme="minorHAnsi" w:cstheme="minorHAnsi"/>
              </w:rPr>
              <w:t>1</w:t>
            </w:r>
          </w:p>
        </w:tc>
        <w:tc>
          <w:tcPr>
            <w:tcW w:w="1565" w:type="pct"/>
            <w:vAlign w:val="center"/>
          </w:tcPr>
          <w:p w14:paraId="15DC36ED">
            <w:pPr>
              <w:pStyle w:val="67"/>
              <w:ind w:left="-56" w:right="-56"/>
              <w:rPr>
                <w:rFonts w:asciiTheme="minorHAnsi" w:hAnsiTheme="minorHAnsi" w:cstheme="minorHAnsi"/>
              </w:rPr>
            </w:pPr>
            <w:r>
              <w:rPr>
                <w:rFonts w:asciiTheme="minorHAnsi" w:hAnsiTheme="minorHAnsi" w:cstheme="minorHAnsi"/>
              </w:rPr>
              <w:t>总平面布置单元</w:t>
            </w:r>
          </w:p>
        </w:tc>
        <w:tc>
          <w:tcPr>
            <w:tcW w:w="2968" w:type="pct"/>
            <w:vAlign w:val="center"/>
          </w:tcPr>
          <w:p w14:paraId="3C33E695">
            <w:pPr>
              <w:pStyle w:val="67"/>
              <w:ind w:left="-56" w:right="-56"/>
              <w:rPr>
                <w:rFonts w:asciiTheme="minorHAnsi" w:hAnsiTheme="minorHAnsi" w:cstheme="minorHAnsi"/>
              </w:rPr>
            </w:pPr>
            <w:r>
              <w:rPr>
                <w:rFonts w:asciiTheme="minorHAnsi" w:hAnsiTheme="minorHAnsi" w:cstheme="minorHAnsi"/>
              </w:rPr>
              <w:t>安全检查表法</w:t>
            </w:r>
          </w:p>
        </w:tc>
      </w:tr>
      <w:tr w14:paraId="59C7F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5F51A979">
            <w:pPr>
              <w:pStyle w:val="67"/>
              <w:ind w:left="-56" w:right="-56"/>
              <w:rPr>
                <w:rFonts w:asciiTheme="minorHAnsi" w:hAnsiTheme="minorHAnsi" w:cstheme="minorHAnsi"/>
              </w:rPr>
            </w:pPr>
            <w:r>
              <w:rPr>
                <w:rFonts w:asciiTheme="minorHAnsi" w:hAnsiTheme="minorHAnsi" w:cstheme="minorHAnsi"/>
              </w:rPr>
              <w:t>2</w:t>
            </w:r>
          </w:p>
        </w:tc>
        <w:tc>
          <w:tcPr>
            <w:tcW w:w="1565" w:type="pct"/>
            <w:vAlign w:val="center"/>
          </w:tcPr>
          <w:p w14:paraId="5ADF5D7F">
            <w:pPr>
              <w:pStyle w:val="67"/>
              <w:ind w:left="-56" w:right="-56"/>
              <w:rPr>
                <w:rFonts w:asciiTheme="minorHAnsi" w:hAnsiTheme="minorHAnsi" w:cstheme="minorHAnsi"/>
              </w:rPr>
            </w:pPr>
            <w:r>
              <w:rPr>
                <w:rFonts w:asciiTheme="minorHAnsi" w:hAnsiTheme="minorHAnsi" w:cstheme="minorHAnsi"/>
              </w:rPr>
              <w:t>开拓单元</w:t>
            </w:r>
          </w:p>
        </w:tc>
        <w:tc>
          <w:tcPr>
            <w:tcW w:w="2968" w:type="pct"/>
            <w:vAlign w:val="center"/>
          </w:tcPr>
          <w:p w14:paraId="4612C979">
            <w:pPr>
              <w:pStyle w:val="67"/>
              <w:ind w:left="-56" w:right="-56"/>
              <w:rPr>
                <w:rFonts w:asciiTheme="minorHAnsi" w:hAnsiTheme="minorHAnsi" w:cstheme="minorHAnsi"/>
              </w:rPr>
            </w:pPr>
            <w:r>
              <w:rPr>
                <w:rFonts w:asciiTheme="minorHAnsi" w:hAnsiTheme="minorHAnsi" w:cstheme="minorHAnsi"/>
              </w:rPr>
              <w:t>预先危险性分析法、安全检查表法</w:t>
            </w:r>
          </w:p>
        </w:tc>
      </w:tr>
      <w:tr w14:paraId="3CB43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672FB6A9">
            <w:pPr>
              <w:pStyle w:val="67"/>
              <w:ind w:left="-56" w:right="-56"/>
              <w:rPr>
                <w:rFonts w:asciiTheme="minorHAnsi" w:hAnsiTheme="minorHAnsi" w:cstheme="minorHAnsi"/>
              </w:rPr>
            </w:pPr>
            <w:r>
              <w:rPr>
                <w:rFonts w:asciiTheme="minorHAnsi" w:hAnsiTheme="minorHAnsi" w:cstheme="minorHAnsi"/>
              </w:rPr>
              <w:t>3</w:t>
            </w:r>
          </w:p>
        </w:tc>
        <w:tc>
          <w:tcPr>
            <w:tcW w:w="1565" w:type="pct"/>
            <w:vAlign w:val="center"/>
          </w:tcPr>
          <w:p w14:paraId="2C7F6503">
            <w:pPr>
              <w:pStyle w:val="67"/>
              <w:ind w:left="-56" w:right="-56"/>
              <w:rPr>
                <w:rFonts w:asciiTheme="minorHAnsi" w:hAnsiTheme="minorHAnsi" w:cstheme="minorHAnsi"/>
              </w:rPr>
            </w:pPr>
            <w:r>
              <w:rPr>
                <w:rFonts w:asciiTheme="minorHAnsi" w:hAnsiTheme="minorHAnsi" w:cstheme="minorHAnsi"/>
              </w:rPr>
              <w:t>提升</w:t>
            </w:r>
            <w:r>
              <w:rPr>
                <w:rFonts w:hint="eastAsia" w:asciiTheme="minorHAnsi" w:hAnsiTheme="minorHAnsi" w:cstheme="minorHAnsi"/>
              </w:rPr>
              <w:t>和</w:t>
            </w:r>
            <w:r>
              <w:rPr>
                <w:rFonts w:asciiTheme="minorHAnsi" w:hAnsiTheme="minorHAnsi" w:cstheme="minorHAnsi"/>
              </w:rPr>
              <w:t>运输单元</w:t>
            </w:r>
          </w:p>
        </w:tc>
        <w:tc>
          <w:tcPr>
            <w:tcW w:w="2968" w:type="pct"/>
            <w:vAlign w:val="center"/>
          </w:tcPr>
          <w:p w14:paraId="2E52E1FB">
            <w:pPr>
              <w:pStyle w:val="69"/>
              <w:ind w:left="-56" w:right="-56"/>
              <w:jc w:val="center"/>
              <w:rPr>
                <w:rFonts w:asciiTheme="minorHAnsi" w:hAnsiTheme="minorHAnsi" w:cstheme="minorHAnsi"/>
              </w:rPr>
            </w:pPr>
            <w:r>
              <w:rPr>
                <w:rFonts w:asciiTheme="minorHAnsi" w:hAnsiTheme="minorHAnsi" w:cstheme="minorHAnsi"/>
              </w:rPr>
              <w:t>预先危险性分析法、安全检查表法</w:t>
            </w:r>
          </w:p>
        </w:tc>
      </w:tr>
      <w:tr w14:paraId="3B705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68705986">
            <w:pPr>
              <w:pStyle w:val="67"/>
              <w:ind w:left="-56" w:right="-56"/>
              <w:rPr>
                <w:rFonts w:asciiTheme="minorHAnsi" w:hAnsiTheme="minorHAnsi" w:cstheme="minorHAnsi"/>
              </w:rPr>
            </w:pPr>
            <w:r>
              <w:rPr>
                <w:rFonts w:asciiTheme="minorHAnsi" w:hAnsiTheme="minorHAnsi" w:cstheme="minorHAnsi"/>
              </w:rPr>
              <w:t>4</w:t>
            </w:r>
          </w:p>
        </w:tc>
        <w:tc>
          <w:tcPr>
            <w:tcW w:w="1565" w:type="pct"/>
            <w:vAlign w:val="center"/>
          </w:tcPr>
          <w:p w14:paraId="3927459E">
            <w:pPr>
              <w:pStyle w:val="67"/>
              <w:ind w:left="-56" w:right="-56"/>
              <w:rPr>
                <w:rFonts w:asciiTheme="minorHAnsi" w:hAnsiTheme="minorHAnsi" w:cstheme="minorHAnsi"/>
              </w:rPr>
            </w:pPr>
            <w:r>
              <w:rPr>
                <w:rFonts w:asciiTheme="minorHAnsi" w:hAnsiTheme="minorHAnsi" w:cstheme="minorHAnsi"/>
              </w:rPr>
              <w:t>采</w:t>
            </w:r>
            <w:r>
              <w:rPr>
                <w:rFonts w:hint="eastAsia" w:asciiTheme="minorHAnsi" w:hAnsiTheme="minorHAnsi" w:cstheme="minorHAnsi"/>
              </w:rPr>
              <w:t>掘</w:t>
            </w:r>
            <w:r>
              <w:rPr>
                <w:rFonts w:asciiTheme="minorHAnsi" w:hAnsiTheme="minorHAnsi" w:cstheme="minorHAnsi"/>
              </w:rPr>
              <w:t>单元</w:t>
            </w:r>
          </w:p>
        </w:tc>
        <w:tc>
          <w:tcPr>
            <w:tcW w:w="2968" w:type="pct"/>
            <w:vAlign w:val="center"/>
          </w:tcPr>
          <w:p w14:paraId="32A6935E">
            <w:pPr>
              <w:pStyle w:val="67"/>
              <w:ind w:left="-56" w:right="-56"/>
              <w:rPr>
                <w:rFonts w:asciiTheme="minorHAnsi" w:hAnsiTheme="minorHAnsi" w:cstheme="minorHAnsi"/>
              </w:rPr>
            </w:pPr>
            <w:r>
              <w:rPr>
                <w:rFonts w:asciiTheme="minorHAnsi" w:hAnsiTheme="minorHAnsi" w:cstheme="minorHAnsi"/>
              </w:rPr>
              <w:t>预先危险性分析法、安全检查表法、数值计算法</w:t>
            </w:r>
          </w:p>
        </w:tc>
      </w:tr>
      <w:tr w14:paraId="1214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2E99ADCC">
            <w:pPr>
              <w:pStyle w:val="67"/>
              <w:ind w:left="-56" w:right="-56"/>
              <w:rPr>
                <w:rFonts w:asciiTheme="minorHAnsi" w:hAnsiTheme="minorHAnsi" w:cstheme="minorHAnsi"/>
              </w:rPr>
            </w:pPr>
            <w:r>
              <w:rPr>
                <w:rFonts w:asciiTheme="minorHAnsi" w:hAnsiTheme="minorHAnsi" w:cstheme="minorHAnsi"/>
              </w:rPr>
              <w:t>5</w:t>
            </w:r>
          </w:p>
        </w:tc>
        <w:tc>
          <w:tcPr>
            <w:tcW w:w="1565" w:type="pct"/>
            <w:vAlign w:val="center"/>
          </w:tcPr>
          <w:p w14:paraId="58AD44F2">
            <w:pPr>
              <w:pStyle w:val="67"/>
              <w:ind w:left="-56" w:right="-56"/>
              <w:rPr>
                <w:rFonts w:asciiTheme="minorHAnsi" w:hAnsiTheme="minorHAnsi" w:cstheme="minorHAnsi"/>
              </w:rPr>
            </w:pPr>
            <w:r>
              <w:rPr>
                <w:rFonts w:hint="eastAsia" w:asciiTheme="minorHAnsi" w:hAnsiTheme="minorHAnsi" w:cstheme="minorHAnsi"/>
              </w:rPr>
              <w:t>充填单元</w:t>
            </w:r>
          </w:p>
        </w:tc>
        <w:tc>
          <w:tcPr>
            <w:tcW w:w="2968" w:type="pct"/>
            <w:vAlign w:val="center"/>
          </w:tcPr>
          <w:p w14:paraId="0A3AEFF4">
            <w:pPr>
              <w:pStyle w:val="67"/>
              <w:ind w:left="-56" w:right="-56"/>
              <w:rPr>
                <w:rFonts w:asciiTheme="minorHAnsi" w:hAnsiTheme="minorHAnsi" w:cstheme="minorHAnsi"/>
              </w:rPr>
            </w:pPr>
            <w:r>
              <w:rPr>
                <w:rFonts w:hint="eastAsia" w:asciiTheme="minorHAnsi" w:hAnsiTheme="minorHAnsi" w:cstheme="minorHAnsi"/>
              </w:rPr>
              <w:t>安全检查法</w:t>
            </w:r>
          </w:p>
        </w:tc>
      </w:tr>
      <w:tr w14:paraId="2DE2B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5FA93AE0">
            <w:pPr>
              <w:pStyle w:val="67"/>
              <w:ind w:left="-56" w:right="-56"/>
              <w:rPr>
                <w:rFonts w:asciiTheme="minorHAnsi" w:hAnsiTheme="minorHAnsi" w:cstheme="minorHAnsi"/>
              </w:rPr>
            </w:pPr>
            <w:r>
              <w:rPr>
                <w:rFonts w:asciiTheme="minorHAnsi" w:hAnsiTheme="minorHAnsi" w:cstheme="minorHAnsi"/>
              </w:rPr>
              <w:t>6</w:t>
            </w:r>
          </w:p>
        </w:tc>
        <w:tc>
          <w:tcPr>
            <w:tcW w:w="1565" w:type="pct"/>
            <w:vAlign w:val="center"/>
          </w:tcPr>
          <w:p w14:paraId="7A447F9C">
            <w:pPr>
              <w:pStyle w:val="67"/>
              <w:ind w:left="-56" w:right="-56"/>
              <w:rPr>
                <w:rFonts w:asciiTheme="minorHAnsi" w:hAnsiTheme="minorHAnsi" w:cstheme="minorHAnsi"/>
              </w:rPr>
            </w:pPr>
            <w:r>
              <w:rPr>
                <w:rFonts w:asciiTheme="minorHAnsi" w:hAnsiTheme="minorHAnsi" w:cstheme="minorHAnsi"/>
              </w:rPr>
              <w:t>通风单元</w:t>
            </w:r>
          </w:p>
        </w:tc>
        <w:tc>
          <w:tcPr>
            <w:tcW w:w="2968" w:type="pct"/>
            <w:vAlign w:val="center"/>
          </w:tcPr>
          <w:p w14:paraId="30E07484">
            <w:pPr>
              <w:pStyle w:val="67"/>
              <w:ind w:left="-56" w:right="-56"/>
              <w:rPr>
                <w:rFonts w:asciiTheme="minorHAnsi" w:hAnsiTheme="minorHAnsi" w:cstheme="minorHAnsi"/>
              </w:rPr>
            </w:pPr>
            <w:r>
              <w:rPr>
                <w:rFonts w:asciiTheme="minorHAnsi" w:hAnsiTheme="minorHAnsi" w:cstheme="minorHAnsi"/>
              </w:rPr>
              <w:t>预先危险性分析法、安全检查表法</w:t>
            </w:r>
          </w:p>
        </w:tc>
      </w:tr>
      <w:tr w14:paraId="13AF8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6D3B6BE7">
            <w:pPr>
              <w:pStyle w:val="67"/>
              <w:ind w:left="-56" w:right="-56"/>
              <w:rPr>
                <w:rFonts w:asciiTheme="minorHAnsi" w:hAnsiTheme="minorHAnsi" w:cstheme="minorHAnsi"/>
              </w:rPr>
            </w:pPr>
            <w:r>
              <w:rPr>
                <w:rFonts w:asciiTheme="minorHAnsi" w:hAnsiTheme="minorHAnsi" w:cstheme="minorHAnsi"/>
              </w:rPr>
              <w:t>7</w:t>
            </w:r>
          </w:p>
        </w:tc>
        <w:tc>
          <w:tcPr>
            <w:tcW w:w="1565" w:type="pct"/>
            <w:vAlign w:val="center"/>
          </w:tcPr>
          <w:p w14:paraId="1BA76931">
            <w:pPr>
              <w:pStyle w:val="67"/>
              <w:ind w:left="-56" w:right="-56"/>
              <w:rPr>
                <w:rFonts w:asciiTheme="minorHAnsi" w:hAnsiTheme="minorHAnsi" w:cstheme="minorHAnsi"/>
              </w:rPr>
            </w:pPr>
            <w:r>
              <w:rPr>
                <w:rFonts w:asciiTheme="minorHAnsi" w:hAnsiTheme="minorHAnsi" w:cstheme="minorHAnsi"/>
              </w:rPr>
              <w:t>防排水与防灭火单元</w:t>
            </w:r>
          </w:p>
        </w:tc>
        <w:tc>
          <w:tcPr>
            <w:tcW w:w="2968" w:type="pct"/>
            <w:vAlign w:val="center"/>
          </w:tcPr>
          <w:p w14:paraId="007B426A">
            <w:pPr>
              <w:pStyle w:val="67"/>
              <w:ind w:left="-56" w:right="-56"/>
              <w:rPr>
                <w:rFonts w:asciiTheme="minorHAnsi" w:hAnsiTheme="minorHAnsi" w:cstheme="minorHAnsi"/>
              </w:rPr>
            </w:pPr>
            <w:r>
              <w:rPr>
                <w:rFonts w:asciiTheme="minorHAnsi" w:hAnsiTheme="minorHAnsi" w:cstheme="minorHAnsi"/>
              </w:rPr>
              <w:t>预先危险性分析法、安全检查表法</w:t>
            </w:r>
          </w:p>
        </w:tc>
      </w:tr>
      <w:tr w14:paraId="2E001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4FBAF929">
            <w:pPr>
              <w:pStyle w:val="67"/>
              <w:ind w:left="-56" w:right="-56"/>
              <w:rPr>
                <w:rFonts w:asciiTheme="minorHAnsi" w:hAnsiTheme="minorHAnsi" w:cstheme="minorHAnsi"/>
              </w:rPr>
            </w:pPr>
            <w:r>
              <w:rPr>
                <w:rFonts w:asciiTheme="minorHAnsi" w:hAnsiTheme="minorHAnsi" w:cstheme="minorHAnsi"/>
              </w:rPr>
              <w:t>8</w:t>
            </w:r>
          </w:p>
        </w:tc>
        <w:tc>
          <w:tcPr>
            <w:tcW w:w="1565" w:type="pct"/>
            <w:vAlign w:val="center"/>
          </w:tcPr>
          <w:p w14:paraId="52F5818F">
            <w:pPr>
              <w:pStyle w:val="67"/>
              <w:ind w:left="-56" w:right="-56"/>
              <w:rPr>
                <w:rFonts w:asciiTheme="minorHAnsi" w:hAnsiTheme="minorHAnsi" w:cstheme="minorHAnsi"/>
              </w:rPr>
            </w:pPr>
            <w:bookmarkStart w:id="88" w:name="_Hlk198754832"/>
            <w:r>
              <w:rPr>
                <w:rFonts w:hint="eastAsia" w:asciiTheme="minorHAnsi" w:hAnsiTheme="minorHAnsi" w:cstheme="minorHAnsi"/>
              </w:rPr>
              <w:t>安全避险“六大系统”</w:t>
            </w:r>
            <w:r>
              <w:rPr>
                <w:rFonts w:asciiTheme="minorHAnsi" w:hAnsiTheme="minorHAnsi" w:cstheme="minorHAnsi"/>
              </w:rPr>
              <w:t>单元</w:t>
            </w:r>
            <w:bookmarkEnd w:id="88"/>
          </w:p>
        </w:tc>
        <w:tc>
          <w:tcPr>
            <w:tcW w:w="2968" w:type="pct"/>
            <w:vAlign w:val="center"/>
          </w:tcPr>
          <w:p w14:paraId="2F781D12">
            <w:pPr>
              <w:pStyle w:val="67"/>
              <w:ind w:left="-56" w:right="-56"/>
              <w:rPr>
                <w:rFonts w:asciiTheme="minorHAnsi" w:hAnsiTheme="minorHAnsi" w:cstheme="minorHAnsi"/>
              </w:rPr>
            </w:pPr>
            <w:r>
              <w:rPr>
                <w:rFonts w:asciiTheme="minorHAnsi" w:hAnsiTheme="minorHAnsi" w:cstheme="minorHAnsi"/>
              </w:rPr>
              <w:t>安全检查表法</w:t>
            </w:r>
          </w:p>
        </w:tc>
      </w:tr>
      <w:tr w14:paraId="34C17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54B3F6BC">
            <w:pPr>
              <w:pStyle w:val="67"/>
              <w:ind w:left="-56" w:right="-56"/>
              <w:rPr>
                <w:rFonts w:asciiTheme="minorHAnsi" w:hAnsiTheme="minorHAnsi" w:cstheme="minorHAnsi"/>
              </w:rPr>
            </w:pPr>
            <w:r>
              <w:rPr>
                <w:rFonts w:asciiTheme="minorHAnsi" w:hAnsiTheme="minorHAnsi" w:cstheme="minorHAnsi"/>
              </w:rPr>
              <w:t>9</w:t>
            </w:r>
          </w:p>
        </w:tc>
        <w:tc>
          <w:tcPr>
            <w:tcW w:w="1565" w:type="pct"/>
            <w:vAlign w:val="center"/>
          </w:tcPr>
          <w:p w14:paraId="170D7EAA">
            <w:pPr>
              <w:pStyle w:val="67"/>
              <w:ind w:left="-56" w:right="-56"/>
              <w:rPr>
                <w:rFonts w:asciiTheme="minorHAnsi" w:hAnsiTheme="minorHAnsi" w:cstheme="minorHAnsi"/>
              </w:rPr>
            </w:pPr>
            <w:r>
              <w:rPr>
                <w:rFonts w:asciiTheme="minorHAnsi" w:hAnsiTheme="minorHAnsi" w:cstheme="minorHAnsi"/>
              </w:rPr>
              <w:t>矿山供配电设施单元</w:t>
            </w:r>
          </w:p>
        </w:tc>
        <w:tc>
          <w:tcPr>
            <w:tcW w:w="2968" w:type="pct"/>
            <w:vAlign w:val="center"/>
          </w:tcPr>
          <w:p w14:paraId="7BC0F69A">
            <w:pPr>
              <w:pStyle w:val="67"/>
              <w:ind w:left="-56" w:right="-56"/>
              <w:rPr>
                <w:rFonts w:asciiTheme="minorHAnsi" w:hAnsiTheme="minorHAnsi" w:cstheme="minorHAnsi"/>
              </w:rPr>
            </w:pPr>
            <w:r>
              <w:rPr>
                <w:rFonts w:asciiTheme="minorHAnsi" w:hAnsiTheme="minorHAnsi" w:cstheme="minorHAnsi"/>
              </w:rPr>
              <w:t>预先危险性分析法、安全检查表法</w:t>
            </w:r>
          </w:p>
        </w:tc>
      </w:tr>
      <w:tr w14:paraId="6DB10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7C0B7022">
            <w:pPr>
              <w:pStyle w:val="67"/>
              <w:ind w:left="-56" w:right="-56"/>
              <w:rPr>
                <w:rFonts w:asciiTheme="minorHAnsi" w:hAnsiTheme="minorHAnsi" w:cstheme="minorHAnsi"/>
              </w:rPr>
            </w:pPr>
            <w:r>
              <w:rPr>
                <w:rFonts w:asciiTheme="minorHAnsi" w:hAnsiTheme="minorHAnsi" w:cstheme="minorHAnsi"/>
              </w:rPr>
              <w:t>10</w:t>
            </w:r>
          </w:p>
        </w:tc>
        <w:tc>
          <w:tcPr>
            <w:tcW w:w="1565" w:type="pct"/>
            <w:vAlign w:val="center"/>
          </w:tcPr>
          <w:p w14:paraId="5DD9D4C4">
            <w:pPr>
              <w:pStyle w:val="67"/>
              <w:ind w:left="-56" w:right="-56"/>
              <w:rPr>
                <w:rFonts w:asciiTheme="minorHAnsi" w:hAnsiTheme="minorHAnsi" w:cstheme="minorHAnsi"/>
              </w:rPr>
            </w:pPr>
            <w:r>
              <w:rPr>
                <w:rFonts w:asciiTheme="minorHAnsi" w:hAnsiTheme="minorHAnsi" w:cstheme="minorHAnsi"/>
              </w:rPr>
              <w:t>安全管理单元</w:t>
            </w:r>
          </w:p>
        </w:tc>
        <w:tc>
          <w:tcPr>
            <w:tcW w:w="2968" w:type="pct"/>
            <w:vAlign w:val="center"/>
          </w:tcPr>
          <w:p w14:paraId="08C44C55">
            <w:pPr>
              <w:pStyle w:val="67"/>
              <w:ind w:left="-56" w:right="-56"/>
              <w:rPr>
                <w:rFonts w:asciiTheme="minorHAnsi" w:hAnsiTheme="minorHAnsi" w:cstheme="minorHAnsi"/>
              </w:rPr>
            </w:pPr>
            <w:r>
              <w:rPr>
                <w:rFonts w:asciiTheme="minorHAnsi" w:hAnsiTheme="minorHAnsi" w:cstheme="minorHAnsi"/>
              </w:rPr>
              <w:t>安全检查表法</w:t>
            </w:r>
          </w:p>
        </w:tc>
      </w:tr>
      <w:tr w14:paraId="001A4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14:paraId="3B4AFB35">
            <w:pPr>
              <w:pStyle w:val="67"/>
              <w:ind w:left="-56" w:right="-56"/>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1</w:t>
            </w:r>
          </w:p>
        </w:tc>
        <w:tc>
          <w:tcPr>
            <w:tcW w:w="1565" w:type="pct"/>
            <w:vAlign w:val="center"/>
          </w:tcPr>
          <w:p w14:paraId="4693EE41">
            <w:pPr>
              <w:pStyle w:val="67"/>
              <w:ind w:left="-56" w:right="-56"/>
              <w:rPr>
                <w:rFonts w:asciiTheme="minorHAnsi" w:hAnsiTheme="minorHAnsi" w:cstheme="minorHAnsi"/>
              </w:rPr>
            </w:pPr>
            <w:r>
              <w:rPr>
                <w:rFonts w:asciiTheme="minorHAnsi" w:hAnsiTheme="minorHAnsi" w:cstheme="minorHAnsi"/>
              </w:rPr>
              <w:t>重大危险源辨识单元</w:t>
            </w:r>
          </w:p>
        </w:tc>
        <w:tc>
          <w:tcPr>
            <w:tcW w:w="2968" w:type="pct"/>
            <w:vAlign w:val="center"/>
          </w:tcPr>
          <w:p w14:paraId="342810D3">
            <w:pPr>
              <w:pStyle w:val="67"/>
              <w:ind w:left="-56" w:right="-56"/>
              <w:rPr>
                <w:rFonts w:asciiTheme="minorHAnsi" w:hAnsiTheme="minorHAnsi" w:cstheme="minorHAnsi"/>
              </w:rPr>
            </w:pPr>
          </w:p>
        </w:tc>
      </w:tr>
    </w:tbl>
    <w:p w14:paraId="0B225E09">
      <w:pPr>
        <w:snapToGrid w:val="0"/>
        <w:spacing w:line="360" w:lineRule="auto"/>
        <w:ind w:firstLine="562"/>
        <w:rPr>
          <w:rFonts w:asciiTheme="minorHAnsi" w:hAnsiTheme="minorHAnsi" w:cstheme="minorHAnsi"/>
          <w:b/>
          <w:bCs/>
        </w:rPr>
      </w:pPr>
      <w:r>
        <w:rPr>
          <w:rFonts w:asciiTheme="minorHAnsi" w:hAnsiTheme="minorHAnsi" w:cstheme="minorHAnsi"/>
          <w:b/>
          <w:bCs/>
        </w:rPr>
        <w:t>评价方法简介：</w:t>
      </w:r>
    </w:p>
    <w:p w14:paraId="407E37FE">
      <w:pPr>
        <w:snapToGrid w:val="0"/>
        <w:spacing w:line="360" w:lineRule="auto"/>
        <w:ind w:firstLine="560"/>
        <w:rPr>
          <w:rFonts w:asciiTheme="minorHAnsi" w:hAnsiTheme="minorHAnsi" w:cstheme="minorHAnsi"/>
        </w:rPr>
      </w:pPr>
      <w:r>
        <w:rPr>
          <w:rFonts w:asciiTheme="minorHAnsi" w:hAnsiTheme="minorHAnsi" w:cstheme="minorHAnsi"/>
        </w:rPr>
        <w:t>（1）预先危险性分析</w:t>
      </w:r>
      <w:r>
        <w:rPr>
          <w:rFonts w:hint="eastAsia" w:asciiTheme="minorHAnsi" w:hAnsiTheme="minorHAnsi" w:cstheme="minorHAnsi"/>
        </w:rPr>
        <w:t>法</w:t>
      </w:r>
    </w:p>
    <w:p w14:paraId="4536E062">
      <w:pPr>
        <w:snapToGrid w:val="0"/>
        <w:spacing w:line="360" w:lineRule="auto"/>
        <w:ind w:firstLine="560"/>
        <w:rPr>
          <w:rFonts w:asciiTheme="minorHAnsi" w:hAnsiTheme="minorHAnsi" w:cstheme="minorHAnsi"/>
        </w:rPr>
      </w:pPr>
      <w:r>
        <w:rPr>
          <w:rFonts w:asciiTheme="minorHAnsi" w:hAnsiTheme="minorHAnsi" w:cstheme="minorHAnsi"/>
        </w:rPr>
        <w:t>预先危险性分析法是在进行某项工程活动之前，对系统中存在的各种危险因素、触发条件和事故可能导致的后果进行宏观和概略分析的系统安全分析方法，属于定性评价。其目的是早期发现系统的潜在危险因素，确定系统的危险等级，提出相应的防范措施。</w:t>
      </w:r>
    </w:p>
    <w:p w14:paraId="654AE757">
      <w:pPr>
        <w:snapToGrid w:val="0"/>
        <w:spacing w:line="360" w:lineRule="auto"/>
        <w:ind w:firstLine="560"/>
        <w:rPr>
          <w:rFonts w:asciiTheme="minorHAnsi" w:hAnsiTheme="minorHAnsi" w:cstheme="minorHAnsi"/>
        </w:rPr>
      </w:pPr>
      <w:r>
        <w:rPr>
          <w:rFonts w:asciiTheme="minorHAnsi" w:hAnsiTheme="minorHAnsi" w:cstheme="minorHAnsi"/>
        </w:rPr>
        <w:t>通过预先危险分析（PHA），力求达到以下4个目的：</w:t>
      </w:r>
      <w:r>
        <w:rPr>
          <w:rFonts w:hint="eastAsia" w:ascii="宋体" w:hAnsi="宋体" w:cs="宋体"/>
        </w:rPr>
        <w:t>①</w:t>
      </w:r>
      <w:r>
        <w:rPr>
          <w:rFonts w:asciiTheme="minorHAnsi" w:hAnsiTheme="minorHAnsi" w:cstheme="minorHAnsi"/>
        </w:rPr>
        <w:t>大体识别与系统有关的主要危险；</w:t>
      </w:r>
      <w:r>
        <w:rPr>
          <w:rFonts w:hint="eastAsia" w:ascii="宋体" w:hAnsi="宋体" w:cs="宋体"/>
        </w:rPr>
        <w:t>②</w:t>
      </w:r>
      <w:r>
        <w:rPr>
          <w:rFonts w:asciiTheme="minorHAnsi" w:hAnsiTheme="minorHAnsi" w:cstheme="minorHAnsi"/>
        </w:rPr>
        <w:t>鉴别产生危险的原因；</w:t>
      </w:r>
      <w:r>
        <w:rPr>
          <w:rFonts w:hint="eastAsia" w:ascii="宋体" w:hAnsi="宋体" w:cs="宋体"/>
        </w:rPr>
        <w:t>③</w:t>
      </w:r>
      <w:r>
        <w:rPr>
          <w:rFonts w:asciiTheme="minorHAnsi" w:hAnsiTheme="minorHAnsi" w:cstheme="minorHAnsi"/>
        </w:rPr>
        <w:t>预测事故出现对人体及系统产生的影响；</w:t>
      </w:r>
      <w:r>
        <w:rPr>
          <w:rFonts w:hint="eastAsia" w:ascii="宋体" w:hAnsi="宋体" w:cs="宋体"/>
        </w:rPr>
        <w:t>④</w:t>
      </w:r>
      <w:r>
        <w:rPr>
          <w:rFonts w:asciiTheme="minorHAnsi" w:hAnsiTheme="minorHAnsi" w:cstheme="minorHAnsi"/>
        </w:rPr>
        <w:t>判定已识别的危险性等级，并提出消除或控制危险性的措施。</w:t>
      </w:r>
    </w:p>
    <w:p w14:paraId="0599E959">
      <w:pPr>
        <w:snapToGrid w:val="0"/>
        <w:spacing w:line="360" w:lineRule="auto"/>
        <w:ind w:firstLine="560"/>
        <w:rPr>
          <w:rFonts w:asciiTheme="minorHAnsi" w:hAnsiTheme="minorHAnsi" w:cstheme="minorHAnsi"/>
        </w:rPr>
      </w:pPr>
      <w:r>
        <w:rPr>
          <w:rFonts w:asciiTheme="minorHAnsi" w:hAnsiTheme="minorHAnsi" w:cstheme="minorHAnsi"/>
        </w:rPr>
        <w:t>在分析系统危险性时，为了衡量危险性的大小及其对系统破坏程度，将各类危险性划分为4个等级，见表3-2。</w:t>
      </w:r>
    </w:p>
    <w:p w14:paraId="7C99AEA8">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表3-2危险性等级划分表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365"/>
        <w:gridCol w:w="6195"/>
      </w:tblGrid>
      <w:tr w14:paraId="4B3F9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Align w:val="center"/>
          </w:tcPr>
          <w:p w14:paraId="2ECE4D22">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级别</w:t>
            </w:r>
          </w:p>
        </w:tc>
        <w:tc>
          <w:tcPr>
            <w:tcW w:w="1365" w:type="dxa"/>
            <w:vAlign w:val="center"/>
          </w:tcPr>
          <w:p w14:paraId="3B71CC9F">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危险程度</w:t>
            </w:r>
          </w:p>
        </w:tc>
        <w:tc>
          <w:tcPr>
            <w:tcW w:w="6195" w:type="dxa"/>
            <w:vAlign w:val="center"/>
          </w:tcPr>
          <w:p w14:paraId="17C3BD3E">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可能导致的后果</w:t>
            </w:r>
          </w:p>
        </w:tc>
      </w:tr>
      <w:tr w14:paraId="1C6D9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45" w:type="dxa"/>
            <w:vAlign w:val="center"/>
          </w:tcPr>
          <w:p w14:paraId="62E848D4">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Ⅰ</w:t>
            </w:r>
          </w:p>
        </w:tc>
        <w:tc>
          <w:tcPr>
            <w:tcW w:w="1365" w:type="dxa"/>
            <w:vAlign w:val="center"/>
          </w:tcPr>
          <w:p w14:paraId="043ECA28">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安全的</w:t>
            </w:r>
          </w:p>
        </w:tc>
        <w:tc>
          <w:tcPr>
            <w:tcW w:w="6195" w:type="dxa"/>
            <w:vAlign w:val="center"/>
          </w:tcPr>
          <w:p w14:paraId="77DE0B89">
            <w:pPr>
              <w:snapToGrid w:val="0"/>
              <w:spacing w:line="240" w:lineRule="auto"/>
              <w:ind w:firstLine="0" w:firstLineChars="0"/>
              <w:jc w:val="left"/>
              <w:rPr>
                <w:rFonts w:asciiTheme="minorHAnsi" w:hAnsiTheme="minorHAnsi" w:cstheme="minorHAnsi"/>
                <w:sz w:val="22"/>
                <w:szCs w:val="18"/>
              </w:rPr>
            </w:pPr>
            <w:r>
              <w:rPr>
                <w:rFonts w:asciiTheme="minorHAnsi" w:hAnsiTheme="minorHAnsi" w:cstheme="minorHAnsi"/>
                <w:sz w:val="22"/>
                <w:szCs w:val="18"/>
              </w:rPr>
              <w:t>不会造成人员伤亡及系统损坏</w:t>
            </w:r>
          </w:p>
        </w:tc>
      </w:tr>
      <w:tr w14:paraId="162AB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Align w:val="center"/>
          </w:tcPr>
          <w:p w14:paraId="3260FEE0">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Ⅱ</w:t>
            </w:r>
          </w:p>
        </w:tc>
        <w:tc>
          <w:tcPr>
            <w:tcW w:w="1365" w:type="dxa"/>
            <w:vAlign w:val="center"/>
          </w:tcPr>
          <w:p w14:paraId="4E1EA899">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临界的</w:t>
            </w:r>
          </w:p>
        </w:tc>
        <w:tc>
          <w:tcPr>
            <w:tcW w:w="6195" w:type="dxa"/>
            <w:vAlign w:val="center"/>
          </w:tcPr>
          <w:p w14:paraId="0936CB87">
            <w:pPr>
              <w:snapToGrid w:val="0"/>
              <w:spacing w:line="240" w:lineRule="auto"/>
              <w:ind w:firstLine="0" w:firstLineChars="0"/>
              <w:jc w:val="left"/>
              <w:rPr>
                <w:rFonts w:asciiTheme="minorHAnsi" w:hAnsiTheme="minorHAnsi" w:cstheme="minorHAnsi"/>
                <w:sz w:val="22"/>
                <w:szCs w:val="18"/>
              </w:rPr>
            </w:pPr>
            <w:r>
              <w:rPr>
                <w:rFonts w:asciiTheme="minorHAnsi" w:hAnsiTheme="minorHAnsi" w:cstheme="minorHAnsi"/>
                <w:sz w:val="22"/>
                <w:szCs w:val="18"/>
              </w:rPr>
              <w:t>处于事故的边缘状态，暂时还不至于造成人员伤亡、系统损坏可降低系统性能，但应予以排除或采取控制措施</w:t>
            </w:r>
          </w:p>
        </w:tc>
      </w:tr>
      <w:tr w14:paraId="580FC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Align w:val="center"/>
          </w:tcPr>
          <w:p w14:paraId="0046A25C">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Ⅲ</w:t>
            </w:r>
          </w:p>
        </w:tc>
        <w:tc>
          <w:tcPr>
            <w:tcW w:w="1365" w:type="dxa"/>
            <w:vAlign w:val="center"/>
          </w:tcPr>
          <w:p w14:paraId="30CF5E2B">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危险的</w:t>
            </w:r>
          </w:p>
        </w:tc>
        <w:tc>
          <w:tcPr>
            <w:tcW w:w="6195" w:type="dxa"/>
            <w:vAlign w:val="center"/>
          </w:tcPr>
          <w:p w14:paraId="1E5C5AB0">
            <w:pPr>
              <w:snapToGrid w:val="0"/>
              <w:spacing w:line="240" w:lineRule="auto"/>
              <w:ind w:firstLine="0" w:firstLineChars="0"/>
              <w:jc w:val="left"/>
              <w:rPr>
                <w:rFonts w:asciiTheme="minorHAnsi" w:hAnsiTheme="minorHAnsi" w:cstheme="minorHAnsi"/>
                <w:sz w:val="22"/>
                <w:szCs w:val="18"/>
              </w:rPr>
            </w:pPr>
            <w:r>
              <w:rPr>
                <w:rFonts w:asciiTheme="minorHAnsi" w:hAnsiTheme="minorHAnsi" w:cstheme="minorHAnsi"/>
                <w:sz w:val="22"/>
                <w:szCs w:val="18"/>
              </w:rPr>
              <w:t>会造成人员伤亡和系统损坏，要立即采取防范对策措施</w:t>
            </w:r>
          </w:p>
        </w:tc>
      </w:tr>
      <w:tr w14:paraId="6FA9B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Align w:val="center"/>
          </w:tcPr>
          <w:p w14:paraId="6FC1E8ED">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Ⅳ</w:t>
            </w:r>
          </w:p>
        </w:tc>
        <w:tc>
          <w:tcPr>
            <w:tcW w:w="1365" w:type="dxa"/>
            <w:vAlign w:val="center"/>
          </w:tcPr>
          <w:p w14:paraId="7D11D045">
            <w:pPr>
              <w:snapToGrid w:val="0"/>
              <w:spacing w:line="240" w:lineRule="auto"/>
              <w:ind w:firstLine="0" w:firstLineChars="0"/>
              <w:jc w:val="center"/>
              <w:rPr>
                <w:rFonts w:asciiTheme="minorHAnsi" w:hAnsiTheme="minorHAnsi" w:cstheme="minorHAnsi"/>
                <w:sz w:val="22"/>
                <w:szCs w:val="18"/>
              </w:rPr>
            </w:pPr>
            <w:r>
              <w:rPr>
                <w:rFonts w:asciiTheme="minorHAnsi" w:hAnsiTheme="minorHAnsi" w:cstheme="minorHAnsi"/>
                <w:sz w:val="22"/>
                <w:szCs w:val="18"/>
              </w:rPr>
              <w:t>灾难性的</w:t>
            </w:r>
          </w:p>
        </w:tc>
        <w:tc>
          <w:tcPr>
            <w:tcW w:w="6195" w:type="dxa"/>
            <w:vAlign w:val="center"/>
          </w:tcPr>
          <w:p w14:paraId="2F6FD0CB">
            <w:pPr>
              <w:snapToGrid w:val="0"/>
              <w:spacing w:line="240" w:lineRule="auto"/>
              <w:ind w:firstLine="0" w:firstLineChars="0"/>
              <w:jc w:val="left"/>
              <w:rPr>
                <w:rFonts w:asciiTheme="minorHAnsi" w:hAnsiTheme="minorHAnsi" w:cstheme="minorHAnsi"/>
                <w:sz w:val="22"/>
                <w:szCs w:val="18"/>
              </w:rPr>
            </w:pPr>
            <w:r>
              <w:rPr>
                <w:rFonts w:asciiTheme="minorHAnsi" w:hAnsiTheme="minorHAnsi" w:cstheme="minorHAnsi"/>
                <w:sz w:val="22"/>
                <w:szCs w:val="18"/>
              </w:rPr>
              <w:t>造成人员重大伤亡及系统严重破坏的灾难性事故，必须予以果断排除并进行重点防范</w:t>
            </w:r>
          </w:p>
        </w:tc>
      </w:tr>
    </w:tbl>
    <w:p w14:paraId="5D68DBB8">
      <w:pPr>
        <w:snapToGrid w:val="0"/>
        <w:spacing w:line="360" w:lineRule="auto"/>
        <w:ind w:firstLine="560"/>
        <w:rPr>
          <w:rFonts w:asciiTheme="minorHAnsi" w:hAnsiTheme="minorHAnsi" w:cstheme="minorHAnsi"/>
        </w:rPr>
      </w:pPr>
    </w:p>
    <w:p w14:paraId="1AC21529">
      <w:pPr>
        <w:snapToGrid w:val="0"/>
        <w:spacing w:line="360" w:lineRule="auto"/>
        <w:ind w:firstLine="560"/>
        <w:rPr>
          <w:rFonts w:asciiTheme="minorHAnsi" w:hAnsiTheme="minorHAnsi" w:cstheme="minorHAnsi"/>
        </w:rPr>
      </w:pPr>
      <w:r>
        <w:rPr>
          <w:rFonts w:asciiTheme="minorHAnsi" w:hAnsiTheme="minorHAnsi" w:cstheme="minorHAnsi"/>
        </w:rPr>
        <w:t>（2）安全检查表</w:t>
      </w:r>
      <w:r>
        <w:rPr>
          <w:rFonts w:hint="eastAsia" w:asciiTheme="minorHAnsi" w:hAnsiTheme="minorHAnsi" w:cstheme="minorHAnsi"/>
        </w:rPr>
        <w:t>法</w:t>
      </w:r>
    </w:p>
    <w:p w14:paraId="22B28E47">
      <w:pPr>
        <w:snapToGrid w:val="0"/>
        <w:spacing w:line="360" w:lineRule="auto"/>
        <w:ind w:firstLine="560"/>
        <w:rPr>
          <w:rFonts w:asciiTheme="minorHAnsi" w:hAnsiTheme="minorHAnsi" w:cstheme="minorHAnsi"/>
        </w:rPr>
      </w:pPr>
      <w:r>
        <w:rPr>
          <w:rFonts w:asciiTheme="minorHAnsi" w:hAnsiTheme="minorHAnsi" w:cstheme="minorHAnsi"/>
        </w:rPr>
        <w:t>安全检查表</w:t>
      </w:r>
      <w:r>
        <w:rPr>
          <w:rFonts w:hint="eastAsia" w:asciiTheme="minorHAnsi" w:hAnsiTheme="minorHAnsi" w:cstheme="minorHAnsi"/>
        </w:rPr>
        <w:t>法</w:t>
      </w:r>
      <w:r>
        <w:rPr>
          <w:rFonts w:asciiTheme="minorHAnsi" w:hAnsiTheme="minorHAnsi" w:cstheme="minorHAnsi"/>
        </w:rPr>
        <w:t>是将一系列分析项目列出检查表进行分析以确定系统的状态，这些项目包括设备、贮运、操作、管理等各个方面。依据对某些位置区域危险、有害因素的分析结果，以相关的设计规范标准、法规及规程和规定的要求，结合以往的实践经验和教训，用安全检查表分析、预测可行性研究、工程设计、施工、运行及检修中可能存在的隐患和危险、有害因素，提出防患于未然的防灾、减灾对策措施。</w:t>
      </w:r>
    </w:p>
    <w:p w14:paraId="3708FF1A">
      <w:pPr>
        <w:pStyle w:val="4"/>
        <w:spacing w:before="190" w:after="190" w:line="360" w:lineRule="exact"/>
        <w:rPr>
          <w:rFonts w:asciiTheme="minorHAnsi" w:hAnsiTheme="minorHAnsi" w:cstheme="minorHAnsi"/>
        </w:rPr>
      </w:pPr>
      <w:bookmarkStart w:id="89" w:name="_Toc199426937"/>
      <w:r>
        <w:rPr>
          <w:rFonts w:asciiTheme="minorHAnsi" w:hAnsiTheme="minorHAnsi" w:cstheme="minorHAnsi"/>
        </w:rPr>
        <w:t>3.1总平面布置单元</w:t>
      </w:r>
      <w:bookmarkEnd w:id="89"/>
    </w:p>
    <w:p w14:paraId="6F2F62F5">
      <w:pPr>
        <w:pStyle w:val="5"/>
        <w:spacing w:after="190"/>
        <w:rPr>
          <w:rFonts w:asciiTheme="minorHAnsi" w:hAnsiTheme="minorHAnsi" w:cstheme="minorHAnsi"/>
        </w:rPr>
      </w:pPr>
      <w:r>
        <w:rPr>
          <w:rFonts w:asciiTheme="minorHAnsi" w:hAnsiTheme="minorHAnsi" w:cstheme="minorHAnsi"/>
        </w:rPr>
        <w:t>3.1.1选址危险、有害因素分析</w:t>
      </w:r>
    </w:p>
    <w:p w14:paraId="07F43B08">
      <w:pPr>
        <w:adjustRightInd w:val="0"/>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（1）</w:t>
      </w:r>
      <w:r>
        <w:rPr>
          <w:rFonts w:asciiTheme="minorHAnsi" w:hAnsiTheme="minorHAnsi" w:cstheme="minorHAnsi"/>
          <w:b/>
          <w:szCs w:val="24"/>
        </w:rPr>
        <w:t>自然灾害危险性分析</w:t>
      </w:r>
    </w:p>
    <w:p w14:paraId="3F895648">
      <w:pPr>
        <w:adjustRightInd w:val="0"/>
        <w:snapToGrid w:val="0"/>
        <w:spacing w:line="360" w:lineRule="auto"/>
        <w:ind w:firstLine="560"/>
        <w:rPr>
          <w:rFonts w:asciiTheme="minorHAnsi" w:hAnsiTheme="minorHAnsi" w:cstheme="minorHAnsi"/>
          <w:szCs w:val="24"/>
        </w:rPr>
      </w:pPr>
      <w:r>
        <w:rPr>
          <w:rFonts w:asciiTheme="minorHAnsi" w:hAnsiTheme="minorHAnsi" w:cstheme="minorHAnsi"/>
          <w:szCs w:val="24"/>
        </w:rPr>
        <w:t>区域内自然灾害主要有地震、雷击、高低温等。</w:t>
      </w:r>
    </w:p>
    <w:p w14:paraId="12BFE0B9">
      <w:pPr>
        <w:widowControl/>
        <w:adjustRightInd w:val="0"/>
        <w:snapToGrid w:val="0"/>
        <w:spacing w:line="360" w:lineRule="auto"/>
        <w:ind w:firstLine="560"/>
        <w:rPr>
          <w:rFonts w:asciiTheme="minorHAnsi" w:hAnsiTheme="minorHAnsi" w:cstheme="minorHAnsi"/>
          <w:szCs w:val="24"/>
        </w:rPr>
      </w:pPr>
      <w:r>
        <w:rPr>
          <w:rFonts w:asciiTheme="minorHAnsi" w:hAnsiTheme="minorHAnsi" w:cstheme="minorHAnsi"/>
          <w:szCs w:val="24"/>
        </w:rPr>
        <w:t>1）地震</w:t>
      </w:r>
    </w:p>
    <w:p w14:paraId="661CE781">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矿区所处区域地震烈度为6度，地震可引起巷道变形、坍塌和堵塞、地表沉陷、设备设施的损坏和人员的伤亡，影响矿山正常生产。地下开采爆破引发的地震效应也会对地表产生影响。</w:t>
      </w:r>
    </w:p>
    <w:p w14:paraId="7DEA38F2">
      <w:pPr>
        <w:widowControl/>
        <w:adjustRightInd w:val="0"/>
        <w:snapToGrid w:val="0"/>
        <w:spacing w:line="360" w:lineRule="auto"/>
        <w:ind w:firstLine="560"/>
        <w:rPr>
          <w:rFonts w:asciiTheme="minorHAnsi" w:hAnsiTheme="minorHAnsi" w:cstheme="minorHAnsi"/>
          <w:szCs w:val="24"/>
        </w:rPr>
      </w:pPr>
      <w:r>
        <w:rPr>
          <w:rFonts w:asciiTheme="minorHAnsi" w:hAnsiTheme="minorHAnsi" w:cstheme="minorHAnsi"/>
          <w:szCs w:val="24"/>
        </w:rPr>
        <w:t>2）雷击</w:t>
      </w:r>
    </w:p>
    <w:p w14:paraId="1D978A23">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矿区夏季多雨季节雷电较多，有引发雷击的可能。</w:t>
      </w:r>
    </w:p>
    <w:p w14:paraId="599B1BA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夏天雷击能破坏建筑物和设备，并可能导致火灾和爆炸事故的发生。同时雷电也会对监控系统造成损坏。</w:t>
      </w:r>
    </w:p>
    <w:p w14:paraId="2E81E08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雷电对地下开采安全的影响，主要为其对地表供电等产生影响，雷电引起配电系统的过电压，威胁电气设备、线路及人身的安全。该项目中配电室等设施具有危险性、带电性等，在自然环境中易受雷击危害。</w:t>
      </w:r>
    </w:p>
    <w:p w14:paraId="478FF16A">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3）高温和低温</w:t>
      </w:r>
    </w:p>
    <w:p w14:paraId="782D3CD5">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区内冬季寒冷，夏季午后炎热，</w:t>
      </w:r>
      <w:r>
        <w:rPr>
          <w:rFonts w:hint="eastAsia" w:asciiTheme="minorHAnsi" w:hAnsiTheme="minorHAnsi" w:cstheme="minorHAnsi"/>
          <w:szCs w:val="28"/>
        </w:rPr>
        <w:t>历史最高气温</w:t>
      </w:r>
      <w:r>
        <w:rPr>
          <w:rFonts w:asciiTheme="minorHAnsi" w:hAnsiTheme="minorHAnsi" w:cstheme="minorHAnsi"/>
          <w:szCs w:val="28"/>
        </w:rPr>
        <w:t>41.2</w:t>
      </w:r>
      <w:r>
        <w:rPr>
          <w:rFonts w:hint="eastAsia" w:asciiTheme="minorHAnsi" w:hAnsiTheme="minorHAnsi" w:cstheme="minorHAnsi"/>
          <w:szCs w:val="28"/>
        </w:rPr>
        <w:t>℃， 最低气温-1</w:t>
      </w:r>
      <w:r>
        <w:rPr>
          <w:rFonts w:asciiTheme="minorHAnsi" w:hAnsiTheme="minorHAnsi" w:cstheme="minorHAnsi"/>
          <w:szCs w:val="28"/>
        </w:rPr>
        <w:t>3.</w:t>
      </w:r>
      <w:r>
        <w:rPr>
          <w:rFonts w:hint="eastAsia" w:asciiTheme="minorHAnsi" w:hAnsiTheme="minorHAnsi" w:cstheme="minorHAnsi"/>
          <w:szCs w:val="28"/>
        </w:rPr>
        <w:t>7℃</w:t>
      </w:r>
      <w:r>
        <w:rPr>
          <w:rFonts w:asciiTheme="minorHAnsi" w:hAnsiTheme="minorHAnsi" w:cstheme="minorHAnsi"/>
          <w:szCs w:val="28"/>
        </w:rPr>
        <w:t>。若没有采取必要降温措施，可能发生人员中暑。若没有采取必要的防寒、保暖措施，可能发生人员冻伤。</w:t>
      </w:r>
    </w:p>
    <w:p w14:paraId="7A83A29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该区域降雨量较大时，如果地面排水设施排水不畅，会使大量雨水进入井下，易形成涌水危害，对井下工人安全造成威胁。大雨、暴雨可能引发洪水冲毁道路，给行进中的车辆和人员造成危险。</w:t>
      </w:r>
    </w:p>
    <w:p w14:paraId="3B7354C1">
      <w:pPr>
        <w:adjustRightInd w:val="0"/>
        <w:snapToGrid w:val="0"/>
        <w:spacing w:line="360" w:lineRule="auto"/>
        <w:ind w:firstLine="562"/>
        <w:rPr>
          <w:rFonts w:asciiTheme="minorHAnsi" w:hAnsiTheme="minorHAnsi" w:cstheme="minorHAnsi"/>
          <w:b/>
          <w:kern w:val="0"/>
          <w:szCs w:val="28"/>
        </w:rPr>
      </w:pPr>
      <w:r>
        <w:rPr>
          <w:rFonts w:hint="eastAsia" w:asciiTheme="minorHAnsi" w:hAnsiTheme="minorHAnsi" w:cstheme="minorHAnsi"/>
          <w:b/>
          <w:kern w:val="0"/>
          <w:szCs w:val="28"/>
        </w:rPr>
        <w:t>（2）地表塌陷错动范围类比分析</w:t>
      </w:r>
    </w:p>
    <w:p w14:paraId="44FC2140">
      <w:pPr>
        <w:adjustRightInd w:val="0"/>
        <w:snapToGrid w:val="0"/>
        <w:spacing w:line="360" w:lineRule="auto"/>
        <w:ind w:firstLine="560"/>
        <w:rPr>
          <w:rFonts w:asciiTheme="minorHAnsi" w:hAnsiTheme="minorHAnsi" w:cstheme="minorHAnsi"/>
          <w:kern w:val="0"/>
          <w:szCs w:val="28"/>
        </w:rPr>
      </w:pPr>
      <w:r>
        <w:rPr>
          <w:rFonts w:asciiTheme="minorHAnsi" w:hAnsiTheme="minorHAnsi" w:cstheme="minorHAnsi"/>
          <w:kern w:val="0"/>
          <w:szCs w:val="28"/>
        </w:rPr>
        <w:t>1</w:t>
      </w:r>
      <w:r>
        <w:rPr>
          <w:rFonts w:hint="eastAsia" w:asciiTheme="minorHAnsi" w:hAnsiTheme="minorHAnsi" w:cstheme="minorHAnsi"/>
          <w:kern w:val="0"/>
          <w:szCs w:val="28"/>
        </w:rPr>
        <w:t>）岩石移动角的选取参考</w:t>
      </w:r>
    </w:p>
    <w:p w14:paraId="179460D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规范推荐的经验岩石移动角按矿体赋存特点分为两类：</w:t>
      </w:r>
    </w:p>
    <w:p w14:paraId="325370EB">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①层状岩体，矿床层理结构明显，弱面分布有规律且与层面一致，在层理和片理接触面上，岩体移动先是以弯曲的形式发生，与普氏硬度系数 f 值和矿体倾角的关系有明显的规律性。</w:t>
      </w:r>
    </w:p>
    <w:p w14:paraId="461FC149">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②非层状岩体，其移动过程剧烈、往往以塌陷形式出现、岩体移动角较陡，与普氏硬度系数 f 值和矿体倾角的关系不明显。</w:t>
      </w:r>
    </w:p>
    <w:p w14:paraId="35303477">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 xml:space="preserve">根据相关经验与规范，根据矿体是否为层状矿体，及其普氏硬度系数与矿体倾角等基本条件，有如下表 </w:t>
      </w:r>
      <w:r>
        <w:rPr>
          <w:rFonts w:asciiTheme="minorHAnsi" w:hAnsiTheme="minorHAnsi" w:cstheme="minorHAnsi"/>
          <w:kern w:val="0"/>
          <w:szCs w:val="28"/>
        </w:rPr>
        <w:t>3.1-1</w:t>
      </w:r>
      <w:r>
        <w:rPr>
          <w:rFonts w:hint="eastAsia" w:asciiTheme="minorHAnsi" w:hAnsiTheme="minorHAnsi" w:cstheme="minorHAnsi"/>
          <w:kern w:val="0"/>
          <w:szCs w:val="28"/>
        </w:rPr>
        <w:t xml:space="preserve"> 所示的岩体移动角经验值。</w:t>
      </w:r>
    </w:p>
    <w:p w14:paraId="082CB460">
      <w:pPr>
        <w:adjustRightInd w:val="0"/>
        <w:snapToGrid w:val="0"/>
        <w:spacing w:line="360" w:lineRule="auto"/>
        <w:ind w:firstLine="560"/>
        <w:jc w:val="center"/>
        <w:rPr>
          <w:rFonts w:asciiTheme="minorHAnsi" w:hAnsiTheme="minorHAnsi" w:cstheme="minorHAnsi"/>
          <w:kern w:val="0"/>
          <w:szCs w:val="28"/>
        </w:rPr>
      </w:pPr>
      <w:r>
        <w:rPr>
          <w:rFonts w:hint="eastAsia" w:asciiTheme="minorHAnsi" w:hAnsiTheme="minorHAnsi" w:cstheme="minorHAnsi"/>
          <w:kern w:val="0"/>
          <w:szCs w:val="28"/>
        </w:rPr>
        <w:t>表</w:t>
      </w:r>
      <w:r>
        <w:rPr>
          <w:rFonts w:asciiTheme="minorHAnsi" w:hAnsiTheme="minorHAnsi" w:cstheme="minorHAnsi"/>
          <w:kern w:val="0"/>
          <w:szCs w:val="28"/>
        </w:rPr>
        <w:t>3.1-1</w:t>
      </w:r>
      <w:r>
        <w:rPr>
          <w:rFonts w:hint="eastAsia" w:asciiTheme="minorHAnsi" w:hAnsiTheme="minorHAnsi" w:cstheme="minorHAnsi"/>
          <w:kern w:val="0"/>
          <w:szCs w:val="28"/>
        </w:rPr>
        <w:t xml:space="preserve"> 地表充分采动的岩体移动角</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59"/>
        <w:gridCol w:w="1681"/>
        <w:gridCol w:w="1379"/>
        <w:gridCol w:w="1984"/>
        <w:gridCol w:w="1981"/>
        <w:gridCol w:w="1224"/>
      </w:tblGrid>
      <w:tr w14:paraId="630BE4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69" w:type="pct"/>
            <w:vMerge w:val="restart"/>
            <w:vAlign w:val="center"/>
          </w:tcPr>
          <w:p w14:paraId="50728468">
            <w:pPr>
              <w:pStyle w:val="100"/>
              <w:adjustRightInd w:val="0"/>
              <w:snapToGrid w:val="0"/>
              <w:rPr>
                <w:sz w:val="21"/>
                <w:szCs w:val="21"/>
              </w:rPr>
            </w:pPr>
            <w:r>
              <w:rPr>
                <w:sz w:val="21"/>
                <w:szCs w:val="21"/>
              </w:rPr>
              <w:t>岩体类型</w:t>
            </w:r>
          </w:p>
        </w:tc>
        <w:tc>
          <w:tcPr>
            <w:tcW w:w="903" w:type="pct"/>
            <w:vMerge w:val="restart"/>
            <w:vAlign w:val="center"/>
          </w:tcPr>
          <w:p w14:paraId="61EB52EB">
            <w:pPr>
              <w:pStyle w:val="100"/>
              <w:adjustRightInd w:val="0"/>
              <w:snapToGrid w:val="0"/>
              <w:rPr>
                <w:i/>
                <w:sz w:val="21"/>
                <w:szCs w:val="21"/>
              </w:rPr>
            </w:pPr>
            <w:r>
              <w:rPr>
                <w:sz w:val="21"/>
                <w:szCs w:val="21"/>
              </w:rPr>
              <w:t>普氏硬度系数</w:t>
            </w:r>
            <w:r>
              <w:rPr>
                <w:i/>
                <w:sz w:val="21"/>
                <w:szCs w:val="21"/>
              </w:rPr>
              <w:t>f</w:t>
            </w:r>
          </w:p>
        </w:tc>
        <w:tc>
          <w:tcPr>
            <w:tcW w:w="741" w:type="pct"/>
            <w:vMerge w:val="restart"/>
            <w:vAlign w:val="center"/>
          </w:tcPr>
          <w:p w14:paraId="6C46F6CB">
            <w:pPr>
              <w:pStyle w:val="100"/>
              <w:adjustRightInd w:val="0"/>
              <w:snapToGrid w:val="0"/>
              <w:rPr>
                <w:sz w:val="21"/>
                <w:szCs w:val="21"/>
              </w:rPr>
            </w:pPr>
            <w:r>
              <w:rPr>
                <w:sz w:val="21"/>
                <w:szCs w:val="21"/>
              </w:rPr>
              <w:t>矿体倾角</w:t>
            </w:r>
          </w:p>
          <w:p w14:paraId="7976A9F3">
            <w:pPr>
              <w:pStyle w:val="100"/>
              <w:adjustRightInd w:val="0"/>
              <w:snapToGrid w:val="0"/>
              <w:rPr>
                <w:sz w:val="21"/>
                <w:szCs w:val="21"/>
              </w:rPr>
            </w:pPr>
            <w:r>
              <w:rPr>
                <w:sz w:val="21"/>
                <w:szCs w:val="21"/>
              </w:rPr>
              <w:t>α(°)</w:t>
            </w:r>
          </w:p>
        </w:tc>
        <w:tc>
          <w:tcPr>
            <w:tcW w:w="2787" w:type="pct"/>
            <w:gridSpan w:val="3"/>
            <w:vAlign w:val="center"/>
          </w:tcPr>
          <w:p w14:paraId="5862D82C">
            <w:pPr>
              <w:pStyle w:val="100"/>
              <w:adjustRightInd w:val="0"/>
              <w:snapToGrid w:val="0"/>
              <w:rPr>
                <w:sz w:val="21"/>
                <w:szCs w:val="21"/>
              </w:rPr>
            </w:pPr>
            <w:r>
              <w:rPr>
                <w:sz w:val="21"/>
                <w:szCs w:val="21"/>
              </w:rPr>
              <w:t>移动角(°)</w:t>
            </w:r>
          </w:p>
        </w:tc>
      </w:tr>
      <w:tr w14:paraId="729CC3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69" w:type="pct"/>
            <w:vMerge w:val="continue"/>
            <w:vAlign w:val="center"/>
          </w:tcPr>
          <w:p w14:paraId="5A471EA2">
            <w:pPr>
              <w:autoSpaceDE w:val="0"/>
              <w:autoSpaceDN w:val="0"/>
              <w:adjustRightInd w:val="0"/>
              <w:snapToGrid w:val="0"/>
              <w:spacing w:line="240" w:lineRule="auto"/>
              <w:ind w:firstLine="0" w:firstLineChars="0"/>
              <w:rPr>
                <w:sz w:val="21"/>
                <w:szCs w:val="21"/>
                <w:lang w:eastAsia="en-US"/>
              </w:rPr>
            </w:pPr>
          </w:p>
        </w:tc>
        <w:tc>
          <w:tcPr>
            <w:tcW w:w="903" w:type="pct"/>
            <w:vMerge w:val="continue"/>
            <w:vAlign w:val="center"/>
          </w:tcPr>
          <w:p w14:paraId="756F2269">
            <w:pPr>
              <w:autoSpaceDE w:val="0"/>
              <w:autoSpaceDN w:val="0"/>
              <w:adjustRightInd w:val="0"/>
              <w:snapToGrid w:val="0"/>
              <w:spacing w:line="240" w:lineRule="auto"/>
              <w:ind w:firstLine="0" w:firstLineChars="0"/>
              <w:rPr>
                <w:sz w:val="21"/>
                <w:szCs w:val="21"/>
                <w:lang w:eastAsia="en-US"/>
              </w:rPr>
            </w:pPr>
          </w:p>
        </w:tc>
        <w:tc>
          <w:tcPr>
            <w:tcW w:w="741" w:type="pct"/>
            <w:vMerge w:val="continue"/>
            <w:vAlign w:val="center"/>
          </w:tcPr>
          <w:p w14:paraId="4388161F">
            <w:pPr>
              <w:autoSpaceDE w:val="0"/>
              <w:autoSpaceDN w:val="0"/>
              <w:adjustRightInd w:val="0"/>
              <w:snapToGrid w:val="0"/>
              <w:spacing w:line="240" w:lineRule="auto"/>
              <w:ind w:firstLine="0" w:firstLineChars="0"/>
              <w:rPr>
                <w:sz w:val="21"/>
                <w:szCs w:val="21"/>
                <w:lang w:eastAsia="en-US"/>
              </w:rPr>
            </w:pPr>
          </w:p>
        </w:tc>
        <w:tc>
          <w:tcPr>
            <w:tcW w:w="1066" w:type="pct"/>
            <w:vAlign w:val="center"/>
          </w:tcPr>
          <w:p w14:paraId="56C58664">
            <w:pPr>
              <w:pStyle w:val="100"/>
              <w:adjustRightInd w:val="0"/>
              <w:snapToGrid w:val="0"/>
              <w:rPr>
                <w:rFonts w:ascii="Cambria Math" w:eastAsia="Cambria Math"/>
                <w:sz w:val="21"/>
                <w:szCs w:val="21"/>
              </w:rPr>
            </w:pPr>
            <w:r>
              <w:rPr>
                <w:rFonts w:ascii="Cambria Math" w:eastAsia="Cambria Math"/>
                <w:sz w:val="21"/>
                <w:szCs w:val="21"/>
              </w:rPr>
              <w:t>𝛽</w:t>
            </w:r>
          </w:p>
          <w:p w14:paraId="72C19014">
            <w:pPr>
              <w:pStyle w:val="100"/>
              <w:adjustRightInd w:val="0"/>
              <w:snapToGrid w:val="0"/>
              <w:rPr>
                <w:sz w:val="21"/>
                <w:szCs w:val="21"/>
              </w:rPr>
            </w:pPr>
            <w:r>
              <w:rPr>
                <w:sz w:val="21"/>
                <w:szCs w:val="21"/>
              </w:rPr>
              <w:t>（自开采下界划）</w:t>
            </w:r>
          </w:p>
        </w:tc>
        <w:tc>
          <w:tcPr>
            <w:tcW w:w="1064" w:type="pct"/>
            <w:vAlign w:val="center"/>
          </w:tcPr>
          <w:p w14:paraId="06C142BC">
            <w:pPr>
              <w:pStyle w:val="100"/>
              <w:adjustRightInd w:val="0"/>
              <w:snapToGrid w:val="0"/>
              <w:rPr>
                <w:rFonts w:ascii="Cambria Math" w:eastAsia="Cambria Math"/>
                <w:sz w:val="21"/>
                <w:szCs w:val="21"/>
              </w:rPr>
            </w:pPr>
            <w:r>
              <w:rPr>
                <w:rFonts w:ascii="Cambria Math" w:eastAsia="Cambria Math"/>
                <w:sz w:val="21"/>
                <w:szCs w:val="21"/>
              </w:rPr>
              <w:t>𝛾</w:t>
            </w:r>
          </w:p>
          <w:p w14:paraId="3F29D654">
            <w:pPr>
              <w:pStyle w:val="100"/>
              <w:adjustRightInd w:val="0"/>
              <w:snapToGrid w:val="0"/>
              <w:rPr>
                <w:sz w:val="21"/>
                <w:szCs w:val="21"/>
              </w:rPr>
            </w:pPr>
            <w:r>
              <w:rPr>
                <w:sz w:val="21"/>
                <w:szCs w:val="21"/>
              </w:rPr>
              <w:t>（自开采上界划）</w:t>
            </w:r>
          </w:p>
        </w:tc>
        <w:tc>
          <w:tcPr>
            <w:tcW w:w="657" w:type="pct"/>
            <w:vAlign w:val="center"/>
          </w:tcPr>
          <w:p w14:paraId="4310188D">
            <w:pPr>
              <w:pStyle w:val="100"/>
              <w:adjustRightInd w:val="0"/>
              <w:snapToGrid w:val="0"/>
              <w:rPr>
                <w:rFonts w:ascii="Cambria Math" w:eastAsia="Cambria Math"/>
                <w:sz w:val="21"/>
                <w:szCs w:val="21"/>
              </w:rPr>
            </w:pPr>
            <w:r>
              <w:rPr>
                <w:rFonts w:ascii="Cambria Math" w:eastAsia="Cambria Math"/>
                <w:sz w:val="21"/>
                <w:szCs w:val="21"/>
              </w:rPr>
              <w:t>𝛿</w:t>
            </w:r>
          </w:p>
          <w:p w14:paraId="5B8AB05D">
            <w:pPr>
              <w:pStyle w:val="100"/>
              <w:adjustRightInd w:val="0"/>
              <w:snapToGrid w:val="0"/>
              <w:rPr>
                <w:sz w:val="21"/>
                <w:szCs w:val="21"/>
              </w:rPr>
            </w:pPr>
            <w:r>
              <w:rPr>
                <w:sz w:val="21"/>
                <w:szCs w:val="21"/>
              </w:rPr>
              <w:t>（走向）</w:t>
            </w:r>
          </w:p>
        </w:tc>
      </w:tr>
      <w:tr w14:paraId="03FB88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69" w:type="pct"/>
            <w:vMerge w:val="restart"/>
            <w:vAlign w:val="center"/>
          </w:tcPr>
          <w:p w14:paraId="7D089313">
            <w:pPr>
              <w:pStyle w:val="100"/>
              <w:adjustRightInd w:val="0"/>
              <w:snapToGrid w:val="0"/>
              <w:jc w:val="both"/>
              <w:rPr>
                <w:sz w:val="21"/>
                <w:szCs w:val="21"/>
              </w:rPr>
            </w:pPr>
            <w:r>
              <w:rPr>
                <w:sz w:val="21"/>
                <w:szCs w:val="21"/>
              </w:rPr>
              <w:t>层状矿体</w:t>
            </w:r>
          </w:p>
        </w:tc>
        <w:tc>
          <w:tcPr>
            <w:tcW w:w="903" w:type="pct"/>
            <w:vAlign w:val="center"/>
          </w:tcPr>
          <w:p w14:paraId="07C7E1CC">
            <w:pPr>
              <w:pStyle w:val="100"/>
              <w:adjustRightInd w:val="0"/>
              <w:snapToGrid w:val="0"/>
              <w:rPr>
                <w:sz w:val="21"/>
                <w:szCs w:val="21"/>
              </w:rPr>
            </w:pPr>
            <w:r>
              <w:rPr>
                <w:i/>
                <w:sz w:val="21"/>
                <w:szCs w:val="21"/>
              </w:rPr>
              <w:t>f</w:t>
            </w:r>
            <w:r>
              <w:rPr>
                <w:sz w:val="21"/>
                <w:szCs w:val="21"/>
              </w:rPr>
              <w:t>&lt;5</w:t>
            </w:r>
          </w:p>
        </w:tc>
        <w:tc>
          <w:tcPr>
            <w:tcW w:w="741" w:type="pct"/>
            <w:vAlign w:val="center"/>
          </w:tcPr>
          <w:p w14:paraId="1A2DF2B4">
            <w:pPr>
              <w:pStyle w:val="100"/>
              <w:adjustRightInd w:val="0"/>
              <w:snapToGrid w:val="0"/>
              <w:rPr>
                <w:sz w:val="21"/>
                <w:szCs w:val="21"/>
              </w:rPr>
            </w:pPr>
            <w:r>
              <w:rPr>
                <w:sz w:val="21"/>
                <w:szCs w:val="21"/>
              </w:rPr>
              <w:t>0～30</w:t>
            </w:r>
          </w:p>
          <w:p w14:paraId="6FC4A194">
            <w:pPr>
              <w:pStyle w:val="100"/>
              <w:adjustRightInd w:val="0"/>
              <w:snapToGrid w:val="0"/>
              <w:rPr>
                <w:sz w:val="21"/>
                <w:szCs w:val="21"/>
              </w:rPr>
            </w:pPr>
            <w:r>
              <w:rPr>
                <w:sz w:val="21"/>
                <w:szCs w:val="21"/>
              </w:rPr>
              <w:t>31～45</w:t>
            </w:r>
          </w:p>
          <w:p w14:paraId="6577A1D3">
            <w:pPr>
              <w:pStyle w:val="100"/>
              <w:adjustRightInd w:val="0"/>
              <w:snapToGrid w:val="0"/>
              <w:rPr>
                <w:sz w:val="21"/>
                <w:szCs w:val="21"/>
              </w:rPr>
            </w:pPr>
            <w:r>
              <w:rPr>
                <w:sz w:val="21"/>
                <w:szCs w:val="21"/>
              </w:rPr>
              <w:t>46～60</w:t>
            </w:r>
          </w:p>
          <w:p w14:paraId="39880D9E">
            <w:pPr>
              <w:pStyle w:val="100"/>
              <w:adjustRightInd w:val="0"/>
              <w:snapToGrid w:val="0"/>
              <w:rPr>
                <w:sz w:val="21"/>
                <w:szCs w:val="21"/>
              </w:rPr>
            </w:pPr>
            <w:r>
              <w:rPr>
                <w:sz w:val="21"/>
                <w:szCs w:val="21"/>
              </w:rPr>
              <w:t>61～80</w:t>
            </w:r>
          </w:p>
          <w:p w14:paraId="337F4ACE">
            <w:pPr>
              <w:pStyle w:val="100"/>
              <w:adjustRightInd w:val="0"/>
              <w:snapToGrid w:val="0"/>
              <w:rPr>
                <w:sz w:val="21"/>
                <w:szCs w:val="21"/>
              </w:rPr>
            </w:pPr>
            <w:r>
              <w:rPr>
                <w:sz w:val="21"/>
                <w:szCs w:val="21"/>
              </w:rPr>
              <w:t>81～90</w:t>
            </w:r>
          </w:p>
        </w:tc>
        <w:tc>
          <w:tcPr>
            <w:tcW w:w="1066" w:type="pct"/>
            <w:vAlign w:val="center"/>
          </w:tcPr>
          <w:p w14:paraId="35658399">
            <w:pPr>
              <w:pStyle w:val="100"/>
              <w:adjustRightInd w:val="0"/>
              <w:snapToGrid w:val="0"/>
              <w:rPr>
                <w:sz w:val="21"/>
                <w:szCs w:val="21"/>
              </w:rPr>
            </w:pPr>
            <w:r>
              <w:rPr>
                <w:sz w:val="21"/>
                <w:szCs w:val="21"/>
              </w:rPr>
              <w:t>55～45</w:t>
            </w:r>
          </w:p>
          <w:p w14:paraId="1276585B">
            <w:pPr>
              <w:pStyle w:val="100"/>
              <w:adjustRightInd w:val="0"/>
              <w:snapToGrid w:val="0"/>
              <w:rPr>
                <w:sz w:val="21"/>
                <w:szCs w:val="21"/>
              </w:rPr>
            </w:pPr>
            <w:r>
              <w:rPr>
                <w:sz w:val="21"/>
                <w:szCs w:val="21"/>
              </w:rPr>
              <w:t>45～40</w:t>
            </w:r>
          </w:p>
          <w:p w14:paraId="61285161">
            <w:pPr>
              <w:pStyle w:val="100"/>
              <w:adjustRightInd w:val="0"/>
              <w:snapToGrid w:val="0"/>
              <w:rPr>
                <w:sz w:val="21"/>
                <w:szCs w:val="21"/>
              </w:rPr>
            </w:pPr>
            <w:r>
              <w:rPr>
                <w:sz w:val="21"/>
                <w:szCs w:val="21"/>
              </w:rPr>
              <w:t>40</w:t>
            </w:r>
          </w:p>
          <w:p w14:paraId="62C6EA86">
            <w:pPr>
              <w:pStyle w:val="100"/>
              <w:adjustRightInd w:val="0"/>
              <w:snapToGrid w:val="0"/>
              <w:rPr>
                <w:sz w:val="21"/>
                <w:szCs w:val="21"/>
              </w:rPr>
            </w:pPr>
            <w:r>
              <w:rPr>
                <w:sz w:val="21"/>
                <w:szCs w:val="21"/>
              </w:rPr>
              <w:t>40～45</w:t>
            </w:r>
          </w:p>
          <w:p w14:paraId="0420134A">
            <w:pPr>
              <w:pStyle w:val="100"/>
              <w:adjustRightInd w:val="0"/>
              <w:snapToGrid w:val="0"/>
              <w:rPr>
                <w:sz w:val="21"/>
                <w:szCs w:val="21"/>
              </w:rPr>
            </w:pPr>
            <w:r>
              <w:rPr>
                <w:sz w:val="21"/>
                <w:szCs w:val="21"/>
              </w:rPr>
              <w:t>45～50</w:t>
            </w:r>
          </w:p>
        </w:tc>
        <w:tc>
          <w:tcPr>
            <w:tcW w:w="1064" w:type="pct"/>
            <w:vAlign w:val="center"/>
          </w:tcPr>
          <w:p w14:paraId="5D90B3FB">
            <w:pPr>
              <w:pStyle w:val="100"/>
              <w:adjustRightInd w:val="0"/>
              <w:snapToGrid w:val="0"/>
              <w:rPr>
                <w:sz w:val="21"/>
                <w:szCs w:val="21"/>
              </w:rPr>
            </w:pPr>
            <w:r>
              <w:rPr>
                <w:sz w:val="21"/>
                <w:szCs w:val="21"/>
              </w:rPr>
              <w:t>55</w:t>
            </w:r>
          </w:p>
          <w:p w14:paraId="13558392">
            <w:pPr>
              <w:pStyle w:val="100"/>
              <w:adjustRightInd w:val="0"/>
              <w:snapToGrid w:val="0"/>
              <w:rPr>
                <w:sz w:val="21"/>
                <w:szCs w:val="21"/>
              </w:rPr>
            </w:pPr>
            <w:r>
              <w:rPr>
                <w:sz w:val="21"/>
                <w:szCs w:val="21"/>
              </w:rPr>
              <w:t>55</w:t>
            </w:r>
          </w:p>
          <w:p w14:paraId="52A53448">
            <w:pPr>
              <w:pStyle w:val="100"/>
              <w:adjustRightInd w:val="0"/>
              <w:snapToGrid w:val="0"/>
              <w:rPr>
                <w:sz w:val="21"/>
                <w:szCs w:val="21"/>
              </w:rPr>
            </w:pPr>
            <w:r>
              <w:rPr>
                <w:sz w:val="21"/>
                <w:szCs w:val="21"/>
              </w:rPr>
              <w:t>—</w:t>
            </w:r>
          </w:p>
          <w:p w14:paraId="26D3897F">
            <w:pPr>
              <w:pStyle w:val="100"/>
              <w:adjustRightInd w:val="0"/>
              <w:snapToGrid w:val="0"/>
              <w:rPr>
                <w:sz w:val="21"/>
                <w:szCs w:val="21"/>
              </w:rPr>
            </w:pPr>
            <w:r>
              <w:rPr>
                <w:sz w:val="21"/>
                <w:szCs w:val="21"/>
              </w:rPr>
              <w:t>—</w:t>
            </w:r>
          </w:p>
          <w:p w14:paraId="1C4E90B9">
            <w:pPr>
              <w:pStyle w:val="100"/>
              <w:adjustRightInd w:val="0"/>
              <w:snapToGrid w:val="0"/>
              <w:rPr>
                <w:sz w:val="21"/>
                <w:szCs w:val="21"/>
              </w:rPr>
            </w:pPr>
            <w:r>
              <w:rPr>
                <w:sz w:val="21"/>
                <w:szCs w:val="21"/>
              </w:rPr>
              <w:t>—</w:t>
            </w:r>
          </w:p>
        </w:tc>
        <w:tc>
          <w:tcPr>
            <w:tcW w:w="657" w:type="pct"/>
            <w:vAlign w:val="center"/>
          </w:tcPr>
          <w:p w14:paraId="0D12DCE8">
            <w:pPr>
              <w:pStyle w:val="100"/>
              <w:adjustRightInd w:val="0"/>
              <w:snapToGrid w:val="0"/>
              <w:rPr>
                <w:sz w:val="21"/>
                <w:szCs w:val="21"/>
              </w:rPr>
            </w:pPr>
            <w:r>
              <w:rPr>
                <w:sz w:val="21"/>
                <w:szCs w:val="21"/>
              </w:rPr>
              <w:t xml:space="preserve">55 </w:t>
            </w:r>
          </w:p>
          <w:p w14:paraId="27B15FA3">
            <w:pPr>
              <w:pStyle w:val="100"/>
              <w:adjustRightInd w:val="0"/>
              <w:snapToGrid w:val="0"/>
              <w:rPr>
                <w:sz w:val="21"/>
                <w:szCs w:val="21"/>
              </w:rPr>
            </w:pPr>
            <w:r>
              <w:rPr>
                <w:sz w:val="21"/>
                <w:szCs w:val="21"/>
              </w:rPr>
              <w:t xml:space="preserve">55 </w:t>
            </w:r>
          </w:p>
          <w:p w14:paraId="5AAEC243">
            <w:pPr>
              <w:pStyle w:val="100"/>
              <w:adjustRightInd w:val="0"/>
              <w:snapToGrid w:val="0"/>
              <w:rPr>
                <w:sz w:val="21"/>
                <w:szCs w:val="21"/>
              </w:rPr>
            </w:pPr>
            <w:r>
              <w:rPr>
                <w:sz w:val="21"/>
                <w:szCs w:val="21"/>
              </w:rPr>
              <w:t xml:space="preserve">55 </w:t>
            </w:r>
          </w:p>
          <w:p w14:paraId="7D5F5A34">
            <w:pPr>
              <w:pStyle w:val="100"/>
              <w:adjustRightInd w:val="0"/>
              <w:snapToGrid w:val="0"/>
              <w:rPr>
                <w:sz w:val="21"/>
                <w:szCs w:val="21"/>
              </w:rPr>
            </w:pPr>
            <w:r>
              <w:rPr>
                <w:sz w:val="21"/>
                <w:szCs w:val="21"/>
              </w:rPr>
              <w:t>55</w:t>
            </w:r>
          </w:p>
          <w:p w14:paraId="4E14833D">
            <w:pPr>
              <w:pStyle w:val="100"/>
              <w:adjustRightInd w:val="0"/>
              <w:snapToGrid w:val="0"/>
              <w:rPr>
                <w:sz w:val="21"/>
                <w:szCs w:val="21"/>
              </w:rPr>
            </w:pPr>
            <w:r>
              <w:rPr>
                <w:sz w:val="21"/>
                <w:szCs w:val="21"/>
              </w:rPr>
              <w:t>55</w:t>
            </w:r>
          </w:p>
        </w:tc>
      </w:tr>
      <w:tr w14:paraId="02454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69" w:type="pct"/>
            <w:vMerge w:val="continue"/>
            <w:vAlign w:val="center"/>
          </w:tcPr>
          <w:p w14:paraId="63BE479F">
            <w:pPr>
              <w:autoSpaceDE w:val="0"/>
              <w:autoSpaceDN w:val="0"/>
              <w:adjustRightInd w:val="0"/>
              <w:snapToGrid w:val="0"/>
              <w:spacing w:line="240" w:lineRule="auto"/>
              <w:ind w:firstLine="0" w:firstLineChars="0"/>
              <w:rPr>
                <w:sz w:val="21"/>
                <w:szCs w:val="21"/>
                <w:lang w:eastAsia="en-US"/>
              </w:rPr>
            </w:pPr>
          </w:p>
        </w:tc>
        <w:tc>
          <w:tcPr>
            <w:tcW w:w="903" w:type="pct"/>
            <w:vAlign w:val="center"/>
          </w:tcPr>
          <w:p w14:paraId="07E3A9ED">
            <w:pPr>
              <w:pStyle w:val="100"/>
              <w:adjustRightInd w:val="0"/>
              <w:snapToGrid w:val="0"/>
              <w:rPr>
                <w:sz w:val="21"/>
                <w:szCs w:val="21"/>
              </w:rPr>
            </w:pPr>
            <w:r>
              <w:rPr>
                <w:i/>
                <w:sz w:val="21"/>
                <w:szCs w:val="21"/>
              </w:rPr>
              <w:t>f</w:t>
            </w:r>
            <w:r>
              <w:rPr>
                <w:sz w:val="21"/>
                <w:szCs w:val="21"/>
              </w:rPr>
              <w:t>&gt;5</w:t>
            </w:r>
          </w:p>
        </w:tc>
        <w:tc>
          <w:tcPr>
            <w:tcW w:w="741" w:type="pct"/>
            <w:vAlign w:val="center"/>
          </w:tcPr>
          <w:p w14:paraId="43FA8F29">
            <w:pPr>
              <w:pStyle w:val="100"/>
              <w:adjustRightInd w:val="0"/>
              <w:snapToGrid w:val="0"/>
              <w:rPr>
                <w:sz w:val="21"/>
                <w:szCs w:val="21"/>
              </w:rPr>
            </w:pPr>
            <w:r>
              <w:rPr>
                <w:sz w:val="21"/>
                <w:szCs w:val="21"/>
              </w:rPr>
              <w:t>0～30</w:t>
            </w:r>
          </w:p>
          <w:p w14:paraId="7E52FC38">
            <w:pPr>
              <w:pStyle w:val="100"/>
              <w:adjustRightInd w:val="0"/>
              <w:snapToGrid w:val="0"/>
              <w:rPr>
                <w:sz w:val="21"/>
                <w:szCs w:val="21"/>
              </w:rPr>
            </w:pPr>
            <w:r>
              <w:rPr>
                <w:sz w:val="21"/>
                <w:szCs w:val="21"/>
              </w:rPr>
              <w:t>31～45</w:t>
            </w:r>
          </w:p>
          <w:p w14:paraId="50A2F8DD">
            <w:pPr>
              <w:pStyle w:val="100"/>
              <w:adjustRightInd w:val="0"/>
              <w:snapToGrid w:val="0"/>
              <w:rPr>
                <w:sz w:val="21"/>
                <w:szCs w:val="21"/>
              </w:rPr>
            </w:pPr>
            <w:r>
              <w:rPr>
                <w:sz w:val="21"/>
                <w:szCs w:val="21"/>
              </w:rPr>
              <w:t>46～60</w:t>
            </w:r>
          </w:p>
          <w:p w14:paraId="17320E54">
            <w:pPr>
              <w:pStyle w:val="100"/>
              <w:adjustRightInd w:val="0"/>
              <w:snapToGrid w:val="0"/>
              <w:rPr>
                <w:sz w:val="21"/>
                <w:szCs w:val="21"/>
              </w:rPr>
            </w:pPr>
            <w:r>
              <w:rPr>
                <w:sz w:val="21"/>
                <w:szCs w:val="21"/>
              </w:rPr>
              <w:t>61～80</w:t>
            </w:r>
          </w:p>
          <w:p w14:paraId="765C7066">
            <w:pPr>
              <w:pStyle w:val="100"/>
              <w:adjustRightInd w:val="0"/>
              <w:snapToGrid w:val="0"/>
              <w:rPr>
                <w:sz w:val="21"/>
                <w:szCs w:val="21"/>
              </w:rPr>
            </w:pPr>
            <w:r>
              <w:rPr>
                <w:sz w:val="21"/>
                <w:szCs w:val="21"/>
              </w:rPr>
              <w:t>81～90</w:t>
            </w:r>
          </w:p>
        </w:tc>
        <w:tc>
          <w:tcPr>
            <w:tcW w:w="1066" w:type="pct"/>
            <w:vAlign w:val="center"/>
          </w:tcPr>
          <w:p w14:paraId="5350E89F">
            <w:pPr>
              <w:pStyle w:val="100"/>
              <w:adjustRightInd w:val="0"/>
              <w:snapToGrid w:val="0"/>
              <w:rPr>
                <w:sz w:val="21"/>
                <w:szCs w:val="21"/>
              </w:rPr>
            </w:pPr>
            <w:r>
              <w:rPr>
                <w:sz w:val="21"/>
                <w:szCs w:val="21"/>
              </w:rPr>
              <w:t>60～50</w:t>
            </w:r>
          </w:p>
          <w:p w14:paraId="61F9076F">
            <w:pPr>
              <w:pStyle w:val="100"/>
              <w:adjustRightInd w:val="0"/>
              <w:snapToGrid w:val="0"/>
              <w:rPr>
                <w:sz w:val="21"/>
                <w:szCs w:val="21"/>
              </w:rPr>
            </w:pPr>
            <w:r>
              <w:rPr>
                <w:sz w:val="21"/>
                <w:szCs w:val="21"/>
              </w:rPr>
              <w:t>50～45</w:t>
            </w:r>
          </w:p>
          <w:p w14:paraId="299F07D7">
            <w:pPr>
              <w:pStyle w:val="100"/>
              <w:adjustRightInd w:val="0"/>
              <w:snapToGrid w:val="0"/>
              <w:rPr>
                <w:sz w:val="21"/>
                <w:szCs w:val="21"/>
              </w:rPr>
            </w:pPr>
            <w:r>
              <w:rPr>
                <w:sz w:val="21"/>
                <w:szCs w:val="21"/>
              </w:rPr>
              <w:t>45～40</w:t>
            </w:r>
          </w:p>
          <w:p w14:paraId="54FC86C4">
            <w:pPr>
              <w:pStyle w:val="100"/>
              <w:adjustRightInd w:val="0"/>
              <w:snapToGrid w:val="0"/>
              <w:rPr>
                <w:sz w:val="21"/>
                <w:szCs w:val="21"/>
              </w:rPr>
            </w:pPr>
            <w:r>
              <w:rPr>
                <w:sz w:val="21"/>
                <w:szCs w:val="21"/>
              </w:rPr>
              <w:t>40</w:t>
            </w:r>
          </w:p>
          <w:p w14:paraId="76CAE7DD">
            <w:pPr>
              <w:pStyle w:val="100"/>
              <w:adjustRightInd w:val="0"/>
              <w:snapToGrid w:val="0"/>
              <w:rPr>
                <w:sz w:val="21"/>
                <w:szCs w:val="21"/>
              </w:rPr>
            </w:pPr>
            <w:r>
              <w:rPr>
                <w:sz w:val="21"/>
                <w:szCs w:val="21"/>
              </w:rPr>
              <w:t>40～50</w:t>
            </w:r>
          </w:p>
        </w:tc>
        <w:tc>
          <w:tcPr>
            <w:tcW w:w="1064" w:type="pct"/>
            <w:vAlign w:val="center"/>
          </w:tcPr>
          <w:p w14:paraId="612E013E">
            <w:pPr>
              <w:pStyle w:val="100"/>
              <w:adjustRightInd w:val="0"/>
              <w:snapToGrid w:val="0"/>
              <w:rPr>
                <w:i/>
                <w:sz w:val="21"/>
                <w:szCs w:val="21"/>
              </w:rPr>
            </w:pPr>
            <w:r>
              <w:rPr>
                <w:i/>
                <w:sz w:val="21"/>
                <w:szCs w:val="21"/>
              </w:rPr>
              <w:t>δ δ</w:t>
            </w:r>
          </w:p>
          <w:p w14:paraId="3CF2A062">
            <w:pPr>
              <w:pStyle w:val="100"/>
              <w:adjustRightInd w:val="0"/>
              <w:snapToGrid w:val="0"/>
              <w:rPr>
                <w:sz w:val="21"/>
                <w:szCs w:val="21"/>
              </w:rPr>
            </w:pPr>
            <w:r>
              <w:rPr>
                <w:sz w:val="21"/>
                <w:szCs w:val="21"/>
              </w:rPr>
              <w:t>—</w:t>
            </w:r>
          </w:p>
          <w:p w14:paraId="42FFA8EB">
            <w:pPr>
              <w:pStyle w:val="100"/>
              <w:adjustRightInd w:val="0"/>
              <w:snapToGrid w:val="0"/>
              <w:rPr>
                <w:sz w:val="21"/>
                <w:szCs w:val="21"/>
              </w:rPr>
            </w:pPr>
            <w:r>
              <w:rPr>
                <w:sz w:val="21"/>
                <w:szCs w:val="21"/>
              </w:rPr>
              <w:t>—</w:t>
            </w:r>
          </w:p>
          <w:p w14:paraId="650006A0">
            <w:pPr>
              <w:pStyle w:val="100"/>
              <w:adjustRightInd w:val="0"/>
              <w:snapToGrid w:val="0"/>
              <w:rPr>
                <w:sz w:val="21"/>
                <w:szCs w:val="21"/>
              </w:rPr>
            </w:pPr>
            <w:r>
              <w:rPr>
                <w:sz w:val="21"/>
                <w:szCs w:val="21"/>
              </w:rPr>
              <w:t>—</w:t>
            </w:r>
          </w:p>
        </w:tc>
        <w:tc>
          <w:tcPr>
            <w:tcW w:w="657" w:type="pct"/>
            <w:vAlign w:val="center"/>
          </w:tcPr>
          <w:p w14:paraId="4D0B1E5D">
            <w:pPr>
              <w:pStyle w:val="100"/>
              <w:adjustRightInd w:val="0"/>
              <w:snapToGrid w:val="0"/>
              <w:rPr>
                <w:i/>
                <w:sz w:val="21"/>
                <w:szCs w:val="21"/>
              </w:rPr>
            </w:pPr>
            <w:r>
              <w:rPr>
                <w:sz w:val="21"/>
                <w:szCs w:val="21"/>
              </w:rPr>
              <w:t>55+1.5</w:t>
            </w:r>
            <w:r>
              <w:rPr>
                <w:i/>
                <w:sz w:val="21"/>
                <w:szCs w:val="21"/>
              </w:rPr>
              <w:t>f</w:t>
            </w:r>
          </w:p>
          <w:p w14:paraId="3E98A163">
            <w:pPr>
              <w:pStyle w:val="100"/>
              <w:adjustRightInd w:val="0"/>
              <w:snapToGrid w:val="0"/>
              <w:rPr>
                <w:i/>
                <w:sz w:val="21"/>
                <w:szCs w:val="21"/>
              </w:rPr>
            </w:pPr>
            <w:r>
              <w:rPr>
                <w:sz w:val="21"/>
                <w:szCs w:val="21"/>
              </w:rPr>
              <w:t>55+1.5</w:t>
            </w:r>
            <w:r>
              <w:rPr>
                <w:i/>
                <w:sz w:val="21"/>
                <w:szCs w:val="21"/>
              </w:rPr>
              <w:t>f</w:t>
            </w:r>
          </w:p>
          <w:p w14:paraId="0074375F">
            <w:pPr>
              <w:pStyle w:val="100"/>
              <w:adjustRightInd w:val="0"/>
              <w:snapToGrid w:val="0"/>
              <w:rPr>
                <w:i/>
                <w:sz w:val="21"/>
                <w:szCs w:val="21"/>
              </w:rPr>
            </w:pPr>
            <w:r>
              <w:rPr>
                <w:sz w:val="21"/>
                <w:szCs w:val="21"/>
              </w:rPr>
              <w:t>55+1.5</w:t>
            </w:r>
            <w:r>
              <w:rPr>
                <w:i/>
                <w:sz w:val="21"/>
                <w:szCs w:val="21"/>
              </w:rPr>
              <w:t>f</w:t>
            </w:r>
          </w:p>
          <w:p w14:paraId="057CFA47">
            <w:pPr>
              <w:pStyle w:val="100"/>
              <w:adjustRightInd w:val="0"/>
              <w:snapToGrid w:val="0"/>
              <w:rPr>
                <w:i/>
                <w:sz w:val="21"/>
                <w:szCs w:val="21"/>
              </w:rPr>
            </w:pPr>
            <w:r>
              <w:rPr>
                <w:sz w:val="21"/>
                <w:szCs w:val="21"/>
              </w:rPr>
              <w:t>55+1.5</w:t>
            </w:r>
            <w:r>
              <w:rPr>
                <w:i/>
                <w:sz w:val="21"/>
                <w:szCs w:val="21"/>
              </w:rPr>
              <w:t>f</w:t>
            </w:r>
          </w:p>
          <w:p w14:paraId="269A2334">
            <w:pPr>
              <w:pStyle w:val="100"/>
              <w:adjustRightInd w:val="0"/>
              <w:snapToGrid w:val="0"/>
              <w:rPr>
                <w:i/>
                <w:sz w:val="21"/>
                <w:szCs w:val="21"/>
              </w:rPr>
            </w:pPr>
            <w:r>
              <w:rPr>
                <w:sz w:val="21"/>
                <w:szCs w:val="21"/>
              </w:rPr>
              <w:t>55+1.5</w:t>
            </w:r>
            <w:r>
              <w:rPr>
                <w:i/>
                <w:sz w:val="21"/>
                <w:szCs w:val="21"/>
              </w:rPr>
              <w:t>f</w:t>
            </w:r>
          </w:p>
        </w:tc>
      </w:tr>
      <w:tr w14:paraId="354917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69" w:type="pct"/>
            <w:vAlign w:val="center"/>
          </w:tcPr>
          <w:p w14:paraId="547B1F26">
            <w:pPr>
              <w:pStyle w:val="100"/>
              <w:adjustRightInd w:val="0"/>
              <w:snapToGrid w:val="0"/>
              <w:rPr>
                <w:sz w:val="21"/>
                <w:szCs w:val="21"/>
              </w:rPr>
            </w:pPr>
            <w:r>
              <w:rPr>
                <w:sz w:val="21"/>
                <w:szCs w:val="21"/>
              </w:rPr>
              <w:t>非层状矿体</w:t>
            </w:r>
          </w:p>
        </w:tc>
        <w:tc>
          <w:tcPr>
            <w:tcW w:w="903" w:type="pct"/>
            <w:vAlign w:val="center"/>
          </w:tcPr>
          <w:p w14:paraId="0DC77978">
            <w:pPr>
              <w:pStyle w:val="100"/>
              <w:adjustRightInd w:val="0"/>
              <w:snapToGrid w:val="0"/>
              <w:rPr>
                <w:sz w:val="21"/>
                <w:szCs w:val="21"/>
              </w:rPr>
            </w:pPr>
            <w:r>
              <w:rPr>
                <w:i/>
                <w:sz w:val="21"/>
                <w:szCs w:val="21"/>
              </w:rPr>
              <w:t>5＜f</w:t>
            </w:r>
            <w:r>
              <w:rPr>
                <w:sz w:val="21"/>
                <w:szCs w:val="21"/>
              </w:rPr>
              <w:t>＜10</w:t>
            </w:r>
          </w:p>
        </w:tc>
        <w:tc>
          <w:tcPr>
            <w:tcW w:w="741" w:type="pct"/>
            <w:vAlign w:val="center"/>
          </w:tcPr>
          <w:p w14:paraId="388BAC8A">
            <w:pPr>
              <w:pStyle w:val="100"/>
              <w:adjustRightInd w:val="0"/>
              <w:snapToGrid w:val="0"/>
              <w:rPr>
                <w:sz w:val="21"/>
                <w:szCs w:val="21"/>
              </w:rPr>
            </w:pPr>
            <w:r>
              <w:rPr>
                <w:sz w:val="21"/>
                <w:szCs w:val="21"/>
              </w:rPr>
              <w:t>0～30</w:t>
            </w:r>
          </w:p>
          <w:p w14:paraId="6166E998">
            <w:pPr>
              <w:pStyle w:val="100"/>
              <w:adjustRightInd w:val="0"/>
              <w:snapToGrid w:val="0"/>
              <w:rPr>
                <w:sz w:val="21"/>
                <w:szCs w:val="21"/>
              </w:rPr>
            </w:pPr>
            <w:r>
              <w:rPr>
                <w:sz w:val="21"/>
                <w:szCs w:val="21"/>
              </w:rPr>
              <w:t>31～50</w:t>
            </w:r>
          </w:p>
          <w:p w14:paraId="441C66A7">
            <w:pPr>
              <w:pStyle w:val="100"/>
              <w:adjustRightInd w:val="0"/>
              <w:snapToGrid w:val="0"/>
              <w:rPr>
                <w:sz w:val="21"/>
                <w:szCs w:val="21"/>
              </w:rPr>
            </w:pPr>
            <w:r>
              <w:rPr>
                <w:sz w:val="21"/>
                <w:szCs w:val="21"/>
              </w:rPr>
              <w:t>51～80</w:t>
            </w:r>
          </w:p>
          <w:p w14:paraId="109AE6DE">
            <w:pPr>
              <w:pStyle w:val="100"/>
              <w:adjustRightInd w:val="0"/>
              <w:snapToGrid w:val="0"/>
              <w:rPr>
                <w:sz w:val="21"/>
                <w:szCs w:val="21"/>
              </w:rPr>
            </w:pPr>
            <w:r>
              <w:rPr>
                <w:sz w:val="21"/>
                <w:szCs w:val="21"/>
              </w:rPr>
              <w:t>81～90</w:t>
            </w:r>
          </w:p>
        </w:tc>
        <w:tc>
          <w:tcPr>
            <w:tcW w:w="1066" w:type="pct"/>
            <w:vAlign w:val="center"/>
          </w:tcPr>
          <w:p w14:paraId="21979018">
            <w:pPr>
              <w:pStyle w:val="100"/>
              <w:adjustRightInd w:val="0"/>
              <w:snapToGrid w:val="0"/>
              <w:rPr>
                <w:sz w:val="21"/>
                <w:szCs w:val="21"/>
              </w:rPr>
            </w:pPr>
            <w:r>
              <w:rPr>
                <w:sz w:val="21"/>
                <w:szCs w:val="21"/>
              </w:rPr>
              <w:t>65</w:t>
            </w:r>
          </w:p>
          <w:p w14:paraId="4E7F9A19">
            <w:pPr>
              <w:pStyle w:val="100"/>
              <w:adjustRightInd w:val="0"/>
              <w:snapToGrid w:val="0"/>
              <w:rPr>
                <w:sz w:val="21"/>
                <w:szCs w:val="21"/>
              </w:rPr>
            </w:pPr>
            <w:r>
              <w:rPr>
                <w:sz w:val="21"/>
                <w:szCs w:val="21"/>
              </w:rPr>
              <w:t>60</w:t>
            </w:r>
          </w:p>
          <w:p w14:paraId="10477F76">
            <w:pPr>
              <w:pStyle w:val="100"/>
              <w:adjustRightInd w:val="0"/>
              <w:snapToGrid w:val="0"/>
              <w:rPr>
                <w:sz w:val="21"/>
                <w:szCs w:val="21"/>
              </w:rPr>
            </w:pPr>
            <w:r>
              <w:rPr>
                <w:sz w:val="21"/>
                <w:szCs w:val="21"/>
              </w:rPr>
              <w:t>65</w:t>
            </w:r>
          </w:p>
          <w:p w14:paraId="21F18532">
            <w:pPr>
              <w:pStyle w:val="100"/>
              <w:adjustRightInd w:val="0"/>
              <w:snapToGrid w:val="0"/>
              <w:rPr>
                <w:sz w:val="21"/>
                <w:szCs w:val="21"/>
              </w:rPr>
            </w:pPr>
            <w:r>
              <w:rPr>
                <w:sz w:val="21"/>
                <w:szCs w:val="21"/>
              </w:rPr>
              <w:t>65</w:t>
            </w:r>
          </w:p>
        </w:tc>
        <w:tc>
          <w:tcPr>
            <w:tcW w:w="1064" w:type="pct"/>
            <w:vAlign w:val="center"/>
          </w:tcPr>
          <w:p w14:paraId="498F92E6">
            <w:pPr>
              <w:pStyle w:val="100"/>
              <w:adjustRightInd w:val="0"/>
              <w:snapToGrid w:val="0"/>
              <w:rPr>
                <w:sz w:val="21"/>
                <w:szCs w:val="21"/>
              </w:rPr>
            </w:pPr>
            <w:r>
              <w:rPr>
                <w:sz w:val="21"/>
                <w:szCs w:val="21"/>
              </w:rPr>
              <w:t>65</w:t>
            </w:r>
          </w:p>
          <w:p w14:paraId="24036330">
            <w:pPr>
              <w:pStyle w:val="100"/>
              <w:adjustRightInd w:val="0"/>
              <w:snapToGrid w:val="0"/>
              <w:rPr>
                <w:sz w:val="21"/>
                <w:szCs w:val="21"/>
              </w:rPr>
            </w:pPr>
            <w:r>
              <w:rPr>
                <w:sz w:val="21"/>
                <w:szCs w:val="21"/>
              </w:rPr>
              <w:t>65</w:t>
            </w:r>
          </w:p>
          <w:p w14:paraId="3100F5EA">
            <w:pPr>
              <w:pStyle w:val="100"/>
              <w:adjustRightInd w:val="0"/>
              <w:snapToGrid w:val="0"/>
              <w:rPr>
                <w:sz w:val="21"/>
                <w:szCs w:val="21"/>
              </w:rPr>
            </w:pPr>
            <w:r>
              <w:rPr>
                <w:sz w:val="21"/>
                <w:szCs w:val="21"/>
              </w:rPr>
              <w:t>—</w:t>
            </w:r>
          </w:p>
          <w:p w14:paraId="0CE6E4CF">
            <w:pPr>
              <w:pStyle w:val="100"/>
              <w:adjustRightInd w:val="0"/>
              <w:snapToGrid w:val="0"/>
              <w:rPr>
                <w:sz w:val="21"/>
                <w:szCs w:val="21"/>
              </w:rPr>
            </w:pPr>
            <w:r>
              <w:rPr>
                <w:sz w:val="21"/>
                <w:szCs w:val="21"/>
              </w:rPr>
              <w:t>—</w:t>
            </w:r>
          </w:p>
        </w:tc>
        <w:tc>
          <w:tcPr>
            <w:tcW w:w="657" w:type="pct"/>
            <w:vAlign w:val="center"/>
          </w:tcPr>
          <w:p w14:paraId="10E481AA">
            <w:pPr>
              <w:pStyle w:val="100"/>
              <w:adjustRightInd w:val="0"/>
              <w:snapToGrid w:val="0"/>
              <w:rPr>
                <w:sz w:val="21"/>
                <w:szCs w:val="21"/>
              </w:rPr>
            </w:pPr>
            <w:r>
              <w:rPr>
                <w:sz w:val="21"/>
                <w:szCs w:val="21"/>
              </w:rPr>
              <w:t>70</w:t>
            </w:r>
          </w:p>
          <w:p w14:paraId="294F0D88">
            <w:pPr>
              <w:pStyle w:val="100"/>
              <w:adjustRightInd w:val="0"/>
              <w:snapToGrid w:val="0"/>
              <w:rPr>
                <w:sz w:val="21"/>
                <w:szCs w:val="21"/>
              </w:rPr>
            </w:pPr>
            <w:r>
              <w:rPr>
                <w:sz w:val="21"/>
                <w:szCs w:val="21"/>
              </w:rPr>
              <w:t>70</w:t>
            </w:r>
          </w:p>
          <w:p w14:paraId="58C6EBC7">
            <w:pPr>
              <w:pStyle w:val="100"/>
              <w:adjustRightInd w:val="0"/>
              <w:snapToGrid w:val="0"/>
              <w:rPr>
                <w:sz w:val="21"/>
                <w:szCs w:val="21"/>
              </w:rPr>
            </w:pPr>
            <w:r>
              <w:rPr>
                <w:sz w:val="21"/>
                <w:szCs w:val="21"/>
              </w:rPr>
              <w:t>70</w:t>
            </w:r>
          </w:p>
          <w:p w14:paraId="6250152C">
            <w:pPr>
              <w:pStyle w:val="100"/>
              <w:adjustRightInd w:val="0"/>
              <w:snapToGrid w:val="0"/>
              <w:rPr>
                <w:sz w:val="21"/>
                <w:szCs w:val="21"/>
              </w:rPr>
            </w:pPr>
            <w:r>
              <w:rPr>
                <w:sz w:val="21"/>
                <w:szCs w:val="21"/>
              </w:rPr>
              <w:t>70</w:t>
            </w:r>
          </w:p>
        </w:tc>
      </w:tr>
    </w:tbl>
    <w:p w14:paraId="31E7B839">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彭集铁矿矿区的主要矿体呈层状、似层状，矿体 f 系数在 10~12 之间，矿体倾角为57°~85°。根据上表 8.6，确定沿走向划的端部岩石移动角 δ 为 70°，自开采下界划的岩石移动角 β 为 40°。</w:t>
      </w:r>
    </w:p>
    <w:p w14:paraId="546C4DB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2）金属矿地表移动角实测类比</w:t>
      </w:r>
    </w:p>
    <w:p w14:paraId="664F11D8">
      <w:pPr>
        <w:adjustRightInd w:val="0"/>
        <w:snapToGrid w:val="0"/>
        <w:spacing w:line="360" w:lineRule="auto"/>
        <w:ind w:firstLine="560"/>
        <w:jc w:val="center"/>
        <w:rPr>
          <w:rFonts w:asciiTheme="minorHAnsi" w:hAnsiTheme="minorHAnsi" w:cstheme="minorHAnsi"/>
          <w:kern w:val="0"/>
          <w:szCs w:val="28"/>
        </w:rPr>
      </w:pPr>
      <w:r>
        <w:rPr>
          <w:rFonts w:hint="eastAsia" w:asciiTheme="minorHAnsi" w:hAnsiTheme="minorHAnsi" w:cstheme="minorHAnsi"/>
          <w:kern w:val="0"/>
          <w:szCs w:val="28"/>
        </w:rPr>
        <w:t xml:space="preserve">表 </w:t>
      </w:r>
      <w:r>
        <w:rPr>
          <w:rFonts w:asciiTheme="minorHAnsi" w:hAnsiTheme="minorHAnsi" w:cstheme="minorHAnsi"/>
          <w:kern w:val="0"/>
          <w:szCs w:val="28"/>
        </w:rPr>
        <w:t>3.1-2</w:t>
      </w:r>
      <w:r>
        <w:rPr>
          <w:rFonts w:hint="eastAsia" w:asciiTheme="minorHAnsi" w:hAnsiTheme="minorHAnsi" w:cstheme="minorHAnsi"/>
          <w:kern w:val="0"/>
          <w:szCs w:val="28"/>
        </w:rPr>
        <w:t xml:space="preserve"> 我国部分金属矿山移动角实测值</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9"/>
        <w:gridCol w:w="534"/>
        <w:gridCol w:w="693"/>
        <w:gridCol w:w="1044"/>
        <w:gridCol w:w="449"/>
        <w:gridCol w:w="449"/>
        <w:gridCol w:w="557"/>
        <w:gridCol w:w="607"/>
        <w:gridCol w:w="521"/>
        <w:gridCol w:w="616"/>
        <w:gridCol w:w="618"/>
        <w:gridCol w:w="596"/>
        <w:gridCol w:w="951"/>
        <w:gridCol w:w="454"/>
        <w:gridCol w:w="456"/>
        <w:gridCol w:w="454"/>
      </w:tblGrid>
      <w:tr w14:paraId="7F4E77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Merge w:val="restart"/>
            <w:vAlign w:val="center"/>
          </w:tcPr>
          <w:p w14:paraId="026C67B6">
            <w:pPr>
              <w:pStyle w:val="100"/>
              <w:adjustRightInd w:val="0"/>
              <w:snapToGrid w:val="0"/>
              <w:rPr>
                <w:rFonts w:eastAsia="宋体"/>
                <w:sz w:val="21"/>
                <w:szCs w:val="21"/>
              </w:rPr>
            </w:pPr>
            <w:r>
              <w:rPr>
                <w:rFonts w:eastAsia="宋体"/>
                <w:sz w:val="21"/>
                <w:szCs w:val="21"/>
              </w:rPr>
              <w:t>序号</w:t>
            </w:r>
          </w:p>
        </w:tc>
        <w:tc>
          <w:tcPr>
            <w:tcW w:w="287" w:type="pct"/>
            <w:vMerge w:val="restart"/>
            <w:vAlign w:val="center"/>
          </w:tcPr>
          <w:p w14:paraId="13D3553C">
            <w:pPr>
              <w:pStyle w:val="100"/>
              <w:adjustRightInd w:val="0"/>
              <w:snapToGrid w:val="0"/>
              <w:rPr>
                <w:rFonts w:eastAsia="宋体"/>
                <w:sz w:val="21"/>
                <w:szCs w:val="21"/>
              </w:rPr>
            </w:pPr>
            <w:r>
              <w:rPr>
                <w:rFonts w:eastAsia="宋体"/>
                <w:sz w:val="21"/>
                <w:szCs w:val="21"/>
              </w:rPr>
              <w:t>矿山名称</w:t>
            </w:r>
          </w:p>
        </w:tc>
        <w:tc>
          <w:tcPr>
            <w:tcW w:w="933" w:type="pct"/>
            <w:gridSpan w:val="2"/>
            <w:vAlign w:val="center"/>
          </w:tcPr>
          <w:p w14:paraId="2D79A768">
            <w:pPr>
              <w:pStyle w:val="100"/>
              <w:adjustRightInd w:val="0"/>
              <w:snapToGrid w:val="0"/>
              <w:rPr>
                <w:rFonts w:eastAsia="宋体"/>
                <w:sz w:val="21"/>
                <w:szCs w:val="21"/>
              </w:rPr>
            </w:pPr>
            <w:r>
              <w:rPr>
                <w:rFonts w:eastAsia="宋体"/>
                <w:sz w:val="21"/>
                <w:szCs w:val="21"/>
              </w:rPr>
              <w:t>围岩名称</w:t>
            </w:r>
          </w:p>
        </w:tc>
        <w:tc>
          <w:tcPr>
            <w:tcW w:w="482" w:type="pct"/>
            <w:gridSpan w:val="2"/>
            <w:vAlign w:val="center"/>
          </w:tcPr>
          <w:p w14:paraId="2F180BA3">
            <w:pPr>
              <w:pStyle w:val="100"/>
              <w:adjustRightInd w:val="0"/>
              <w:snapToGrid w:val="0"/>
              <w:rPr>
                <w:rFonts w:eastAsia="宋体"/>
                <w:sz w:val="21"/>
                <w:szCs w:val="21"/>
              </w:rPr>
            </w:pPr>
            <w:r>
              <w:rPr>
                <w:rFonts w:eastAsia="宋体"/>
                <w:sz w:val="21"/>
                <w:szCs w:val="21"/>
              </w:rPr>
              <w:t>普式系数</w:t>
            </w:r>
          </w:p>
        </w:tc>
        <w:tc>
          <w:tcPr>
            <w:tcW w:w="624" w:type="pct"/>
            <w:gridSpan w:val="2"/>
            <w:vAlign w:val="center"/>
          </w:tcPr>
          <w:p w14:paraId="4883314C">
            <w:pPr>
              <w:pStyle w:val="100"/>
              <w:adjustRightInd w:val="0"/>
              <w:snapToGrid w:val="0"/>
              <w:rPr>
                <w:rFonts w:eastAsia="宋体"/>
                <w:sz w:val="21"/>
                <w:szCs w:val="21"/>
                <w:lang w:eastAsia="zh-CN"/>
              </w:rPr>
            </w:pPr>
            <w:r>
              <w:rPr>
                <w:rFonts w:eastAsia="宋体"/>
                <w:sz w:val="21"/>
                <w:szCs w:val="21"/>
                <w:lang w:eastAsia="zh-CN"/>
              </w:rPr>
              <w:t>构造特征</w:t>
            </w:r>
          </w:p>
          <w:p w14:paraId="6C071C94">
            <w:pPr>
              <w:pStyle w:val="100"/>
              <w:adjustRightInd w:val="0"/>
              <w:snapToGrid w:val="0"/>
              <w:rPr>
                <w:rFonts w:eastAsia="宋体"/>
                <w:sz w:val="21"/>
                <w:szCs w:val="21"/>
                <w:lang w:eastAsia="zh-CN"/>
              </w:rPr>
            </w:pPr>
            <w:r>
              <w:rPr>
                <w:rFonts w:eastAsia="宋体"/>
                <w:sz w:val="21"/>
                <w:szCs w:val="21"/>
                <w:lang w:eastAsia="zh-CN"/>
              </w:rPr>
              <w:t>（或稳定程度）</w:t>
            </w:r>
          </w:p>
        </w:tc>
        <w:tc>
          <w:tcPr>
            <w:tcW w:w="280" w:type="pct"/>
            <w:vMerge w:val="restart"/>
            <w:vAlign w:val="center"/>
          </w:tcPr>
          <w:p w14:paraId="67E05026">
            <w:pPr>
              <w:pStyle w:val="100"/>
              <w:adjustRightInd w:val="0"/>
              <w:snapToGrid w:val="0"/>
              <w:rPr>
                <w:rFonts w:eastAsia="宋体"/>
                <w:sz w:val="21"/>
                <w:szCs w:val="21"/>
              </w:rPr>
            </w:pPr>
            <w:r>
              <w:rPr>
                <w:rFonts w:eastAsia="宋体"/>
                <w:sz w:val="21"/>
                <w:szCs w:val="21"/>
              </w:rPr>
              <w:t>矿体倾角</w:t>
            </w:r>
          </w:p>
          <w:p w14:paraId="236FC1B6">
            <w:pPr>
              <w:pStyle w:val="100"/>
              <w:adjustRightInd w:val="0"/>
              <w:snapToGrid w:val="0"/>
              <w:rPr>
                <w:rFonts w:eastAsia="宋体"/>
                <w:sz w:val="21"/>
                <w:szCs w:val="21"/>
              </w:rPr>
            </w:pPr>
            <w:r>
              <w:rPr>
                <w:rFonts w:eastAsia="宋体"/>
                <w:sz w:val="21"/>
                <w:szCs w:val="21"/>
              </w:rPr>
              <w:t>（°）</w:t>
            </w:r>
          </w:p>
        </w:tc>
        <w:tc>
          <w:tcPr>
            <w:tcW w:w="331" w:type="pct"/>
            <w:vMerge w:val="restart"/>
            <w:vAlign w:val="center"/>
          </w:tcPr>
          <w:p w14:paraId="116718EB">
            <w:pPr>
              <w:pStyle w:val="100"/>
              <w:adjustRightInd w:val="0"/>
              <w:snapToGrid w:val="0"/>
              <w:rPr>
                <w:rFonts w:eastAsia="宋体"/>
                <w:sz w:val="21"/>
                <w:szCs w:val="21"/>
              </w:rPr>
            </w:pPr>
            <w:r>
              <w:rPr>
                <w:rFonts w:eastAsia="宋体"/>
                <w:sz w:val="21"/>
                <w:szCs w:val="21"/>
              </w:rPr>
              <w:t>矿体水平厚度</w:t>
            </w:r>
          </w:p>
          <w:p w14:paraId="3B33B2E2">
            <w:pPr>
              <w:pStyle w:val="100"/>
              <w:adjustRightInd w:val="0"/>
              <w:snapToGrid w:val="0"/>
              <w:rPr>
                <w:rFonts w:eastAsia="宋体"/>
                <w:sz w:val="21"/>
                <w:szCs w:val="21"/>
              </w:rPr>
            </w:pPr>
            <w:r>
              <w:rPr>
                <w:rFonts w:eastAsia="宋体"/>
                <w:sz w:val="21"/>
                <w:szCs w:val="21"/>
              </w:rPr>
              <w:t>（m）</w:t>
            </w:r>
          </w:p>
        </w:tc>
        <w:tc>
          <w:tcPr>
            <w:tcW w:w="332" w:type="pct"/>
            <w:vMerge w:val="restart"/>
            <w:vAlign w:val="center"/>
          </w:tcPr>
          <w:p w14:paraId="496254D4">
            <w:pPr>
              <w:pStyle w:val="100"/>
              <w:adjustRightInd w:val="0"/>
              <w:snapToGrid w:val="0"/>
              <w:rPr>
                <w:rFonts w:eastAsia="宋体"/>
                <w:sz w:val="21"/>
                <w:szCs w:val="21"/>
              </w:rPr>
            </w:pPr>
            <w:r>
              <w:rPr>
                <w:rFonts w:eastAsia="宋体"/>
                <w:sz w:val="21"/>
                <w:szCs w:val="21"/>
              </w:rPr>
              <w:t>矿体走向长度</w:t>
            </w:r>
          </w:p>
          <w:p w14:paraId="5C5D22DA">
            <w:pPr>
              <w:pStyle w:val="100"/>
              <w:adjustRightInd w:val="0"/>
              <w:snapToGrid w:val="0"/>
              <w:rPr>
                <w:rFonts w:eastAsia="宋体"/>
                <w:sz w:val="21"/>
                <w:szCs w:val="21"/>
              </w:rPr>
            </w:pPr>
            <w:r>
              <w:rPr>
                <w:rFonts w:eastAsia="宋体"/>
                <w:sz w:val="21"/>
                <w:szCs w:val="21"/>
              </w:rPr>
              <w:t>（m）</w:t>
            </w:r>
          </w:p>
        </w:tc>
        <w:tc>
          <w:tcPr>
            <w:tcW w:w="320" w:type="pct"/>
            <w:vMerge w:val="restart"/>
            <w:vAlign w:val="center"/>
          </w:tcPr>
          <w:p w14:paraId="7C0EFD3A">
            <w:pPr>
              <w:pStyle w:val="100"/>
              <w:adjustRightInd w:val="0"/>
              <w:snapToGrid w:val="0"/>
              <w:rPr>
                <w:rFonts w:eastAsia="宋体"/>
                <w:sz w:val="21"/>
                <w:szCs w:val="21"/>
              </w:rPr>
            </w:pPr>
            <w:r>
              <w:rPr>
                <w:rFonts w:eastAsia="宋体"/>
                <w:sz w:val="21"/>
                <w:szCs w:val="21"/>
              </w:rPr>
              <w:t>开采深度</w:t>
            </w:r>
          </w:p>
          <w:p w14:paraId="661599D2">
            <w:pPr>
              <w:pStyle w:val="100"/>
              <w:adjustRightInd w:val="0"/>
              <w:snapToGrid w:val="0"/>
              <w:rPr>
                <w:rFonts w:eastAsia="宋体"/>
                <w:sz w:val="21"/>
                <w:szCs w:val="21"/>
              </w:rPr>
            </w:pPr>
            <w:r>
              <w:rPr>
                <w:rFonts w:eastAsia="宋体"/>
                <w:sz w:val="21"/>
                <w:szCs w:val="21"/>
              </w:rPr>
              <w:t>（m）</w:t>
            </w:r>
          </w:p>
        </w:tc>
        <w:tc>
          <w:tcPr>
            <w:tcW w:w="511" w:type="pct"/>
            <w:vMerge w:val="restart"/>
            <w:vAlign w:val="center"/>
          </w:tcPr>
          <w:p w14:paraId="65BB01F3">
            <w:pPr>
              <w:pStyle w:val="100"/>
              <w:adjustRightInd w:val="0"/>
              <w:snapToGrid w:val="0"/>
              <w:rPr>
                <w:rFonts w:eastAsia="宋体"/>
                <w:sz w:val="21"/>
                <w:szCs w:val="21"/>
              </w:rPr>
            </w:pPr>
            <w:r>
              <w:rPr>
                <w:rFonts w:eastAsia="宋体"/>
                <w:sz w:val="21"/>
                <w:szCs w:val="21"/>
              </w:rPr>
              <w:t>采矿方法</w:t>
            </w:r>
          </w:p>
        </w:tc>
        <w:tc>
          <w:tcPr>
            <w:tcW w:w="734" w:type="pct"/>
            <w:gridSpan w:val="3"/>
            <w:vAlign w:val="center"/>
          </w:tcPr>
          <w:p w14:paraId="5246C05C">
            <w:pPr>
              <w:pStyle w:val="100"/>
              <w:adjustRightInd w:val="0"/>
              <w:snapToGrid w:val="0"/>
              <w:rPr>
                <w:rFonts w:eastAsia="宋体"/>
                <w:sz w:val="21"/>
                <w:szCs w:val="21"/>
              </w:rPr>
            </w:pPr>
            <w:r>
              <w:rPr>
                <w:rFonts w:eastAsia="宋体"/>
                <w:sz w:val="21"/>
                <w:szCs w:val="21"/>
              </w:rPr>
              <w:t>移动角（°）</w:t>
            </w:r>
          </w:p>
        </w:tc>
      </w:tr>
      <w:tr w14:paraId="60BCD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Merge w:val="continue"/>
            <w:vAlign w:val="center"/>
          </w:tcPr>
          <w:p w14:paraId="0050AFD7">
            <w:pPr>
              <w:autoSpaceDE w:val="0"/>
              <w:autoSpaceDN w:val="0"/>
              <w:adjustRightInd w:val="0"/>
              <w:snapToGrid w:val="0"/>
              <w:spacing w:line="240" w:lineRule="auto"/>
              <w:ind w:firstLine="0" w:firstLineChars="0"/>
              <w:rPr>
                <w:rFonts w:cs="Times New Roman"/>
                <w:sz w:val="21"/>
                <w:szCs w:val="21"/>
                <w:lang w:eastAsia="en-US"/>
              </w:rPr>
            </w:pPr>
          </w:p>
        </w:tc>
        <w:tc>
          <w:tcPr>
            <w:tcW w:w="287" w:type="pct"/>
            <w:vMerge w:val="continue"/>
            <w:vAlign w:val="center"/>
          </w:tcPr>
          <w:p w14:paraId="327675E4">
            <w:pPr>
              <w:autoSpaceDE w:val="0"/>
              <w:autoSpaceDN w:val="0"/>
              <w:adjustRightInd w:val="0"/>
              <w:snapToGrid w:val="0"/>
              <w:spacing w:line="240" w:lineRule="auto"/>
              <w:ind w:firstLine="0" w:firstLineChars="0"/>
              <w:rPr>
                <w:rFonts w:cs="Times New Roman"/>
                <w:sz w:val="21"/>
                <w:szCs w:val="21"/>
                <w:lang w:eastAsia="en-US"/>
              </w:rPr>
            </w:pPr>
          </w:p>
        </w:tc>
        <w:tc>
          <w:tcPr>
            <w:tcW w:w="372" w:type="pct"/>
            <w:vAlign w:val="center"/>
          </w:tcPr>
          <w:p w14:paraId="05957ACF">
            <w:pPr>
              <w:pStyle w:val="100"/>
              <w:adjustRightInd w:val="0"/>
              <w:snapToGrid w:val="0"/>
              <w:rPr>
                <w:rFonts w:eastAsia="宋体"/>
                <w:sz w:val="21"/>
                <w:szCs w:val="21"/>
              </w:rPr>
            </w:pPr>
            <w:r>
              <w:rPr>
                <w:rFonts w:eastAsia="宋体"/>
                <w:sz w:val="21"/>
                <w:szCs w:val="21"/>
              </w:rPr>
              <w:t>上盘</w:t>
            </w:r>
          </w:p>
        </w:tc>
        <w:tc>
          <w:tcPr>
            <w:tcW w:w="561" w:type="pct"/>
            <w:vAlign w:val="center"/>
          </w:tcPr>
          <w:p w14:paraId="529503EE">
            <w:pPr>
              <w:pStyle w:val="100"/>
              <w:adjustRightInd w:val="0"/>
              <w:snapToGrid w:val="0"/>
              <w:rPr>
                <w:rFonts w:eastAsia="宋体"/>
                <w:sz w:val="21"/>
                <w:szCs w:val="21"/>
              </w:rPr>
            </w:pPr>
            <w:r>
              <w:rPr>
                <w:rFonts w:eastAsia="宋体"/>
                <w:sz w:val="21"/>
                <w:szCs w:val="21"/>
              </w:rPr>
              <w:t>下盘</w:t>
            </w:r>
          </w:p>
        </w:tc>
        <w:tc>
          <w:tcPr>
            <w:tcW w:w="241" w:type="pct"/>
            <w:vAlign w:val="center"/>
          </w:tcPr>
          <w:p w14:paraId="39C4AC29">
            <w:pPr>
              <w:pStyle w:val="100"/>
              <w:adjustRightInd w:val="0"/>
              <w:snapToGrid w:val="0"/>
              <w:rPr>
                <w:rFonts w:eastAsia="宋体"/>
                <w:sz w:val="21"/>
                <w:szCs w:val="21"/>
              </w:rPr>
            </w:pPr>
            <w:r>
              <w:rPr>
                <w:rFonts w:eastAsia="宋体"/>
                <w:sz w:val="21"/>
                <w:szCs w:val="21"/>
              </w:rPr>
              <w:t>上盘</w:t>
            </w:r>
          </w:p>
        </w:tc>
        <w:tc>
          <w:tcPr>
            <w:tcW w:w="241" w:type="pct"/>
            <w:vAlign w:val="center"/>
          </w:tcPr>
          <w:p w14:paraId="490D6D8C">
            <w:pPr>
              <w:pStyle w:val="100"/>
              <w:adjustRightInd w:val="0"/>
              <w:snapToGrid w:val="0"/>
              <w:rPr>
                <w:rFonts w:eastAsia="宋体"/>
                <w:sz w:val="21"/>
                <w:szCs w:val="21"/>
              </w:rPr>
            </w:pPr>
            <w:r>
              <w:rPr>
                <w:rFonts w:eastAsia="宋体"/>
                <w:sz w:val="21"/>
                <w:szCs w:val="21"/>
              </w:rPr>
              <w:t>下盘</w:t>
            </w:r>
          </w:p>
        </w:tc>
        <w:tc>
          <w:tcPr>
            <w:tcW w:w="299" w:type="pct"/>
            <w:vAlign w:val="center"/>
          </w:tcPr>
          <w:p w14:paraId="233066BB">
            <w:pPr>
              <w:pStyle w:val="100"/>
              <w:adjustRightInd w:val="0"/>
              <w:snapToGrid w:val="0"/>
              <w:rPr>
                <w:rFonts w:eastAsia="宋体"/>
                <w:sz w:val="21"/>
                <w:szCs w:val="21"/>
              </w:rPr>
            </w:pPr>
            <w:r>
              <w:rPr>
                <w:rFonts w:eastAsia="宋体"/>
                <w:sz w:val="21"/>
                <w:szCs w:val="21"/>
              </w:rPr>
              <w:t>上盘</w:t>
            </w:r>
          </w:p>
        </w:tc>
        <w:tc>
          <w:tcPr>
            <w:tcW w:w="326" w:type="pct"/>
            <w:vAlign w:val="center"/>
          </w:tcPr>
          <w:p w14:paraId="12E1E9BB">
            <w:pPr>
              <w:pStyle w:val="100"/>
              <w:adjustRightInd w:val="0"/>
              <w:snapToGrid w:val="0"/>
              <w:rPr>
                <w:rFonts w:eastAsia="宋体"/>
                <w:sz w:val="21"/>
                <w:szCs w:val="21"/>
              </w:rPr>
            </w:pPr>
            <w:r>
              <w:rPr>
                <w:rFonts w:eastAsia="宋体"/>
                <w:sz w:val="21"/>
                <w:szCs w:val="21"/>
              </w:rPr>
              <w:t>下盘</w:t>
            </w:r>
          </w:p>
        </w:tc>
        <w:tc>
          <w:tcPr>
            <w:tcW w:w="280" w:type="pct"/>
            <w:vMerge w:val="continue"/>
            <w:vAlign w:val="center"/>
          </w:tcPr>
          <w:p w14:paraId="7FD05D95">
            <w:pPr>
              <w:autoSpaceDE w:val="0"/>
              <w:autoSpaceDN w:val="0"/>
              <w:adjustRightInd w:val="0"/>
              <w:snapToGrid w:val="0"/>
              <w:spacing w:line="240" w:lineRule="auto"/>
              <w:ind w:firstLine="0" w:firstLineChars="0"/>
              <w:rPr>
                <w:rFonts w:cs="Times New Roman"/>
                <w:sz w:val="21"/>
                <w:szCs w:val="21"/>
                <w:lang w:eastAsia="en-US"/>
              </w:rPr>
            </w:pPr>
          </w:p>
        </w:tc>
        <w:tc>
          <w:tcPr>
            <w:tcW w:w="331" w:type="pct"/>
            <w:vMerge w:val="continue"/>
            <w:vAlign w:val="center"/>
          </w:tcPr>
          <w:p w14:paraId="77A3153C">
            <w:pPr>
              <w:autoSpaceDE w:val="0"/>
              <w:autoSpaceDN w:val="0"/>
              <w:adjustRightInd w:val="0"/>
              <w:snapToGrid w:val="0"/>
              <w:spacing w:line="240" w:lineRule="auto"/>
              <w:ind w:firstLine="0" w:firstLineChars="0"/>
              <w:rPr>
                <w:rFonts w:cs="Times New Roman"/>
                <w:sz w:val="21"/>
                <w:szCs w:val="21"/>
                <w:lang w:eastAsia="en-US"/>
              </w:rPr>
            </w:pPr>
          </w:p>
        </w:tc>
        <w:tc>
          <w:tcPr>
            <w:tcW w:w="332" w:type="pct"/>
            <w:vMerge w:val="continue"/>
            <w:vAlign w:val="center"/>
          </w:tcPr>
          <w:p w14:paraId="4672A598">
            <w:pPr>
              <w:autoSpaceDE w:val="0"/>
              <w:autoSpaceDN w:val="0"/>
              <w:adjustRightInd w:val="0"/>
              <w:snapToGrid w:val="0"/>
              <w:spacing w:line="240" w:lineRule="auto"/>
              <w:ind w:firstLine="0" w:firstLineChars="0"/>
              <w:rPr>
                <w:rFonts w:cs="Times New Roman"/>
                <w:sz w:val="21"/>
                <w:szCs w:val="21"/>
                <w:lang w:eastAsia="en-US"/>
              </w:rPr>
            </w:pPr>
          </w:p>
        </w:tc>
        <w:tc>
          <w:tcPr>
            <w:tcW w:w="320" w:type="pct"/>
            <w:vMerge w:val="continue"/>
            <w:vAlign w:val="center"/>
          </w:tcPr>
          <w:p w14:paraId="3747895E">
            <w:pPr>
              <w:autoSpaceDE w:val="0"/>
              <w:autoSpaceDN w:val="0"/>
              <w:adjustRightInd w:val="0"/>
              <w:snapToGrid w:val="0"/>
              <w:spacing w:line="240" w:lineRule="auto"/>
              <w:ind w:firstLine="0" w:firstLineChars="0"/>
              <w:rPr>
                <w:rFonts w:cs="Times New Roman"/>
                <w:sz w:val="21"/>
                <w:szCs w:val="21"/>
                <w:lang w:eastAsia="en-US"/>
              </w:rPr>
            </w:pPr>
          </w:p>
        </w:tc>
        <w:tc>
          <w:tcPr>
            <w:tcW w:w="511" w:type="pct"/>
            <w:vMerge w:val="continue"/>
            <w:vAlign w:val="center"/>
          </w:tcPr>
          <w:p w14:paraId="4E6DAA1F">
            <w:pPr>
              <w:autoSpaceDE w:val="0"/>
              <w:autoSpaceDN w:val="0"/>
              <w:adjustRightInd w:val="0"/>
              <w:snapToGrid w:val="0"/>
              <w:spacing w:line="240" w:lineRule="auto"/>
              <w:ind w:firstLine="0" w:firstLineChars="0"/>
              <w:rPr>
                <w:rFonts w:cs="Times New Roman"/>
                <w:sz w:val="21"/>
                <w:szCs w:val="21"/>
                <w:lang w:eastAsia="en-US"/>
              </w:rPr>
            </w:pPr>
          </w:p>
        </w:tc>
        <w:tc>
          <w:tcPr>
            <w:tcW w:w="244" w:type="pct"/>
            <w:vAlign w:val="center"/>
          </w:tcPr>
          <w:p w14:paraId="60245255">
            <w:pPr>
              <w:pStyle w:val="100"/>
              <w:adjustRightInd w:val="0"/>
              <w:snapToGrid w:val="0"/>
              <w:rPr>
                <w:rFonts w:eastAsia="宋体"/>
                <w:sz w:val="21"/>
                <w:szCs w:val="21"/>
              </w:rPr>
            </w:pPr>
            <w:r>
              <w:rPr>
                <w:rFonts w:eastAsia="宋体"/>
                <w:sz w:val="21"/>
                <w:szCs w:val="21"/>
              </w:rPr>
              <w:t>上盘</w:t>
            </w:r>
          </w:p>
        </w:tc>
        <w:tc>
          <w:tcPr>
            <w:tcW w:w="245" w:type="pct"/>
            <w:vAlign w:val="center"/>
          </w:tcPr>
          <w:p w14:paraId="6C77765F">
            <w:pPr>
              <w:pStyle w:val="100"/>
              <w:adjustRightInd w:val="0"/>
              <w:snapToGrid w:val="0"/>
              <w:rPr>
                <w:rFonts w:eastAsia="宋体"/>
                <w:sz w:val="21"/>
                <w:szCs w:val="21"/>
              </w:rPr>
            </w:pPr>
            <w:r>
              <w:rPr>
                <w:rFonts w:eastAsia="宋体"/>
                <w:sz w:val="21"/>
                <w:szCs w:val="21"/>
              </w:rPr>
              <w:t>下盘</w:t>
            </w:r>
          </w:p>
        </w:tc>
        <w:tc>
          <w:tcPr>
            <w:tcW w:w="244" w:type="pct"/>
            <w:vAlign w:val="center"/>
          </w:tcPr>
          <w:p w14:paraId="3E04FF24">
            <w:pPr>
              <w:pStyle w:val="100"/>
              <w:adjustRightInd w:val="0"/>
              <w:snapToGrid w:val="0"/>
              <w:rPr>
                <w:rFonts w:eastAsia="宋体"/>
                <w:sz w:val="21"/>
                <w:szCs w:val="21"/>
              </w:rPr>
            </w:pPr>
            <w:r>
              <w:rPr>
                <w:rFonts w:eastAsia="宋体"/>
                <w:sz w:val="21"/>
                <w:szCs w:val="21"/>
              </w:rPr>
              <w:t>走向</w:t>
            </w:r>
          </w:p>
        </w:tc>
      </w:tr>
      <w:tr w14:paraId="17B478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48E349AA">
            <w:pPr>
              <w:pStyle w:val="100"/>
              <w:adjustRightInd w:val="0"/>
              <w:snapToGrid w:val="0"/>
              <w:rPr>
                <w:rFonts w:eastAsia="宋体"/>
                <w:sz w:val="21"/>
                <w:szCs w:val="21"/>
              </w:rPr>
            </w:pPr>
            <w:r>
              <w:rPr>
                <w:rFonts w:eastAsia="宋体"/>
                <w:sz w:val="21"/>
                <w:szCs w:val="21"/>
              </w:rPr>
              <w:t>1</w:t>
            </w:r>
          </w:p>
        </w:tc>
        <w:tc>
          <w:tcPr>
            <w:tcW w:w="287" w:type="pct"/>
            <w:vAlign w:val="center"/>
          </w:tcPr>
          <w:p w14:paraId="528DD872">
            <w:pPr>
              <w:pStyle w:val="100"/>
              <w:adjustRightInd w:val="0"/>
              <w:snapToGrid w:val="0"/>
              <w:jc w:val="both"/>
              <w:rPr>
                <w:rFonts w:eastAsia="宋体"/>
                <w:sz w:val="21"/>
                <w:szCs w:val="21"/>
              </w:rPr>
            </w:pPr>
            <w:r>
              <w:rPr>
                <w:rFonts w:eastAsia="宋体"/>
                <w:sz w:val="21"/>
                <w:szCs w:val="21"/>
              </w:rPr>
              <w:t>云锡</w:t>
            </w:r>
          </w:p>
          <w:p w14:paraId="26B57784">
            <w:pPr>
              <w:pStyle w:val="100"/>
              <w:adjustRightInd w:val="0"/>
              <w:snapToGrid w:val="0"/>
              <w:jc w:val="both"/>
              <w:rPr>
                <w:rFonts w:eastAsia="宋体"/>
                <w:sz w:val="21"/>
                <w:szCs w:val="21"/>
              </w:rPr>
            </w:pPr>
            <w:r>
              <w:rPr>
                <w:rFonts w:eastAsia="宋体"/>
                <w:sz w:val="21"/>
                <w:szCs w:val="21"/>
              </w:rPr>
              <w:t>马拉格</w:t>
            </w:r>
            <w:r>
              <w:rPr>
                <w:rFonts w:eastAsia="宋体"/>
                <w:spacing w:val="-53"/>
                <w:sz w:val="21"/>
                <w:szCs w:val="21"/>
              </w:rPr>
              <w:t xml:space="preserve"> </w:t>
            </w:r>
            <w:r>
              <w:rPr>
                <w:rFonts w:eastAsia="宋体"/>
                <w:sz w:val="21"/>
                <w:szCs w:val="21"/>
              </w:rPr>
              <w:t>4#矿体</w:t>
            </w:r>
          </w:p>
        </w:tc>
        <w:tc>
          <w:tcPr>
            <w:tcW w:w="372" w:type="pct"/>
            <w:vAlign w:val="center"/>
          </w:tcPr>
          <w:p w14:paraId="1AB6BE39">
            <w:pPr>
              <w:pStyle w:val="100"/>
              <w:adjustRightInd w:val="0"/>
              <w:snapToGrid w:val="0"/>
              <w:rPr>
                <w:rFonts w:eastAsia="宋体"/>
                <w:sz w:val="21"/>
                <w:szCs w:val="21"/>
              </w:rPr>
            </w:pPr>
            <w:r>
              <w:rPr>
                <w:rFonts w:eastAsia="宋体"/>
                <w:sz w:val="21"/>
                <w:szCs w:val="21"/>
              </w:rPr>
              <w:t>矽化大理岩</w:t>
            </w:r>
          </w:p>
        </w:tc>
        <w:tc>
          <w:tcPr>
            <w:tcW w:w="561" w:type="pct"/>
            <w:vAlign w:val="center"/>
          </w:tcPr>
          <w:p w14:paraId="6FAC5E2E">
            <w:pPr>
              <w:pStyle w:val="100"/>
              <w:adjustRightInd w:val="0"/>
              <w:snapToGrid w:val="0"/>
              <w:rPr>
                <w:rFonts w:eastAsia="宋体"/>
                <w:sz w:val="21"/>
                <w:szCs w:val="21"/>
              </w:rPr>
            </w:pPr>
            <w:r>
              <w:rPr>
                <w:rFonts w:eastAsia="宋体"/>
                <w:sz w:val="21"/>
                <w:szCs w:val="21"/>
              </w:rPr>
              <w:t>矽化大理岩</w:t>
            </w:r>
          </w:p>
        </w:tc>
        <w:tc>
          <w:tcPr>
            <w:tcW w:w="241" w:type="pct"/>
            <w:vAlign w:val="center"/>
          </w:tcPr>
          <w:p w14:paraId="42A603DF">
            <w:pPr>
              <w:pStyle w:val="100"/>
              <w:adjustRightInd w:val="0"/>
              <w:snapToGrid w:val="0"/>
              <w:rPr>
                <w:rFonts w:eastAsia="宋体"/>
                <w:sz w:val="21"/>
                <w:szCs w:val="21"/>
              </w:rPr>
            </w:pPr>
            <w:r>
              <w:rPr>
                <w:rFonts w:eastAsia="宋体"/>
                <w:sz w:val="21"/>
                <w:szCs w:val="21"/>
              </w:rPr>
              <w:t>8</w:t>
            </w:r>
          </w:p>
        </w:tc>
        <w:tc>
          <w:tcPr>
            <w:tcW w:w="241" w:type="pct"/>
            <w:vAlign w:val="center"/>
          </w:tcPr>
          <w:p w14:paraId="75EF50E9">
            <w:pPr>
              <w:pStyle w:val="100"/>
              <w:adjustRightInd w:val="0"/>
              <w:snapToGrid w:val="0"/>
              <w:rPr>
                <w:rFonts w:eastAsia="宋体"/>
                <w:sz w:val="21"/>
                <w:szCs w:val="21"/>
              </w:rPr>
            </w:pPr>
            <w:r>
              <w:rPr>
                <w:rFonts w:eastAsia="宋体"/>
                <w:sz w:val="21"/>
                <w:szCs w:val="21"/>
              </w:rPr>
              <w:t>8</w:t>
            </w:r>
          </w:p>
        </w:tc>
        <w:tc>
          <w:tcPr>
            <w:tcW w:w="299" w:type="pct"/>
            <w:vAlign w:val="center"/>
          </w:tcPr>
          <w:p w14:paraId="78FFDEBF">
            <w:pPr>
              <w:pStyle w:val="100"/>
              <w:adjustRightInd w:val="0"/>
              <w:snapToGrid w:val="0"/>
              <w:rPr>
                <w:rFonts w:eastAsia="宋体"/>
                <w:sz w:val="21"/>
                <w:szCs w:val="21"/>
              </w:rPr>
            </w:pPr>
            <w:r>
              <w:rPr>
                <w:rFonts w:eastAsia="宋体"/>
                <w:sz w:val="21"/>
                <w:szCs w:val="21"/>
              </w:rPr>
              <w:t>中等稳固</w:t>
            </w:r>
          </w:p>
        </w:tc>
        <w:tc>
          <w:tcPr>
            <w:tcW w:w="326" w:type="pct"/>
            <w:vAlign w:val="center"/>
          </w:tcPr>
          <w:p w14:paraId="0B113901">
            <w:pPr>
              <w:pStyle w:val="100"/>
              <w:adjustRightInd w:val="0"/>
              <w:snapToGrid w:val="0"/>
              <w:rPr>
                <w:rFonts w:eastAsia="宋体"/>
                <w:sz w:val="21"/>
                <w:szCs w:val="21"/>
              </w:rPr>
            </w:pPr>
            <w:r>
              <w:rPr>
                <w:rFonts w:eastAsia="宋体"/>
                <w:sz w:val="21"/>
                <w:szCs w:val="21"/>
              </w:rPr>
              <w:t>中等稳固</w:t>
            </w:r>
          </w:p>
        </w:tc>
        <w:tc>
          <w:tcPr>
            <w:tcW w:w="280" w:type="pct"/>
            <w:vAlign w:val="center"/>
          </w:tcPr>
          <w:p w14:paraId="2EC49955">
            <w:pPr>
              <w:pStyle w:val="100"/>
              <w:adjustRightInd w:val="0"/>
              <w:snapToGrid w:val="0"/>
              <w:rPr>
                <w:rFonts w:eastAsia="宋体"/>
                <w:sz w:val="21"/>
                <w:szCs w:val="21"/>
              </w:rPr>
            </w:pPr>
            <w:r>
              <w:rPr>
                <w:rFonts w:eastAsia="宋体"/>
                <w:sz w:val="21"/>
                <w:szCs w:val="21"/>
              </w:rPr>
              <w:t>40～</w:t>
            </w:r>
          </w:p>
          <w:p w14:paraId="473B0DAC">
            <w:pPr>
              <w:pStyle w:val="100"/>
              <w:adjustRightInd w:val="0"/>
              <w:snapToGrid w:val="0"/>
              <w:rPr>
                <w:rFonts w:eastAsia="宋体"/>
                <w:sz w:val="21"/>
                <w:szCs w:val="21"/>
              </w:rPr>
            </w:pPr>
            <w:r>
              <w:rPr>
                <w:rFonts w:eastAsia="宋体"/>
                <w:sz w:val="21"/>
                <w:szCs w:val="21"/>
              </w:rPr>
              <w:t>50</w:t>
            </w:r>
          </w:p>
        </w:tc>
        <w:tc>
          <w:tcPr>
            <w:tcW w:w="331" w:type="pct"/>
            <w:vAlign w:val="center"/>
          </w:tcPr>
          <w:p w14:paraId="3F885760">
            <w:pPr>
              <w:pStyle w:val="100"/>
              <w:adjustRightInd w:val="0"/>
              <w:snapToGrid w:val="0"/>
              <w:rPr>
                <w:rFonts w:eastAsia="宋体"/>
                <w:sz w:val="21"/>
                <w:szCs w:val="21"/>
              </w:rPr>
            </w:pPr>
            <w:r>
              <w:rPr>
                <w:rFonts w:eastAsia="宋体"/>
                <w:sz w:val="21"/>
                <w:szCs w:val="21"/>
              </w:rPr>
              <w:t>10</w:t>
            </w:r>
          </w:p>
        </w:tc>
        <w:tc>
          <w:tcPr>
            <w:tcW w:w="332" w:type="pct"/>
            <w:vAlign w:val="center"/>
          </w:tcPr>
          <w:p w14:paraId="6C8CDA2F">
            <w:pPr>
              <w:pStyle w:val="100"/>
              <w:adjustRightInd w:val="0"/>
              <w:snapToGrid w:val="0"/>
              <w:rPr>
                <w:rFonts w:eastAsia="宋体"/>
                <w:sz w:val="21"/>
                <w:szCs w:val="21"/>
              </w:rPr>
            </w:pPr>
            <w:r>
              <w:rPr>
                <w:rFonts w:eastAsia="宋体"/>
                <w:sz w:val="21"/>
                <w:szCs w:val="21"/>
              </w:rPr>
              <w:t>60</w:t>
            </w:r>
          </w:p>
        </w:tc>
        <w:tc>
          <w:tcPr>
            <w:tcW w:w="320" w:type="pct"/>
            <w:vAlign w:val="center"/>
          </w:tcPr>
          <w:p w14:paraId="729B34E2">
            <w:pPr>
              <w:pStyle w:val="100"/>
              <w:adjustRightInd w:val="0"/>
              <w:snapToGrid w:val="0"/>
              <w:rPr>
                <w:rFonts w:eastAsia="宋体"/>
                <w:sz w:val="21"/>
                <w:szCs w:val="21"/>
              </w:rPr>
            </w:pPr>
            <w:r>
              <w:rPr>
                <w:rFonts w:eastAsia="宋体"/>
                <w:sz w:val="21"/>
                <w:szCs w:val="21"/>
              </w:rPr>
              <w:t>200～</w:t>
            </w:r>
          </w:p>
          <w:p w14:paraId="4748AD06">
            <w:pPr>
              <w:pStyle w:val="100"/>
              <w:adjustRightInd w:val="0"/>
              <w:snapToGrid w:val="0"/>
              <w:rPr>
                <w:rFonts w:eastAsia="宋体"/>
                <w:sz w:val="21"/>
                <w:szCs w:val="21"/>
              </w:rPr>
            </w:pPr>
            <w:r>
              <w:rPr>
                <w:rFonts w:eastAsia="宋体"/>
                <w:sz w:val="21"/>
                <w:szCs w:val="21"/>
              </w:rPr>
              <w:t>250</w:t>
            </w:r>
          </w:p>
        </w:tc>
        <w:tc>
          <w:tcPr>
            <w:tcW w:w="511" w:type="pct"/>
            <w:vAlign w:val="center"/>
          </w:tcPr>
          <w:p w14:paraId="4A22A0D0">
            <w:pPr>
              <w:pStyle w:val="100"/>
              <w:adjustRightInd w:val="0"/>
              <w:snapToGrid w:val="0"/>
              <w:rPr>
                <w:rFonts w:eastAsia="宋体"/>
                <w:sz w:val="21"/>
                <w:szCs w:val="21"/>
                <w:lang w:eastAsia="zh-CN"/>
              </w:rPr>
            </w:pPr>
            <w:r>
              <w:rPr>
                <w:rFonts w:eastAsia="宋体"/>
                <w:sz w:val="21"/>
                <w:szCs w:val="21"/>
                <w:lang w:eastAsia="zh-CN"/>
              </w:rPr>
              <w:t>方框充填法、空区充填</w:t>
            </w:r>
            <w:r>
              <w:rPr>
                <w:rFonts w:eastAsia="宋体"/>
                <w:spacing w:val="-53"/>
                <w:sz w:val="21"/>
                <w:szCs w:val="21"/>
                <w:lang w:eastAsia="zh-CN"/>
              </w:rPr>
              <w:t xml:space="preserve"> </w:t>
            </w:r>
            <w:r>
              <w:rPr>
                <w:rFonts w:eastAsia="宋体"/>
                <w:sz w:val="21"/>
                <w:szCs w:val="21"/>
                <w:lang w:eastAsia="zh-CN"/>
              </w:rPr>
              <w:t>40</w:t>
            </w:r>
            <w:r>
              <w:rPr>
                <w:rFonts w:eastAsia="宋体"/>
                <w:spacing w:val="-1"/>
                <w:sz w:val="21"/>
                <w:szCs w:val="21"/>
                <w:lang w:eastAsia="zh-CN"/>
              </w:rPr>
              <w:t>%</w:t>
            </w:r>
            <w:r>
              <w:rPr>
                <w:rFonts w:eastAsia="宋体"/>
                <w:sz w:val="21"/>
                <w:szCs w:val="21"/>
                <w:lang w:eastAsia="zh-CN"/>
              </w:rPr>
              <w:t>、非充分采动</w:t>
            </w:r>
          </w:p>
        </w:tc>
        <w:tc>
          <w:tcPr>
            <w:tcW w:w="244" w:type="pct"/>
            <w:vAlign w:val="center"/>
          </w:tcPr>
          <w:p w14:paraId="2D80190A">
            <w:pPr>
              <w:pStyle w:val="100"/>
              <w:adjustRightInd w:val="0"/>
              <w:snapToGrid w:val="0"/>
              <w:rPr>
                <w:rFonts w:eastAsia="宋体"/>
                <w:sz w:val="21"/>
                <w:szCs w:val="21"/>
              </w:rPr>
            </w:pPr>
            <w:r>
              <w:rPr>
                <w:rFonts w:eastAsia="宋体"/>
                <w:sz w:val="21"/>
                <w:szCs w:val="21"/>
              </w:rPr>
              <w:t>63</w:t>
            </w:r>
          </w:p>
        </w:tc>
        <w:tc>
          <w:tcPr>
            <w:tcW w:w="245" w:type="pct"/>
            <w:vAlign w:val="center"/>
          </w:tcPr>
          <w:p w14:paraId="264D676E">
            <w:pPr>
              <w:pStyle w:val="100"/>
              <w:adjustRightInd w:val="0"/>
              <w:snapToGrid w:val="0"/>
              <w:rPr>
                <w:rFonts w:eastAsia="宋体"/>
                <w:sz w:val="21"/>
                <w:szCs w:val="21"/>
              </w:rPr>
            </w:pPr>
            <w:r>
              <w:rPr>
                <w:rFonts w:eastAsia="宋体"/>
                <w:sz w:val="21"/>
                <w:szCs w:val="21"/>
              </w:rPr>
              <w:t>68</w:t>
            </w:r>
          </w:p>
        </w:tc>
        <w:tc>
          <w:tcPr>
            <w:tcW w:w="244" w:type="pct"/>
            <w:vAlign w:val="center"/>
          </w:tcPr>
          <w:p w14:paraId="0285B5CA">
            <w:pPr>
              <w:pStyle w:val="100"/>
              <w:adjustRightInd w:val="0"/>
              <w:snapToGrid w:val="0"/>
              <w:rPr>
                <w:rFonts w:eastAsia="宋体"/>
                <w:sz w:val="21"/>
                <w:szCs w:val="21"/>
              </w:rPr>
            </w:pPr>
            <w:r>
              <w:rPr>
                <w:rFonts w:eastAsia="宋体"/>
                <w:sz w:val="21"/>
                <w:szCs w:val="21"/>
              </w:rPr>
              <w:t>70～</w:t>
            </w:r>
          </w:p>
          <w:p w14:paraId="5E9BBD27">
            <w:pPr>
              <w:pStyle w:val="100"/>
              <w:adjustRightInd w:val="0"/>
              <w:snapToGrid w:val="0"/>
              <w:rPr>
                <w:rFonts w:eastAsia="宋体"/>
                <w:sz w:val="21"/>
                <w:szCs w:val="21"/>
              </w:rPr>
            </w:pPr>
            <w:r>
              <w:rPr>
                <w:rFonts w:eastAsia="宋体"/>
                <w:sz w:val="21"/>
                <w:szCs w:val="21"/>
              </w:rPr>
              <w:t>75</w:t>
            </w:r>
          </w:p>
        </w:tc>
      </w:tr>
      <w:tr w14:paraId="6652FC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018F30CE">
            <w:pPr>
              <w:pStyle w:val="100"/>
              <w:adjustRightInd w:val="0"/>
              <w:snapToGrid w:val="0"/>
              <w:rPr>
                <w:rFonts w:eastAsia="宋体"/>
                <w:sz w:val="21"/>
                <w:szCs w:val="21"/>
              </w:rPr>
            </w:pPr>
            <w:r>
              <w:rPr>
                <w:rFonts w:eastAsia="宋体"/>
                <w:sz w:val="21"/>
                <w:szCs w:val="21"/>
              </w:rPr>
              <w:t>2</w:t>
            </w:r>
          </w:p>
        </w:tc>
        <w:tc>
          <w:tcPr>
            <w:tcW w:w="287" w:type="pct"/>
            <w:vAlign w:val="center"/>
          </w:tcPr>
          <w:p w14:paraId="6D4FFE1D">
            <w:pPr>
              <w:pStyle w:val="100"/>
              <w:adjustRightInd w:val="0"/>
              <w:snapToGrid w:val="0"/>
              <w:rPr>
                <w:rFonts w:eastAsia="宋体"/>
                <w:sz w:val="21"/>
                <w:szCs w:val="21"/>
              </w:rPr>
            </w:pPr>
            <w:r>
              <w:rPr>
                <w:rFonts w:eastAsia="宋体"/>
                <w:sz w:val="21"/>
                <w:szCs w:val="21"/>
              </w:rPr>
              <w:t>石咀</w:t>
            </w:r>
          </w:p>
          <w:p w14:paraId="30D48FFB">
            <w:pPr>
              <w:pStyle w:val="100"/>
              <w:adjustRightInd w:val="0"/>
              <w:snapToGrid w:val="0"/>
              <w:rPr>
                <w:rFonts w:eastAsia="宋体"/>
                <w:sz w:val="21"/>
                <w:szCs w:val="21"/>
              </w:rPr>
            </w:pPr>
            <w:r>
              <w:rPr>
                <w:rFonts w:eastAsia="宋体"/>
                <w:sz w:val="21"/>
                <w:szCs w:val="21"/>
              </w:rPr>
              <w:t>子铜矿</w:t>
            </w:r>
          </w:p>
        </w:tc>
        <w:tc>
          <w:tcPr>
            <w:tcW w:w="372" w:type="pct"/>
            <w:vAlign w:val="center"/>
          </w:tcPr>
          <w:p w14:paraId="65A44F59">
            <w:pPr>
              <w:pStyle w:val="100"/>
              <w:adjustRightInd w:val="0"/>
              <w:snapToGrid w:val="0"/>
              <w:rPr>
                <w:rFonts w:eastAsia="宋体"/>
                <w:sz w:val="21"/>
                <w:szCs w:val="21"/>
              </w:rPr>
            </w:pPr>
            <w:r>
              <w:rPr>
                <w:rFonts w:eastAsia="宋体"/>
                <w:sz w:val="21"/>
                <w:szCs w:val="21"/>
              </w:rPr>
              <w:t>矽质大理岩</w:t>
            </w:r>
          </w:p>
        </w:tc>
        <w:tc>
          <w:tcPr>
            <w:tcW w:w="561" w:type="pct"/>
            <w:vAlign w:val="center"/>
          </w:tcPr>
          <w:p w14:paraId="6B84E7E4">
            <w:pPr>
              <w:pStyle w:val="100"/>
              <w:adjustRightInd w:val="0"/>
              <w:snapToGrid w:val="0"/>
              <w:rPr>
                <w:rFonts w:eastAsia="宋体"/>
                <w:sz w:val="21"/>
                <w:szCs w:val="21"/>
              </w:rPr>
            </w:pPr>
            <w:r>
              <w:rPr>
                <w:rFonts w:eastAsia="宋体"/>
                <w:sz w:val="21"/>
                <w:szCs w:val="21"/>
              </w:rPr>
              <w:t>条带状大理岩</w:t>
            </w:r>
          </w:p>
        </w:tc>
        <w:tc>
          <w:tcPr>
            <w:tcW w:w="241" w:type="pct"/>
            <w:vAlign w:val="center"/>
          </w:tcPr>
          <w:p w14:paraId="64C0F882">
            <w:pPr>
              <w:pStyle w:val="100"/>
              <w:adjustRightInd w:val="0"/>
              <w:snapToGrid w:val="0"/>
              <w:rPr>
                <w:rFonts w:eastAsia="宋体"/>
                <w:sz w:val="21"/>
                <w:szCs w:val="21"/>
              </w:rPr>
            </w:pPr>
            <w:r>
              <w:rPr>
                <w:rFonts w:eastAsia="宋体"/>
                <w:sz w:val="21"/>
                <w:szCs w:val="21"/>
              </w:rPr>
              <w:t>10～</w:t>
            </w:r>
          </w:p>
          <w:p w14:paraId="5A0A759B">
            <w:pPr>
              <w:pStyle w:val="100"/>
              <w:adjustRightInd w:val="0"/>
              <w:snapToGrid w:val="0"/>
              <w:rPr>
                <w:rFonts w:eastAsia="宋体"/>
                <w:sz w:val="21"/>
                <w:szCs w:val="21"/>
              </w:rPr>
            </w:pPr>
            <w:r>
              <w:rPr>
                <w:rFonts w:eastAsia="宋体"/>
                <w:sz w:val="21"/>
                <w:szCs w:val="21"/>
              </w:rPr>
              <w:t>12</w:t>
            </w:r>
          </w:p>
        </w:tc>
        <w:tc>
          <w:tcPr>
            <w:tcW w:w="241" w:type="pct"/>
            <w:vAlign w:val="center"/>
          </w:tcPr>
          <w:p w14:paraId="5E4EA81A">
            <w:pPr>
              <w:pStyle w:val="100"/>
              <w:adjustRightInd w:val="0"/>
              <w:snapToGrid w:val="0"/>
              <w:rPr>
                <w:rFonts w:eastAsia="宋体"/>
                <w:sz w:val="21"/>
                <w:szCs w:val="21"/>
              </w:rPr>
            </w:pPr>
            <w:r>
              <w:rPr>
                <w:rFonts w:eastAsia="宋体"/>
                <w:sz w:val="21"/>
                <w:szCs w:val="21"/>
              </w:rPr>
              <w:t>8～</w:t>
            </w:r>
          </w:p>
          <w:p w14:paraId="0A93E3C3">
            <w:pPr>
              <w:pStyle w:val="100"/>
              <w:adjustRightInd w:val="0"/>
              <w:snapToGrid w:val="0"/>
              <w:rPr>
                <w:rFonts w:eastAsia="宋体"/>
                <w:sz w:val="21"/>
                <w:szCs w:val="21"/>
              </w:rPr>
            </w:pPr>
            <w:r>
              <w:rPr>
                <w:rFonts w:eastAsia="宋体"/>
                <w:sz w:val="21"/>
                <w:szCs w:val="21"/>
              </w:rPr>
              <w:t>10</w:t>
            </w:r>
          </w:p>
        </w:tc>
        <w:tc>
          <w:tcPr>
            <w:tcW w:w="299" w:type="pct"/>
            <w:vAlign w:val="center"/>
          </w:tcPr>
          <w:p w14:paraId="66955C0C">
            <w:pPr>
              <w:pStyle w:val="100"/>
              <w:adjustRightInd w:val="0"/>
              <w:snapToGrid w:val="0"/>
              <w:rPr>
                <w:rFonts w:eastAsia="宋体"/>
                <w:sz w:val="21"/>
                <w:szCs w:val="21"/>
              </w:rPr>
            </w:pPr>
            <w:r>
              <w:rPr>
                <w:rFonts w:eastAsia="宋体"/>
                <w:sz w:val="21"/>
                <w:szCs w:val="21"/>
              </w:rPr>
              <w:t>稳固性好</w:t>
            </w:r>
          </w:p>
        </w:tc>
        <w:tc>
          <w:tcPr>
            <w:tcW w:w="326" w:type="pct"/>
            <w:vAlign w:val="center"/>
          </w:tcPr>
          <w:p w14:paraId="0AF918A5">
            <w:pPr>
              <w:pStyle w:val="100"/>
              <w:adjustRightInd w:val="0"/>
              <w:snapToGrid w:val="0"/>
              <w:rPr>
                <w:rFonts w:eastAsia="宋体"/>
                <w:sz w:val="21"/>
                <w:szCs w:val="21"/>
              </w:rPr>
            </w:pPr>
            <w:r>
              <w:rPr>
                <w:rFonts w:eastAsia="宋体"/>
                <w:sz w:val="21"/>
                <w:szCs w:val="21"/>
              </w:rPr>
              <w:t>稳固性差</w:t>
            </w:r>
          </w:p>
        </w:tc>
        <w:tc>
          <w:tcPr>
            <w:tcW w:w="280" w:type="pct"/>
            <w:vAlign w:val="center"/>
          </w:tcPr>
          <w:p w14:paraId="11333515">
            <w:pPr>
              <w:pStyle w:val="100"/>
              <w:adjustRightInd w:val="0"/>
              <w:snapToGrid w:val="0"/>
              <w:rPr>
                <w:rFonts w:eastAsia="宋体"/>
                <w:sz w:val="21"/>
                <w:szCs w:val="21"/>
              </w:rPr>
            </w:pPr>
            <w:r>
              <w:rPr>
                <w:rFonts w:eastAsia="宋体"/>
                <w:sz w:val="21"/>
                <w:szCs w:val="21"/>
              </w:rPr>
              <w:t>75～</w:t>
            </w:r>
          </w:p>
          <w:p w14:paraId="74881083">
            <w:pPr>
              <w:pStyle w:val="100"/>
              <w:adjustRightInd w:val="0"/>
              <w:snapToGrid w:val="0"/>
              <w:rPr>
                <w:rFonts w:eastAsia="宋体"/>
                <w:sz w:val="21"/>
                <w:szCs w:val="21"/>
              </w:rPr>
            </w:pPr>
            <w:r>
              <w:rPr>
                <w:rFonts w:eastAsia="宋体"/>
                <w:sz w:val="21"/>
                <w:szCs w:val="21"/>
              </w:rPr>
              <w:t>82</w:t>
            </w:r>
          </w:p>
        </w:tc>
        <w:tc>
          <w:tcPr>
            <w:tcW w:w="331" w:type="pct"/>
            <w:vAlign w:val="center"/>
          </w:tcPr>
          <w:p w14:paraId="22EE6009">
            <w:pPr>
              <w:pStyle w:val="100"/>
              <w:adjustRightInd w:val="0"/>
              <w:snapToGrid w:val="0"/>
              <w:jc w:val="right"/>
              <w:rPr>
                <w:rFonts w:eastAsia="宋体"/>
                <w:sz w:val="21"/>
                <w:szCs w:val="21"/>
              </w:rPr>
            </w:pPr>
            <w:r>
              <w:rPr>
                <w:rFonts w:eastAsia="宋体"/>
                <w:sz w:val="21"/>
                <w:szCs w:val="21"/>
              </w:rPr>
              <w:t>8～35</w:t>
            </w:r>
          </w:p>
        </w:tc>
        <w:tc>
          <w:tcPr>
            <w:tcW w:w="332" w:type="pct"/>
            <w:vAlign w:val="center"/>
          </w:tcPr>
          <w:p w14:paraId="2DE70938">
            <w:pPr>
              <w:pStyle w:val="100"/>
              <w:adjustRightInd w:val="0"/>
              <w:snapToGrid w:val="0"/>
              <w:rPr>
                <w:rFonts w:eastAsia="宋体"/>
                <w:sz w:val="21"/>
                <w:szCs w:val="21"/>
              </w:rPr>
            </w:pPr>
            <w:r>
              <w:rPr>
                <w:rFonts w:eastAsia="宋体"/>
                <w:sz w:val="21"/>
                <w:szCs w:val="21"/>
              </w:rPr>
              <w:t>50～</w:t>
            </w:r>
          </w:p>
          <w:p w14:paraId="13597BEB">
            <w:pPr>
              <w:pStyle w:val="100"/>
              <w:adjustRightInd w:val="0"/>
              <w:snapToGrid w:val="0"/>
              <w:rPr>
                <w:rFonts w:eastAsia="宋体"/>
                <w:sz w:val="21"/>
                <w:szCs w:val="21"/>
              </w:rPr>
            </w:pPr>
            <w:r>
              <w:rPr>
                <w:rFonts w:eastAsia="宋体"/>
                <w:sz w:val="21"/>
                <w:szCs w:val="21"/>
              </w:rPr>
              <w:t>350</w:t>
            </w:r>
          </w:p>
        </w:tc>
        <w:tc>
          <w:tcPr>
            <w:tcW w:w="320" w:type="pct"/>
            <w:vAlign w:val="center"/>
          </w:tcPr>
          <w:p w14:paraId="6AF3A04A">
            <w:pPr>
              <w:pStyle w:val="100"/>
              <w:adjustRightInd w:val="0"/>
              <w:snapToGrid w:val="0"/>
              <w:rPr>
                <w:rFonts w:eastAsia="宋体"/>
                <w:sz w:val="21"/>
                <w:szCs w:val="21"/>
              </w:rPr>
            </w:pPr>
            <w:r>
              <w:rPr>
                <w:rFonts w:eastAsia="宋体"/>
                <w:sz w:val="21"/>
                <w:szCs w:val="21"/>
              </w:rPr>
              <w:t>1000</w:t>
            </w:r>
          </w:p>
        </w:tc>
        <w:tc>
          <w:tcPr>
            <w:tcW w:w="511" w:type="pct"/>
            <w:vAlign w:val="center"/>
          </w:tcPr>
          <w:p w14:paraId="1F592062">
            <w:pPr>
              <w:pStyle w:val="100"/>
              <w:adjustRightInd w:val="0"/>
              <w:snapToGrid w:val="0"/>
              <w:rPr>
                <w:rFonts w:eastAsia="宋体"/>
                <w:sz w:val="21"/>
                <w:szCs w:val="21"/>
                <w:lang w:eastAsia="zh-CN"/>
              </w:rPr>
            </w:pPr>
            <w:r>
              <w:rPr>
                <w:rFonts w:eastAsia="宋体"/>
                <w:sz w:val="21"/>
                <w:szCs w:val="21"/>
                <w:lang w:eastAsia="zh-CN"/>
              </w:rPr>
              <w:t>浅孔留矿嗣后废石充填</w:t>
            </w:r>
          </w:p>
          <w:p w14:paraId="393C1FDA">
            <w:pPr>
              <w:pStyle w:val="100"/>
              <w:adjustRightInd w:val="0"/>
              <w:snapToGrid w:val="0"/>
              <w:rPr>
                <w:rFonts w:eastAsia="宋体"/>
                <w:sz w:val="21"/>
                <w:szCs w:val="21"/>
                <w:lang w:eastAsia="zh-CN"/>
              </w:rPr>
            </w:pPr>
            <w:r>
              <w:rPr>
                <w:rFonts w:eastAsia="宋体"/>
                <w:sz w:val="21"/>
                <w:szCs w:val="21"/>
                <w:lang w:eastAsia="zh-CN"/>
              </w:rPr>
              <w:t>50%</w:t>
            </w:r>
          </w:p>
        </w:tc>
        <w:tc>
          <w:tcPr>
            <w:tcW w:w="244" w:type="pct"/>
            <w:vAlign w:val="center"/>
          </w:tcPr>
          <w:p w14:paraId="529EB647">
            <w:pPr>
              <w:pStyle w:val="100"/>
              <w:adjustRightInd w:val="0"/>
              <w:snapToGrid w:val="0"/>
              <w:rPr>
                <w:rFonts w:eastAsia="宋体"/>
                <w:sz w:val="21"/>
                <w:szCs w:val="21"/>
              </w:rPr>
            </w:pPr>
            <w:r>
              <w:rPr>
                <w:rFonts w:eastAsia="宋体"/>
                <w:sz w:val="21"/>
                <w:szCs w:val="21"/>
              </w:rPr>
              <w:t>浅部</w:t>
            </w:r>
          </w:p>
          <w:p w14:paraId="2DC39198">
            <w:pPr>
              <w:pStyle w:val="100"/>
              <w:adjustRightInd w:val="0"/>
              <w:snapToGrid w:val="0"/>
              <w:rPr>
                <w:rFonts w:eastAsia="宋体"/>
                <w:sz w:val="21"/>
                <w:szCs w:val="21"/>
              </w:rPr>
            </w:pPr>
            <w:r>
              <w:rPr>
                <w:rFonts w:eastAsia="宋体"/>
                <w:sz w:val="21"/>
                <w:szCs w:val="21"/>
              </w:rPr>
              <w:t>80</w:t>
            </w:r>
          </w:p>
        </w:tc>
        <w:tc>
          <w:tcPr>
            <w:tcW w:w="245" w:type="pct"/>
            <w:vAlign w:val="center"/>
          </w:tcPr>
          <w:p w14:paraId="42B538DA">
            <w:pPr>
              <w:pStyle w:val="100"/>
              <w:adjustRightInd w:val="0"/>
              <w:snapToGrid w:val="0"/>
              <w:rPr>
                <w:rFonts w:eastAsia="宋体"/>
                <w:sz w:val="21"/>
                <w:szCs w:val="21"/>
              </w:rPr>
            </w:pPr>
            <w:r>
              <w:rPr>
                <w:rFonts w:eastAsia="宋体"/>
                <w:sz w:val="21"/>
                <w:szCs w:val="21"/>
              </w:rPr>
              <w:t>浅部</w:t>
            </w:r>
          </w:p>
          <w:p w14:paraId="3D52EBB9">
            <w:pPr>
              <w:pStyle w:val="100"/>
              <w:adjustRightInd w:val="0"/>
              <w:snapToGrid w:val="0"/>
              <w:rPr>
                <w:rFonts w:eastAsia="宋体"/>
                <w:sz w:val="21"/>
                <w:szCs w:val="21"/>
              </w:rPr>
            </w:pPr>
            <w:r>
              <w:rPr>
                <w:rFonts w:eastAsia="宋体"/>
                <w:sz w:val="21"/>
                <w:szCs w:val="21"/>
              </w:rPr>
              <w:t>80</w:t>
            </w:r>
          </w:p>
        </w:tc>
        <w:tc>
          <w:tcPr>
            <w:tcW w:w="244" w:type="pct"/>
            <w:vAlign w:val="center"/>
          </w:tcPr>
          <w:p w14:paraId="3129DA98">
            <w:pPr>
              <w:pStyle w:val="100"/>
              <w:adjustRightInd w:val="0"/>
              <w:snapToGrid w:val="0"/>
              <w:rPr>
                <w:rFonts w:eastAsia="宋体"/>
                <w:sz w:val="21"/>
                <w:szCs w:val="21"/>
              </w:rPr>
            </w:pPr>
            <w:r>
              <w:rPr>
                <w:rFonts w:eastAsia="宋体"/>
                <w:sz w:val="21"/>
                <w:szCs w:val="21"/>
              </w:rPr>
              <w:t>浅部</w:t>
            </w:r>
          </w:p>
          <w:p w14:paraId="2DB3D083">
            <w:pPr>
              <w:pStyle w:val="100"/>
              <w:adjustRightInd w:val="0"/>
              <w:snapToGrid w:val="0"/>
              <w:rPr>
                <w:rFonts w:eastAsia="宋体"/>
                <w:sz w:val="21"/>
                <w:szCs w:val="21"/>
              </w:rPr>
            </w:pPr>
            <w:r>
              <w:rPr>
                <w:rFonts w:eastAsia="宋体"/>
                <w:sz w:val="21"/>
                <w:szCs w:val="21"/>
              </w:rPr>
              <w:t>80</w:t>
            </w:r>
          </w:p>
        </w:tc>
      </w:tr>
      <w:tr w14:paraId="75FDE0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18AE465F">
            <w:pPr>
              <w:pStyle w:val="100"/>
              <w:adjustRightInd w:val="0"/>
              <w:snapToGrid w:val="0"/>
              <w:rPr>
                <w:rFonts w:eastAsia="宋体"/>
                <w:sz w:val="21"/>
                <w:szCs w:val="21"/>
              </w:rPr>
            </w:pPr>
            <w:r>
              <w:rPr>
                <w:rFonts w:eastAsia="宋体"/>
                <w:sz w:val="21"/>
                <w:szCs w:val="21"/>
              </w:rPr>
              <w:t>3</w:t>
            </w:r>
          </w:p>
        </w:tc>
        <w:tc>
          <w:tcPr>
            <w:tcW w:w="287" w:type="pct"/>
            <w:vAlign w:val="center"/>
          </w:tcPr>
          <w:p w14:paraId="70CE6BFF">
            <w:pPr>
              <w:pStyle w:val="100"/>
              <w:adjustRightInd w:val="0"/>
              <w:snapToGrid w:val="0"/>
              <w:jc w:val="both"/>
              <w:rPr>
                <w:rFonts w:eastAsia="宋体"/>
                <w:sz w:val="21"/>
                <w:szCs w:val="21"/>
              </w:rPr>
            </w:pPr>
            <w:r>
              <w:rPr>
                <w:rFonts w:eastAsia="宋体"/>
                <w:sz w:val="21"/>
                <w:szCs w:val="21"/>
              </w:rPr>
              <w:t>弓长岭铁矿</w:t>
            </w:r>
          </w:p>
        </w:tc>
        <w:tc>
          <w:tcPr>
            <w:tcW w:w="372" w:type="pct"/>
            <w:vAlign w:val="center"/>
          </w:tcPr>
          <w:p w14:paraId="3A120C66">
            <w:pPr>
              <w:pStyle w:val="100"/>
              <w:adjustRightInd w:val="0"/>
              <w:snapToGrid w:val="0"/>
              <w:rPr>
                <w:rFonts w:eastAsia="宋体"/>
                <w:sz w:val="21"/>
                <w:szCs w:val="21"/>
              </w:rPr>
            </w:pPr>
            <w:r>
              <w:rPr>
                <w:rFonts w:eastAsia="宋体"/>
                <w:sz w:val="21"/>
                <w:szCs w:val="21"/>
              </w:rPr>
              <w:t>花岗型混合岩</w:t>
            </w:r>
          </w:p>
        </w:tc>
        <w:tc>
          <w:tcPr>
            <w:tcW w:w="561" w:type="pct"/>
            <w:vAlign w:val="center"/>
          </w:tcPr>
          <w:p w14:paraId="61727B25">
            <w:pPr>
              <w:pStyle w:val="100"/>
              <w:adjustRightInd w:val="0"/>
              <w:snapToGrid w:val="0"/>
              <w:rPr>
                <w:rFonts w:eastAsia="宋体"/>
                <w:sz w:val="21"/>
                <w:szCs w:val="21"/>
              </w:rPr>
            </w:pPr>
            <w:r>
              <w:rPr>
                <w:rFonts w:eastAsia="宋体"/>
                <w:sz w:val="21"/>
                <w:szCs w:val="21"/>
              </w:rPr>
              <w:t>角闪岩</w:t>
            </w:r>
          </w:p>
        </w:tc>
        <w:tc>
          <w:tcPr>
            <w:tcW w:w="241" w:type="pct"/>
            <w:vAlign w:val="center"/>
          </w:tcPr>
          <w:p w14:paraId="7FEB2F53">
            <w:pPr>
              <w:pStyle w:val="100"/>
              <w:adjustRightInd w:val="0"/>
              <w:snapToGrid w:val="0"/>
              <w:rPr>
                <w:rFonts w:eastAsia="宋体"/>
                <w:sz w:val="21"/>
                <w:szCs w:val="21"/>
              </w:rPr>
            </w:pPr>
            <w:r>
              <w:rPr>
                <w:rFonts w:eastAsia="宋体"/>
                <w:sz w:val="21"/>
                <w:szCs w:val="21"/>
              </w:rPr>
              <w:t>6～8</w:t>
            </w:r>
          </w:p>
        </w:tc>
        <w:tc>
          <w:tcPr>
            <w:tcW w:w="241" w:type="pct"/>
            <w:vAlign w:val="center"/>
          </w:tcPr>
          <w:p w14:paraId="7C839123">
            <w:pPr>
              <w:pStyle w:val="100"/>
              <w:adjustRightInd w:val="0"/>
              <w:snapToGrid w:val="0"/>
              <w:rPr>
                <w:rFonts w:eastAsia="宋体"/>
                <w:sz w:val="21"/>
                <w:szCs w:val="21"/>
              </w:rPr>
            </w:pPr>
            <w:r>
              <w:rPr>
                <w:rFonts w:eastAsia="宋体"/>
                <w:sz w:val="21"/>
                <w:szCs w:val="21"/>
              </w:rPr>
              <w:t>8～9</w:t>
            </w:r>
          </w:p>
        </w:tc>
        <w:tc>
          <w:tcPr>
            <w:tcW w:w="299" w:type="pct"/>
            <w:vAlign w:val="center"/>
          </w:tcPr>
          <w:p w14:paraId="5E63F402">
            <w:pPr>
              <w:pStyle w:val="100"/>
              <w:adjustRightInd w:val="0"/>
              <w:snapToGrid w:val="0"/>
              <w:rPr>
                <w:rFonts w:eastAsia="宋体"/>
                <w:sz w:val="21"/>
                <w:szCs w:val="21"/>
              </w:rPr>
            </w:pPr>
            <w:r>
              <w:rPr>
                <w:rFonts w:eastAsia="宋体"/>
                <w:sz w:val="21"/>
                <w:szCs w:val="21"/>
              </w:rPr>
              <w:t>层</w:t>
            </w:r>
          </w:p>
          <w:p w14:paraId="3B94DA27">
            <w:pPr>
              <w:pStyle w:val="100"/>
              <w:adjustRightInd w:val="0"/>
              <w:snapToGrid w:val="0"/>
              <w:jc w:val="both"/>
              <w:rPr>
                <w:rFonts w:eastAsia="宋体"/>
                <w:sz w:val="21"/>
                <w:szCs w:val="21"/>
              </w:rPr>
            </w:pPr>
            <w:r>
              <w:rPr>
                <w:rFonts w:eastAsia="宋体"/>
                <w:sz w:val="21"/>
                <w:szCs w:val="21"/>
              </w:rPr>
              <w:t>理、节理发育</w:t>
            </w:r>
          </w:p>
        </w:tc>
        <w:tc>
          <w:tcPr>
            <w:tcW w:w="326" w:type="pct"/>
            <w:vAlign w:val="center"/>
          </w:tcPr>
          <w:p w14:paraId="5881D372">
            <w:pPr>
              <w:pStyle w:val="100"/>
              <w:adjustRightInd w:val="0"/>
              <w:snapToGrid w:val="0"/>
              <w:rPr>
                <w:rFonts w:eastAsia="宋体"/>
                <w:sz w:val="21"/>
                <w:szCs w:val="21"/>
              </w:rPr>
            </w:pPr>
            <w:r>
              <w:rPr>
                <w:rFonts w:eastAsia="宋体"/>
                <w:sz w:val="21"/>
                <w:szCs w:val="21"/>
              </w:rPr>
              <w:t>中等稳固</w:t>
            </w:r>
          </w:p>
        </w:tc>
        <w:tc>
          <w:tcPr>
            <w:tcW w:w="280" w:type="pct"/>
            <w:vAlign w:val="center"/>
          </w:tcPr>
          <w:p w14:paraId="0799AEFC">
            <w:pPr>
              <w:pStyle w:val="100"/>
              <w:adjustRightInd w:val="0"/>
              <w:snapToGrid w:val="0"/>
              <w:rPr>
                <w:rFonts w:eastAsia="宋体"/>
                <w:sz w:val="21"/>
                <w:szCs w:val="21"/>
              </w:rPr>
            </w:pPr>
            <w:r>
              <w:rPr>
                <w:rFonts w:eastAsia="宋体"/>
                <w:sz w:val="21"/>
                <w:szCs w:val="21"/>
              </w:rPr>
              <w:t>60～</w:t>
            </w:r>
          </w:p>
          <w:p w14:paraId="2DDAA29C">
            <w:pPr>
              <w:pStyle w:val="100"/>
              <w:adjustRightInd w:val="0"/>
              <w:snapToGrid w:val="0"/>
              <w:rPr>
                <w:rFonts w:eastAsia="宋体"/>
                <w:sz w:val="21"/>
                <w:szCs w:val="21"/>
              </w:rPr>
            </w:pPr>
            <w:r>
              <w:rPr>
                <w:rFonts w:eastAsia="宋体"/>
                <w:sz w:val="21"/>
                <w:szCs w:val="21"/>
              </w:rPr>
              <w:t>80</w:t>
            </w:r>
          </w:p>
        </w:tc>
        <w:tc>
          <w:tcPr>
            <w:tcW w:w="331" w:type="pct"/>
            <w:vAlign w:val="center"/>
          </w:tcPr>
          <w:p w14:paraId="379D02D4">
            <w:pPr>
              <w:pStyle w:val="100"/>
              <w:adjustRightInd w:val="0"/>
              <w:snapToGrid w:val="0"/>
              <w:jc w:val="right"/>
              <w:rPr>
                <w:rFonts w:eastAsia="宋体"/>
                <w:sz w:val="21"/>
                <w:szCs w:val="21"/>
              </w:rPr>
            </w:pPr>
            <w:r>
              <w:rPr>
                <w:rFonts w:eastAsia="宋体"/>
                <w:sz w:val="21"/>
                <w:szCs w:val="21"/>
              </w:rPr>
              <w:t>5～49</w:t>
            </w:r>
          </w:p>
        </w:tc>
        <w:tc>
          <w:tcPr>
            <w:tcW w:w="332" w:type="pct"/>
            <w:vAlign w:val="center"/>
          </w:tcPr>
          <w:p w14:paraId="1D8255C9">
            <w:pPr>
              <w:pStyle w:val="100"/>
              <w:adjustRightInd w:val="0"/>
              <w:snapToGrid w:val="0"/>
              <w:rPr>
                <w:rFonts w:eastAsia="宋体"/>
                <w:sz w:val="21"/>
                <w:szCs w:val="21"/>
              </w:rPr>
            </w:pPr>
            <w:r>
              <w:rPr>
                <w:rFonts w:eastAsia="宋体"/>
                <w:sz w:val="21"/>
                <w:szCs w:val="21"/>
              </w:rPr>
              <w:t>1600</w:t>
            </w:r>
          </w:p>
        </w:tc>
        <w:tc>
          <w:tcPr>
            <w:tcW w:w="320" w:type="pct"/>
            <w:vAlign w:val="center"/>
          </w:tcPr>
          <w:p w14:paraId="2C21C089">
            <w:pPr>
              <w:pStyle w:val="100"/>
              <w:adjustRightInd w:val="0"/>
              <w:snapToGrid w:val="0"/>
              <w:rPr>
                <w:rFonts w:eastAsia="宋体"/>
                <w:sz w:val="21"/>
                <w:szCs w:val="21"/>
              </w:rPr>
            </w:pPr>
            <w:r>
              <w:rPr>
                <w:rFonts w:eastAsia="宋体"/>
                <w:sz w:val="21"/>
                <w:szCs w:val="21"/>
              </w:rPr>
              <w:t>450～</w:t>
            </w:r>
          </w:p>
          <w:p w14:paraId="25E40A4F">
            <w:pPr>
              <w:pStyle w:val="100"/>
              <w:adjustRightInd w:val="0"/>
              <w:snapToGrid w:val="0"/>
              <w:rPr>
                <w:rFonts w:eastAsia="宋体"/>
                <w:sz w:val="21"/>
                <w:szCs w:val="21"/>
              </w:rPr>
            </w:pPr>
            <w:r>
              <w:rPr>
                <w:rFonts w:eastAsia="宋体"/>
                <w:sz w:val="21"/>
                <w:szCs w:val="21"/>
              </w:rPr>
              <w:t>500</w:t>
            </w:r>
          </w:p>
        </w:tc>
        <w:tc>
          <w:tcPr>
            <w:tcW w:w="511" w:type="pct"/>
            <w:vAlign w:val="center"/>
          </w:tcPr>
          <w:p w14:paraId="386C3791">
            <w:pPr>
              <w:pStyle w:val="100"/>
              <w:adjustRightInd w:val="0"/>
              <w:snapToGrid w:val="0"/>
              <w:jc w:val="both"/>
              <w:rPr>
                <w:rFonts w:eastAsia="宋体"/>
                <w:sz w:val="21"/>
                <w:szCs w:val="21"/>
                <w:lang w:eastAsia="zh-CN"/>
              </w:rPr>
            </w:pPr>
            <w:r>
              <w:rPr>
                <w:rFonts w:eastAsia="宋体"/>
                <w:sz w:val="21"/>
                <w:szCs w:val="21"/>
                <w:lang w:eastAsia="zh-CN"/>
              </w:rPr>
              <w:t>无底柱分段崩落法、上部干式充填</w:t>
            </w:r>
          </w:p>
        </w:tc>
        <w:tc>
          <w:tcPr>
            <w:tcW w:w="244" w:type="pct"/>
            <w:vAlign w:val="center"/>
          </w:tcPr>
          <w:p w14:paraId="2A9C785D">
            <w:pPr>
              <w:pStyle w:val="100"/>
              <w:adjustRightInd w:val="0"/>
              <w:snapToGrid w:val="0"/>
              <w:rPr>
                <w:rFonts w:eastAsia="宋体"/>
                <w:sz w:val="21"/>
                <w:szCs w:val="21"/>
              </w:rPr>
            </w:pPr>
            <w:r>
              <w:rPr>
                <w:rFonts w:eastAsia="宋体"/>
                <w:sz w:val="21"/>
                <w:szCs w:val="21"/>
              </w:rPr>
              <w:t>75～</w:t>
            </w:r>
          </w:p>
          <w:p w14:paraId="4FC25496">
            <w:pPr>
              <w:pStyle w:val="100"/>
              <w:adjustRightInd w:val="0"/>
              <w:snapToGrid w:val="0"/>
              <w:rPr>
                <w:rFonts w:eastAsia="宋体"/>
                <w:sz w:val="21"/>
                <w:szCs w:val="21"/>
              </w:rPr>
            </w:pPr>
            <w:r>
              <w:rPr>
                <w:rFonts w:eastAsia="宋体"/>
                <w:sz w:val="21"/>
                <w:szCs w:val="21"/>
              </w:rPr>
              <w:t>80</w:t>
            </w:r>
          </w:p>
        </w:tc>
        <w:tc>
          <w:tcPr>
            <w:tcW w:w="245" w:type="pct"/>
            <w:vAlign w:val="center"/>
          </w:tcPr>
          <w:p w14:paraId="6D33DF4C">
            <w:pPr>
              <w:pStyle w:val="100"/>
              <w:adjustRightInd w:val="0"/>
              <w:snapToGrid w:val="0"/>
              <w:rPr>
                <w:rFonts w:eastAsia="宋体"/>
                <w:sz w:val="21"/>
                <w:szCs w:val="21"/>
              </w:rPr>
            </w:pPr>
            <w:r>
              <w:rPr>
                <w:rFonts w:eastAsia="宋体"/>
                <w:sz w:val="21"/>
                <w:szCs w:val="21"/>
              </w:rPr>
              <w:t>60～</w:t>
            </w:r>
          </w:p>
          <w:p w14:paraId="7A0A5A85">
            <w:pPr>
              <w:pStyle w:val="100"/>
              <w:adjustRightInd w:val="0"/>
              <w:snapToGrid w:val="0"/>
              <w:rPr>
                <w:rFonts w:eastAsia="宋体"/>
                <w:sz w:val="21"/>
                <w:szCs w:val="21"/>
              </w:rPr>
            </w:pPr>
            <w:r>
              <w:rPr>
                <w:rFonts w:eastAsia="宋体"/>
                <w:sz w:val="21"/>
                <w:szCs w:val="21"/>
              </w:rPr>
              <w:t>80</w:t>
            </w:r>
          </w:p>
        </w:tc>
        <w:tc>
          <w:tcPr>
            <w:tcW w:w="244" w:type="pct"/>
            <w:vAlign w:val="center"/>
          </w:tcPr>
          <w:p w14:paraId="7A3FA084">
            <w:pPr>
              <w:pStyle w:val="100"/>
              <w:adjustRightInd w:val="0"/>
              <w:snapToGrid w:val="0"/>
              <w:rPr>
                <w:rFonts w:eastAsia="宋体"/>
                <w:sz w:val="21"/>
                <w:szCs w:val="21"/>
              </w:rPr>
            </w:pPr>
            <w:r>
              <w:rPr>
                <w:rFonts w:eastAsia="宋体"/>
                <w:sz w:val="21"/>
                <w:szCs w:val="21"/>
              </w:rPr>
              <w:t>—</w:t>
            </w:r>
          </w:p>
        </w:tc>
      </w:tr>
      <w:tr w14:paraId="6705DB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2789A63F">
            <w:pPr>
              <w:pStyle w:val="100"/>
              <w:adjustRightInd w:val="0"/>
              <w:snapToGrid w:val="0"/>
              <w:rPr>
                <w:rFonts w:eastAsia="宋体"/>
                <w:sz w:val="21"/>
                <w:szCs w:val="21"/>
              </w:rPr>
            </w:pPr>
            <w:r>
              <w:rPr>
                <w:rFonts w:eastAsia="宋体"/>
                <w:sz w:val="21"/>
                <w:szCs w:val="21"/>
              </w:rPr>
              <w:t>4</w:t>
            </w:r>
          </w:p>
        </w:tc>
        <w:tc>
          <w:tcPr>
            <w:tcW w:w="287" w:type="pct"/>
            <w:vAlign w:val="center"/>
          </w:tcPr>
          <w:p w14:paraId="66BB9008">
            <w:pPr>
              <w:pStyle w:val="100"/>
              <w:adjustRightInd w:val="0"/>
              <w:snapToGrid w:val="0"/>
              <w:rPr>
                <w:rFonts w:eastAsia="宋体"/>
                <w:sz w:val="21"/>
                <w:szCs w:val="21"/>
              </w:rPr>
            </w:pPr>
            <w:r>
              <w:rPr>
                <w:rFonts w:eastAsia="宋体"/>
                <w:sz w:val="21"/>
                <w:szCs w:val="21"/>
              </w:rPr>
              <w:t>安庆铜矿</w:t>
            </w:r>
          </w:p>
        </w:tc>
        <w:tc>
          <w:tcPr>
            <w:tcW w:w="372" w:type="pct"/>
            <w:vAlign w:val="center"/>
          </w:tcPr>
          <w:p w14:paraId="4491783E">
            <w:pPr>
              <w:pStyle w:val="100"/>
              <w:adjustRightInd w:val="0"/>
              <w:snapToGrid w:val="0"/>
              <w:rPr>
                <w:rFonts w:eastAsia="宋体"/>
                <w:sz w:val="21"/>
                <w:szCs w:val="21"/>
              </w:rPr>
            </w:pPr>
            <w:r>
              <w:rPr>
                <w:rFonts w:eastAsia="宋体"/>
                <w:sz w:val="21"/>
                <w:szCs w:val="21"/>
              </w:rPr>
              <w:t>大理岩</w:t>
            </w:r>
          </w:p>
        </w:tc>
        <w:tc>
          <w:tcPr>
            <w:tcW w:w="561" w:type="pct"/>
            <w:vAlign w:val="center"/>
          </w:tcPr>
          <w:p w14:paraId="1BBECD99">
            <w:pPr>
              <w:pStyle w:val="100"/>
              <w:adjustRightInd w:val="0"/>
              <w:snapToGrid w:val="0"/>
              <w:rPr>
                <w:rFonts w:eastAsia="宋体"/>
                <w:sz w:val="21"/>
                <w:szCs w:val="21"/>
              </w:rPr>
            </w:pPr>
            <w:r>
              <w:rPr>
                <w:rFonts w:eastAsia="宋体"/>
                <w:sz w:val="21"/>
                <w:szCs w:val="21"/>
              </w:rPr>
              <w:t>闪长岩、角页岩</w:t>
            </w:r>
          </w:p>
        </w:tc>
        <w:tc>
          <w:tcPr>
            <w:tcW w:w="241" w:type="pct"/>
            <w:vAlign w:val="center"/>
          </w:tcPr>
          <w:p w14:paraId="01E22FB7">
            <w:pPr>
              <w:pStyle w:val="100"/>
              <w:adjustRightInd w:val="0"/>
              <w:snapToGrid w:val="0"/>
              <w:rPr>
                <w:rFonts w:eastAsia="宋体"/>
                <w:sz w:val="21"/>
                <w:szCs w:val="21"/>
              </w:rPr>
            </w:pPr>
            <w:r>
              <w:rPr>
                <w:rFonts w:eastAsia="宋体"/>
                <w:sz w:val="21"/>
                <w:szCs w:val="21"/>
              </w:rPr>
              <w:t>10～</w:t>
            </w:r>
          </w:p>
          <w:p w14:paraId="5D4D3DBF">
            <w:pPr>
              <w:pStyle w:val="100"/>
              <w:adjustRightInd w:val="0"/>
              <w:snapToGrid w:val="0"/>
              <w:rPr>
                <w:rFonts w:eastAsia="宋体"/>
                <w:sz w:val="21"/>
                <w:szCs w:val="21"/>
              </w:rPr>
            </w:pPr>
            <w:r>
              <w:rPr>
                <w:rFonts w:eastAsia="宋体"/>
                <w:sz w:val="21"/>
                <w:szCs w:val="21"/>
              </w:rPr>
              <w:t>12</w:t>
            </w:r>
          </w:p>
        </w:tc>
        <w:tc>
          <w:tcPr>
            <w:tcW w:w="241" w:type="pct"/>
            <w:vAlign w:val="center"/>
          </w:tcPr>
          <w:p w14:paraId="7746A00D">
            <w:pPr>
              <w:pStyle w:val="100"/>
              <w:adjustRightInd w:val="0"/>
              <w:snapToGrid w:val="0"/>
              <w:rPr>
                <w:rFonts w:eastAsia="宋体"/>
                <w:sz w:val="21"/>
                <w:szCs w:val="21"/>
              </w:rPr>
            </w:pPr>
            <w:r>
              <w:rPr>
                <w:rFonts w:eastAsia="宋体"/>
                <w:sz w:val="21"/>
                <w:szCs w:val="21"/>
              </w:rPr>
              <w:t>10～</w:t>
            </w:r>
          </w:p>
          <w:p w14:paraId="6B77177E">
            <w:pPr>
              <w:pStyle w:val="100"/>
              <w:adjustRightInd w:val="0"/>
              <w:snapToGrid w:val="0"/>
              <w:rPr>
                <w:rFonts w:eastAsia="宋体"/>
                <w:sz w:val="21"/>
                <w:szCs w:val="21"/>
              </w:rPr>
            </w:pPr>
            <w:r>
              <w:rPr>
                <w:rFonts w:eastAsia="宋体"/>
                <w:sz w:val="21"/>
                <w:szCs w:val="21"/>
              </w:rPr>
              <w:t>12</w:t>
            </w:r>
          </w:p>
        </w:tc>
        <w:tc>
          <w:tcPr>
            <w:tcW w:w="299" w:type="pct"/>
            <w:vAlign w:val="center"/>
          </w:tcPr>
          <w:p w14:paraId="52CD37E1">
            <w:pPr>
              <w:pStyle w:val="100"/>
              <w:adjustRightInd w:val="0"/>
              <w:snapToGrid w:val="0"/>
              <w:rPr>
                <w:rFonts w:eastAsia="宋体"/>
                <w:sz w:val="21"/>
                <w:szCs w:val="21"/>
              </w:rPr>
            </w:pPr>
            <w:r>
              <w:rPr>
                <w:rFonts w:eastAsia="宋体"/>
                <w:sz w:val="21"/>
                <w:szCs w:val="21"/>
              </w:rPr>
              <w:t>稳固</w:t>
            </w:r>
          </w:p>
        </w:tc>
        <w:tc>
          <w:tcPr>
            <w:tcW w:w="326" w:type="pct"/>
            <w:vAlign w:val="center"/>
          </w:tcPr>
          <w:p w14:paraId="25E59D5D">
            <w:pPr>
              <w:pStyle w:val="100"/>
              <w:adjustRightInd w:val="0"/>
              <w:snapToGrid w:val="0"/>
              <w:rPr>
                <w:rFonts w:eastAsia="宋体"/>
                <w:sz w:val="21"/>
                <w:szCs w:val="21"/>
              </w:rPr>
            </w:pPr>
            <w:r>
              <w:rPr>
                <w:rFonts w:eastAsia="宋体"/>
                <w:sz w:val="21"/>
                <w:szCs w:val="21"/>
              </w:rPr>
              <w:t>稳固</w:t>
            </w:r>
          </w:p>
        </w:tc>
        <w:tc>
          <w:tcPr>
            <w:tcW w:w="280" w:type="pct"/>
            <w:vAlign w:val="center"/>
          </w:tcPr>
          <w:p w14:paraId="74D2BE77">
            <w:pPr>
              <w:pStyle w:val="100"/>
              <w:adjustRightInd w:val="0"/>
              <w:snapToGrid w:val="0"/>
              <w:jc w:val="right"/>
              <w:rPr>
                <w:rFonts w:eastAsia="宋体"/>
                <w:sz w:val="21"/>
                <w:szCs w:val="21"/>
              </w:rPr>
            </w:pPr>
            <w:r>
              <w:rPr>
                <w:rFonts w:eastAsia="宋体"/>
                <w:sz w:val="21"/>
                <w:szCs w:val="21"/>
              </w:rPr>
              <w:t>70</w:t>
            </w:r>
          </w:p>
        </w:tc>
        <w:tc>
          <w:tcPr>
            <w:tcW w:w="331" w:type="pct"/>
            <w:vAlign w:val="center"/>
          </w:tcPr>
          <w:p w14:paraId="53E1D896">
            <w:pPr>
              <w:pStyle w:val="100"/>
              <w:adjustRightInd w:val="0"/>
              <w:snapToGrid w:val="0"/>
              <w:rPr>
                <w:rFonts w:eastAsia="宋体"/>
                <w:sz w:val="21"/>
                <w:szCs w:val="21"/>
              </w:rPr>
            </w:pPr>
            <w:r>
              <w:rPr>
                <w:rFonts w:eastAsia="宋体"/>
                <w:sz w:val="21"/>
                <w:szCs w:val="21"/>
              </w:rPr>
              <w:t>10～110平均40～50</w:t>
            </w:r>
          </w:p>
        </w:tc>
        <w:tc>
          <w:tcPr>
            <w:tcW w:w="332" w:type="pct"/>
            <w:vAlign w:val="center"/>
          </w:tcPr>
          <w:p w14:paraId="1A3EC7FD">
            <w:pPr>
              <w:pStyle w:val="100"/>
              <w:adjustRightInd w:val="0"/>
              <w:snapToGrid w:val="0"/>
              <w:rPr>
                <w:rFonts w:eastAsia="宋体"/>
                <w:sz w:val="21"/>
                <w:szCs w:val="21"/>
              </w:rPr>
            </w:pPr>
            <w:r>
              <w:rPr>
                <w:rFonts w:eastAsia="宋体"/>
                <w:sz w:val="21"/>
                <w:szCs w:val="21"/>
              </w:rPr>
              <w:t>760</w:t>
            </w:r>
          </w:p>
        </w:tc>
        <w:tc>
          <w:tcPr>
            <w:tcW w:w="320" w:type="pct"/>
            <w:vAlign w:val="center"/>
          </w:tcPr>
          <w:p w14:paraId="758AF20C">
            <w:pPr>
              <w:pStyle w:val="100"/>
              <w:adjustRightInd w:val="0"/>
              <w:snapToGrid w:val="0"/>
              <w:rPr>
                <w:rFonts w:eastAsia="宋体"/>
                <w:sz w:val="21"/>
                <w:szCs w:val="21"/>
              </w:rPr>
            </w:pPr>
            <w:r>
              <w:rPr>
                <w:rFonts w:eastAsia="宋体"/>
                <w:sz w:val="21"/>
                <w:szCs w:val="21"/>
              </w:rPr>
              <w:t>220～</w:t>
            </w:r>
          </w:p>
          <w:p w14:paraId="6E74BEF3">
            <w:pPr>
              <w:pStyle w:val="100"/>
              <w:adjustRightInd w:val="0"/>
              <w:snapToGrid w:val="0"/>
              <w:rPr>
                <w:rFonts w:eastAsia="宋体"/>
                <w:sz w:val="21"/>
                <w:szCs w:val="21"/>
              </w:rPr>
            </w:pPr>
            <w:r>
              <w:rPr>
                <w:rFonts w:eastAsia="宋体"/>
                <w:sz w:val="21"/>
                <w:szCs w:val="21"/>
              </w:rPr>
              <w:t>520</w:t>
            </w:r>
          </w:p>
        </w:tc>
        <w:tc>
          <w:tcPr>
            <w:tcW w:w="511" w:type="pct"/>
            <w:vAlign w:val="center"/>
          </w:tcPr>
          <w:p w14:paraId="0FCE7594">
            <w:pPr>
              <w:pStyle w:val="100"/>
              <w:adjustRightInd w:val="0"/>
              <w:snapToGrid w:val="0"/>
              <w:rPr>
                <w:rFonts w:eastAsia="宋体"/>
                <w:sz w:val="21"/>
                <w:szCs w:val="21"/>
                <w:lang w:eastAsia="zh-CN"/>
              </w:rPr>
            </w:pPr>
            <w:r>
              <w:rPr>
                <w:rFonts w:eastAsia="宋体"/>
                <w:sz w:val="21"/>
                <w:szCs w:val="21"/>
                <w:lang w:eastAsia="zh-CN"/>
              </w:rPr>
              <w:t>大直径深孔空场嗣后尾砂充填</w:t>
            </w:r>
          </w:p>
        </w:tc>
        <w:tc>
          <w:tcPr>
            <w:tcW w:w="244" w:type="pct"/>
            <w:vAlign w:val="center"/>
          </w:tcPr>
          <w:p w14:paraId="7E8167A2">
            <w:pPr>
              <w:pStyle w:val="100"/>
              <w:adjustRightInd w:val="0"/>
              <w:snapToGrid w:val="0"/>
              <w:rPr>
                <w:rFonts w:eastAsia="宋体"/>
                <w:sz w:val="21"/>
                <w:szCs w:val="21"/>
              </w:rPr>
            </w:pPr>
            <w:r>
              <w:rPr>
                <w:rFonts w:eastAsia="宋体"/>
                <w:sz w:val="21"/>
                <w:szCs w:val="21"/>
              </w:rPr>
              <w:t>60</w:t>
            </w:r>
          </w:p>
        </w:tc>
        <w:tc>
          <w:tcPr>
            <w:tcW w:w="245" w:type="pct"/>
            <w:vAlign w:val="center"/>
          </w:tcPr>
          <w:p w14:paraId="4571ACE2">
            <w:pPr>
              <w:pStyle w:val="100"/>
              <w:adjustRightInd w:val="0"/>
              <w:snapToGrid w:val="0"/>
              <w:rPr>
                <w:rFonts w:eastAsia="宋体"/>
                <w:sz w:val="21"/>
                <w:szCs w:val="21"/>
              </w:rPr>
            </w:pPr>
            <w:r>
              <w:rPr>
                <w:rFonts w:eastAsia="宋体"/>
                <w:sz w:val="21"/>
                <w:szCs w:val="21"/>
              </w:rPr>
              <w:t>55～</w:t>
            </w:r>
          </w:p>
          <w:p w14:paraId="35023DD5">
            <w:pPr>
              <w:pStyle w:val="100"/>
              <w:adjustRightInd w:val="0"/>
              <w:snapToGrid w:val="0"/>
              <w:rPr>
                <w:rFonts w:eastAsia="宋体"/>
                <w:sz w:val="21"/>
                <w:szCs w:val="21"/>
              </w:rPr>
            </w:pPr>
            <w:r>
              <w:rPr>
                <w:rFonts w:eastAsia="宋体"/>
                <w:sz w:val="21"/>
                <w:szCs w:val="21"/>
              </w:rPr>
              <w:t>60</w:t>
            </w:r>
          </w:p>
        </w:tc>
        <w:tc>
          <w:tcPr>
            <w:tcW w:w="244" w:type="pct"/>
            <w:vAlign w:val="center"/>
          </w:tcPr>
          <w:p w14:paraId="320AE527">
            <w:pPr>
              <w:pStyle w:val="100"/>
              <w:adjustRightInd w:val="0"/>
              <w:snapToGrid w:val="0"/>
              <w:rPr>
                <w:rFonts w:eastAsia="宋体"/>
                <w:sz w:val="21"/>
                <w:szCs w:val="21"/>
              </w:rPr>
            </w:pPr>
            <w:r>
              <w:rPr>
                <w:rFonts w:eastAsia="宋体"/>
                <w:sz w:val="21"/>
                <w:szCs w:val="21"/>
              </w:rPr>
              <w:t>60</w:t>
            </w:r>
          </w:p>
        </w:tc>
      </w:tr>
      <w:tr w14:paraId="47169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66C8E212">
            <w:pPr>
              <w:pStyle w:val="100"/>
              <w:adjustRightInd w:val="0"/>
              <w:snapToGrid w:val="0"/>
              <w:rPr>
                <w:rFonts w:eastAsia="宋体"/>
                <w:sz w:val="21"/>
                <w:szCs w:val="21"/>
              </w:rPr>
            </w:pPr>
            <w:r>
              <w:rPr>
                <w:rFonts w:eastAsia="宋体"/>
                <w:sz w:val="21"/>
                <w:szCs w:val="21"/>
              </w:rPr>
              <w:t>5</w:t>
            </w:r>
          </w:p>
        </w:tc>
        <w:tc>
          <w:tcPr>
            <w:tcW w:w="287" w:type="pct"/>
            <w:vAlign w:val="center"/>
          </w:tcPr>
          <w:p w14:paraId="4395BA29">
            <w:pPr>
              <w:pStyle w:val="100"/>
              <w:adjustRightInd w:val="0"/>
              <w:snapToGrid w:val="0"/>
              <w:rPr>
                <w:rFonts w:eastAsia="宋体"/>
                <w:sz w:val="21"/>
                <w:szCs w:val="21"/>
              </w:rPr>
            </w:pPr>
            <w:r>
              <w:rPr>
                <w:rFonts w:eastAsia="宋体"/>
                <w:sz w:val="21"/>
                <w:szCs w:val="21"/>
              </w:rPr>
              <w:t>龙首矿</w:t>
            </w:r>
          </w:p>
        </w:tc>
        <w:tc>
          <w:tcPr>
            <w:tcW w:w="372" w:type="pct"/>
            <w:vAlign w:val="center"/>
          </w:tcPr>
          <w:p w14:paraId="621386C4">
            <w:pPr>
              <w:pStyle w:val="100"/>
              <w:adjustRightInd w:val="0"/>
              <w:snapToGrid w:val="0"/>
              <w:rPr>
                <w:rFonts w:eastAsia="宋体"/>
                <w:sz w:val="21"/>
                <w:szCs w:val="21"/>
                <w:lang w:eastAsia="zh-CN"/>
              </w:rPr>
            </w:pPr>
            <w:r>
              <w:rPr>
                <w:rFonts w:eastAsia="宋体"/>
                <w:sz w:val="21"/>
                <w:szCs w:val="21"/>
                <w:lang w:eastAsia="zh-CN"/>
              </w:rPr>
              <w:t>含辉石</w:t>
            </w:r>
          </w:p>
          <w:p w14:paraId="2225FF2C">
            <w:pPr>
              <w:pStyle w:val="100"/>
              <w:adjustRightInd w:val="0"/>
              <w:snapToGrid w:val="0"/>
              <w:rPr>
                <w:rFonts w:eastAsia="宋体"/>
                <w:sz w:val="21"/>
                <w:szCs w:val="21"/>
                <w:lang w:eastAsia="zh-CN"/>
              </w:rPr>
            </w:pPr>
            <w:r>
              <w:rPr>
                <w:rFonts w:eastAsia="宋体"/>
                <w:sz w:val="21"/>
                <w:szCs w:val="21"/>
                <w:lang w:eastAsia="zh-CN"/>
              </w:rPr>
              <w:t>橄榄岩、二辉橄榄岩</w:t>
            </w:r>
          </w:p>
        </w:tc>
        <w:tc>
          <w:tcPr>
            <w:tcW w:w="561" w:type="pct"/>
            <w:vAlign w:val="center"/>
          </w:tcPr>
          <w:p w14:paraId="26BAF907">
            <w:pPr>
              <w:pStyle w:val="100"/>
              <w:adjustRightInd w:val="0"/>
              <w:snapToGrid w:val="0"/>
              <w:rPr>
                <w:rFonts w:eastAsia="宋体"/>
                <w:sz w:val="21"/>
                <w:szCs w:val="21"/>
                <w:lang w:eastAsia="zh-CN"/>
              </w:rPr>
            </w:pPr>
            <w:r>
              <w:rPr>
                <w:rFonts w:eastAsia="宋体"/>
                <w:sz w:val="21"/>
                <w:szCs w:val="21"/>
                <w:lang w:eastAsia="zh-CN"/>
              </w:rPr>
              <w:t>二辉橄榄岩绿</w:t>
            </w:r>
          </w:p>
          <w:p w14:paraId="6DF0444D">
            <w:pPr>
              <w:pStyle w:val="100"/>
              <w:adjustRightInd w:val="0"/>
              <w:snapToGrid w:val="0"/>
              <w:rPr>
                <w:rFonts w:eastAsia="宋体"/>
                <w:sz w:val="21"/>
                <w:szCs w:val="21"/>
                <w:lang w:eastAsia="zh-CN"/>
              </w:rPr>
            </w:pPr>
            <w:r>
              <w:rPr>
                <w:rFonts w:eastAsia="宋体"/>
                <w:sz w:val="21"/>
                <w:szCs w:val="21"/>
                <w:lang w:eastAsia="zh-CN"/>
              </w:rPr>
              <w:t>泥石、片岩、白云质大理岩、黑云母片麻岩</w:t>
            </w:r>
          </w:p>
        </w:tc>
        <w:tc>
          <w:tcPr>
            <w:tcW w:w="241" w:type="pct"/>
            <w:vAlign w:val="center"/>
          </w:tcPr>
          <w:p w14:paraId="3579381B">
            <w:pPr>
              <w:pStyle w:val="100"/>
              <w:adjustRightInd w:val="0"/>
              <w:snapToGrid w:val="0"/>
              <w:rPr>
                <w:rFonts w:eastAsia="宋体"/>
                <w:sz w:val="21"/>
                <w:szCs w:val="21"/>
              </w:rPr>
            </w:pPr>
            <w:r>
              <w:rPr>
                <w:rFonts w:eastAsia="宋体"/>
                <w:sz w:val="21"/>
                <w:szCs w:val="21"/>
              </w:rPr>
              <w:t>6～8</w:t>
            </w:r>
          </w:p>
        </w:tc>
        <w:tc>
          <w:tcPr>
            <w:tcW w:w="241" w:type="pct"/>
            <w:vAlign w:val="center"/>
          </w:tcPr>
          <w:p w14:paraId="066A40A6">
            <w:pPr>
              <w:pStyle w:val="100"/>
              <w:adjustRightInd w:val="0"/>
              <w:snapToGrid w:val="0"/>
              <w:rPr>
                <w:rFonts w:eastAsia="宋体"/>
                <w:sz w:val="21"/>
                <w:szCs w:val="21"/>
              </w:rPr>
            </w:pPr>
            <w:r>
              <w:rPr>
                <w:rFonts w:eastAsia="宋体"/>
                <w:sz w:val="21"/>
                <w:szCs w:val="21"/>
              </w:rPr>
              <w:t>4～6</w:t>
            </w:r>
          </w:p>
        </w:tc>
        <w:tc>
          <w:tcPr>
            <w:tcW w:w="299" w:type="pct"/>
            <w:vAlign w:val="center"/>
          </w:tcPr>
          <w:p w14:paraId="353ED5CE">
            <w:pPr>
              <w:pStyle w:val="100"/>
              <w:adjustRightInd w:val="0"/>
              <w:snapToGrid w:val="0"/>
              <w:jc w:val="both"/>
              <w:rPr>
                <w:rFonts w:eastAsia="宋体"/>
                <w:sz w:val="21"/>
                <w:szCs w:val="21"/>
              </w:rPr>
            </w:pPr>
            <w:r>
              <w:rPr>
                <w:rFonts w:eastAsia="宋体"/>
                <w:sz w:val="21"/>
                <w:szCs w:val="21"/>
              </w:rPr>
              <w:t>较下盘稳定</w:t>
            </w:r>
          </w:p>
        </w:tc>
        <w:tc>
          <w:tcPr>
            <w:tcW w:w="326" w:type="pct"/>
            <w:vAlign w:val="center"/>
          </w:tcPr>
          <w:p w14:paraId="469D0DD6">
            <w:pPr>
              <w:pStyle w:val="100"/>
              <w:adjustRightInd w:val="0"/>
              <w:snapToGrid w:val="0"/>
              <w:rPr>
                <w:rFonts w:eastAsia="宋体"/>
                <w:sz w:val="21"/>
                <w:szCs w:val="21"/>
                <w:lang w:eastAsia="zh-CN"/>
              </w:rPr>
            </w:pPr>
            <w:r>
              <w:rPr>
                <w:rFonts w:eastAsia="宋体"/>
                <w:sz w:val="21"/>
                <w:szCs w:val="21"/>
                <w:lang w:eastAsia="zh-CN"/>
              </w:rPr>
              <w:t>节理发</w:t>
            </w:r>
          </w:p>
          <w:p w14:paraId="1228A7F5">
            <w:pPr>
              <w:pStyle w:val="100"/>
              <w:adjustRightInd w:val="0"/>
              <w:snapToGrid w:val="0"/>
              <w:rPr>
                <w:rFonts w:eastAsia="宋体"/>
                <w:sz w:val="21"/>
                <w:szCs w:val="21"/>
                <w:lang w:eastAsia="zh-CN"/>
              </w:rPr>
            </w:pPr>
            <w:r>
              <w:rPr>
                <w:rFonts w:eastAsia="宋体"/>
                <w:sz w:val="21"/>
                <w:szCs w:val="21"/>
                <w:lang w:eastAsia="zh-CN"/>
              </w:rPr>
              <w:t>育有破碎带穿插不稳定</w:t>
            </w:r>
          </w:p>
        </w:tc>
        <w:tc>
          <w:tcPr>
            <w:tcW w:w="280" w:type="pct"/>
            <w:vAlign w:val="center"/>
          </w:tcPr>
          <w:p w14:paraId="3CC013FB">
            <w:pPr>
              <w:pStyle w:val="100"/>
              <w:adjustRightInd w:val="0"/>
              <w:snapToGrid w:val="0"/>
              <w:rPr>
                <w:rFonts w:eastAsia="宋体"/>
                <w:sz w:val="21"/>
                <w:szCs w:val="21"/>
              </w:rPr>
            </w:pPr>
            <w:r>
              <w:rPr>
                <w:rFonts w:eastAsia="宋体"/>
                <w:sz w:val="21"/>
                <w:szCs w:val="21"/>
              </w:rPr>
              <w:t>60～</w:t>
            </w:r>
          </w:p>
          <w:p w14:paraId="2FCB63F1">
            <w:pPr>
              <w:pStyle w:val="100"/>
              <w:adjustRightInd w:val="0"/>
              <w:snapToGrid w:val="0"/>
              <w:rPr>
                <w:rFonts w:eastAsia="宋体"/>
                <w:sz w:val="21"/>
                <w:szCs w:val="21"/>
              </w:rPr>
            </w:pPr>
            <w:r>
              <w:rPr>
                <w:rFonts w:eastAsia="宋体"/>
                <w:sz w:val="21"/>
                <w:szCs w:val="21"/>
              </w:rPr>
              <w:t>80</w:t>
            </w:r>
          </w:p>
        </w:tc>
        <w:tc>
          <w:tcPr>
            <w:tcW w:w="331" w:type="pct"/>
            <w:vAlign w:val="center"/>
          </w:tcPr>
          <w:p w14:paraId="28C5F3A3">
            <w:pPr>
              <w:pStyle w:val="100"/>
              <w:adjustRightInd w:val="0"/>
              <w:snapToGrid w:val="0"/>
              <w:jc w:val="right"/>
              <w:rPr>
                <w:rFonts w:eastAsia="宋体"/>
                <w:sz w:val="21"/>
                <w:szCs w:val="21"/>
              </w:rPr>
            </w:pPr>
            <w:r>
              <w:rPr>
                <w:rFonts w:eastAsia="宋体"/>
                <w:sz w:val="21"/>
                <w:szCs w:val="21"/>
              </w:rPr>
              <w:t>10～10</w:t>
            </w:r>
          </w:p>
        </w:tc>
        <w:tc>
          <w:tcPr>
            <w:tcW w:w="332" w:type="pct"/>
            <w:vAlign w:val="center"/>
          </w:tcPr>
          <w:p w14:paraId="4D207AF2">
            <w:pPr>
              <w:pStyle w:val="100"/>
              <w:adjustRightInd w:val="0"/>
              <w:snapToGrid w:val="0"/>
              <w:rPr>
                <w:rFonts w:eastAsia="宋体"/>
                <w:sz w:val="21"/>
                <w:szCs w:val="21"/>
              </w:rPr>
            </w:pPr>
            <w:r>
              <w:rPr>
                <w:rFonts w:eastAsia="宋体"/>
                <w:sz w:val="21"/>
                <w:szCs w:val="21"/>
              </w:rPr>
              <w:t>500</w:t>
            </w:r>
          </w:p>
        </w:tc>
        <w:tc>
          <w:tcPr>
            <w:tcW w:w="320" w:type="pct"/>
            <w:vAlign w:val="center"/>
          </w:tcPr>
          <w:p w14:paraId="721981BC">
            <w:pPr>
              <w:pStyle w:val="100"/>
              <w:adjustRightInd w:val="0"/>
              <w:snapToGrid w:val="0"/>
              <w:rPr>
                <w:rFonts w:eastAsia="宋体"/>
                <w:sz w:val="21"/>
                <w:szCs w:val="21"/>
              </w:rPr>
            </w:pPr>
            <w:r>
              <w:rPr>
                <w:rFonts w:eastAsia="宋体"/>
                <w:sz w:val="21"/>
                <w:szCs w:val="21"/>
              </w:rPr>
              <w:t>60～</w:t>
            </w:r>
          </w:p>
          <w:p w14:paraId="5792F1BF">
            <w:pPr>
              <w:pStyle w:val="100"/>
              <w:adjustRightInd w:val="0"/>
              <w:snapToGrid w:val="0"/>
              <w:rPr>
                <w:rFonts w:eastAsia="宋体"/>
                <w:sz w:val="21"/>
                <w:szCs w:val="21"/>
              </w:rPr>
            </w:pPr>
            <w:r>
              <w:rPr>
                <w:rFonts w:eastAsia="宋体"/>
                <w:sz w:val="21"/>
                <w:szCs w:val="21"/>
              </w:rPr>
              <w:t>360</w:t>
            </w:r>
          </w:p>
        </w:tc>
        <w:tc>
          <w:tcPr>
            <w:tcW w:w="511" w:type="pct"/>
            <w:vAlign w:val="center"/>
          </w:tcPr>
          <w:p w14:paraId="3B510E52">
            <w:pPr>
              <w:pStyle w:val="100"/>
              <w:adjustRightInd w:val="0"/>
              <w:snapToGrid w:val="0"/>
              <w:rPr>
                <w:rFonts w:eastAsia="宋体"/>
                <w:sz w:val="21"/>
                <w:szCs w:val="21"/>
                <w:lang w:eastAsia="zh-CN"/>
              </w:rPr>
            </w:pPr>
            <w:r>
              <w:rPr>
                <w:rFonts w:eastAsia="宋体"/>
                <w:sz w:val="21"/>
                <w:szCs w:val="21"/>
                <w:lang w:eastAsia="zh-CN"/>
              </w:rPr>
              <w:t>下向分层胶结充填、上向分层胶结充填</w:t>
            </w:r>
          </w:p>
        </w:tc>
        <w:tc>
          <w:tcPr>
            <w:tcW w:w="244" w:type="pct"/>
            <w:vAlign w:val="center"/>
          </w:tcPr>
          <w:p w14:paraId="2F9F22C7">
            <w:pPr>
              <w:pStyle w:val="100"/>
              <w:adjustRightInd w:val="0"/>
              <w:snapToGrid w:val="0"/>
              <w:rPr>
                <w:rFonts w:eastAsia="宋体"/>
                <w:sz w:val="21"/>
                <w:szCs w:val="21"/>
              </w:rPr>
            </w:pPr>
            <w:r>
              <w:rPr>
                <w:rFonts w:eastAsia="宋体"/>
                <w:sz w:val="21"/>
                <w:szCs w:val="21"/>
              </w:rPr>
              <w:t>55</w:t>
            </w:r>
          </w:p>
        </w:tc>
        <w:tc>
          <w:tcPr>
            <w:tcW w:w="245" w:type="pct"/>
            <w:vAlign w:val="center"/>
          </w:tcPr>
          <w:p w14:paraId="0705EE9C">
            <w:pPr>
              <w:pStyle w:val="100"/>
              <w:adjustRightInd w:val="0"/>
              <w:snapToGrid w:val="0"/>
              <w:rPr>
                <w:rFonts w:eastAsia="宋体"/>
                <w:sz w:val="21"/>
                <w:szCs w:val="21"/>
              </w:rPr>
            </w:pPr>
            <w:r>
              <w:rPr>
                <w:rFonts w:eastAsia="宋体"/>
                <w:sz w:val="21"/>
                <w:szCs w:val="21"/>
              </w:rPr>
              <w:t>50</w:t>
            </w:r>
          </w:p>
        </w:tc>
        <w:tc>
          <w:tcPr>
            <w:tcW w:w="244" w:type="pct"/>
            <w:vAlign w:val="center"/>
          </w:tcPr>
          <w:p w14:paraId="099F80A3">
            <w:pPr>
              <w:pStyle w:val="100"/>
              <w:adjustRightInd w:val="0"/>
              <w:snapToGrid w:val="0"/>
              <w:rPr>
                <w:rFonts w:eastAsia="宋体"/>
                <w:sz w:val="21"/>
                <w:szCs w:val="21"/>
              </w:rPr>
            </w:pPr>
            <w:r>
              <w:rPr>
                <w:rFonts w:eastAsia="宋体"/>
                <w:sz w:val="21"/>
                <w:szCs w:val="21"/>
              </w:rPr>
              <w:t>60</w:t>
            </w:r>
          </w:p>
        </w:tc>
      </w:tr>
      <w:tr w14:paraId="4438A3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48818A98">
            <w:pPr>
              <w:pStyle w:val="100"/>
              <w:adjustRightInd w:val="0"/>
              <w:snapToGrid w:val="0"/>
              <w:rPr>
                <w:rFonts w:eastAsia="宋体"/>
                <w:sz w:val="21"/>
                <w:szCs w:val="21"/>
              </w:rPr>
            </w:pPr>
            <w:r>
              <w:rPr>
                <w:rFonts w:eastAsia="宋体"/>
                <w:sz w:val="21"/>
                <w:szCs w:val="21"/>
              </w:rPr>
              <w:t>6</w:t>
            </w:r>
          </w:p>
        </w:tc>
        <w:tc>
          <w:tcPr>
            <w:tcW w:w="287" w:type="pct"/>
            <w:vAlign w:val="center"/>
          </w:tcPr>
          <w:p w14:paraId="2CAED498">
            <w:pPr>
              <w:pStyle w:val="100"/>
              <w:adjustRightInd w:val="0"/>
              <w:snapToGrid w:val="0"/>
              <w:rPr>
                <w:rFonts w:eastAsia="宋体"/>
                <w:sz w:val="21"/>
                <w:szCs w:val="21"/>
              </w:rPr>
            </w:pPr>
            <w:r>
              <w:rPr>
                <w:rFonts w:eastAsia="宋体"/>
                <w:sz w:val="21"/>
                <w:szCs w:val="21"/>
              </w:rPr>
              <w:t>红旗岭</w:t>
            </w:r>
            <w:r>
              <w:rPr>
                <w:rFonts w:eastAsia="宋体"/>
                <w:spacing w:val="-53"/>
                <w:sz w:val="21"/>
                <w:szCs w:val="21"/>
              </w:rPr>
              <w:t xml:space="preserve"> </w:t>
            </w:r>
            <w:r>
              <w:rPr>
                <w:rFonts w:eastAsia="宋体"/>
                <w:sz w:val="21"/>
                <w:szCs w:val="21"/>
              </w:rPr>
              <w:t>7#矿体</w:t>
            </w:r>
          </w:p>
        </w:tc>
        <w:tc>
          <w:tcPr>
            <w:tcW w:w="372" w:type="pct"/>
            <w:vAlign w:val="center"/>
          </w:tcPr>
          <w:p w14:paraId="4A1E89DC">
            <w:pPr>
              <w:pStyle w:val="100"/>
              <w:adjustRightInd w:val="0"/>
              <w:snapToGrid w:val="0"/>
              <w:rPr>
                <w:rFonts w:eastAsia="宋体"/>
                <w:sz w:val="21"/>
                <w:szCs w:val="21"/>
              </w:rPr>
            </w:pPr>
            <w:r>
              <w:rPr>
                <w:rFonts w:eastAsia="宋体"/>
                <w:sz w:val="21"/>
                <w:szCs w:val="21"/>
              </w:rPr>
              <w:t>大理岩</w:t>
            </w:r>
          </w:p>
        </w:tc>
        <w:tc>
          <w:tcPr>
            <w:tcW w:w="561" w:type="pct"/>
            <w:vAlign w:val="center"/>
          </w:tcPr>
          <w:p w14:paraId="109B9112">
            <w:pPr>
              <w:pStyle w:val="100"/>
              <w:adjustRightInd w:val="0"/>
              <w:snapToGrid w:val="0"/>
              <w:rPr>
                <w:rFonts w:eastAsia="宋体"/>
                <w:sz w:val="21"/>
                <w:szCs w:val="21"/>
              </w:rPr>
            </w:pPr>
            <w:r>
              <w:rPr>
                <w:rFonts w:eastAsia="宋体"/>
                <w:sz w:val="21"/>
                <w:szCs w:val="21"/>
              </w:rPr>
              <w:t>黑云母片麻岩</w:t>
            </w:r>
          </w:p>
        </w:tc>
        <w:tc>
          <w:tcPr>
            <w:tcW w:w="241" w:type="pct"/>
            <w:vAlign w:val="center"/>
          </w:tcPr>
          <w:p w14:paraId="3B191257">
            <w:pPr>
              <w:pStyle w:val="100"/>
              <w:adjustRightInd w:val="0"/>
              <w:snapToGrid w:val="0"/>
              <w:rPr>
                <w:rFonts w:eastAsia="宋体"/>
                <w:sz w:val="21"/>
                <w:szCs w:val="21"/>
              </w:rPr>
            </w:pPr>
            <w:r>
              <w:rPr>
                <w:rFonts w:eastAsia="宋体"/>
                <w:sz w:val="21"/>
                <w:szCs w:val="21"/>
              </w:rPr>
              <w:t>10～</w:t>
            </w:r>
          </w:p>
          <w:p w14:paraId="4BE1734A">
            <w:pPr>
              <w:pStyle w:val="100"/>
              <w:adjustRightInd w:val="0"/>
              <w:snapToGrid w:val="0"/>
              <w:rPr>
                <w:rFonts w:eastAsia="宋体"/>
                <w:sz w:val="21"/>
                <w:szCs w:val="21"/>
              </w:rPr>
            </w:pPr>
            <w:r>
              <w:rPr>
                <w:rFonts w:eastAsia="宋体"/>
                <w:sz w:val="21"/>
                <w:szCs w:val="21"/>
              </w:rPr>
              <w:t>12</w:t>
            </w:r>
          </w:p>
        </w:tc>
        <w:tc>
          <w:tcPr>
            <w:tcW w:w="241" w:type="pct"/>
            <w:vAlign w:val="center"/>
          </w:tcPr>
          <w:p w14:paraId="2310B600">
            <w:pPr>
              <w:pStyle w:val="100"/>
              <w:adjustRightInd w:val="0"/>
              <w:snapToGrid w:val="0"/>
              <w:rPr>
                <w:rFonts w:eastAsia="宋体"/>
                <w:sz w:val="21"/>
                <w:szCs w:val="21"/>
              </w:rPr>
            </w:pPr>
            <w:r>
              <w:rPr>
                <w:rFonts w:eastAsia="宋体"/>
                <w:sz w:val="21"/>
                <w:szCs w:val="21"/>
              </w:rPr>
              <w:t>8～10</w:t>
            </w:r>
          </w:p>
        </w:tc>
        <w:tc>
          <w:tcPr>
            <w:tcW w:w="299" w:type="pct"/>
            <w:vAlign w:val="center"/>
          </w:tcPr>
          <w:p w14:paraId="5322E8DA">
            <w:pPr>
              <w:pStyle w:val="100"/>
              <w:adjustRightInd w:val="0"/>
              <w:snapToGrid w:val="0"/>
              <w:rPr>
                <w:rFonts w:eastAsia="宋体"/>
                <w:sz w:val="21"/>
                <w:szCs w:val="21"/>
              </w:rPr>
            </w:pPr>
            <w:r>
              <w:rPr>
                <w:rFonts w:eastAsia="宋体"/>
                <w:sz w:val="21"/>
                <w:szCs w:val="21"/>
              </w:rPr>
              <w:t>节理发育</w:t>
            </w:r>
          </w:p>
        </w:tc>
        <w:tc>
          <w:tcPr>
            <w:tcW w:w="326" w:type="pct"/>
            <w:vAlign w:val="center"/>
          </w:tcPr>
          <w:p w14:paraId="7D4BDEA4">
            <w:pPr>
              <w:pStyle w:val="100"/>
              <w:adjustRightInd w:val="0"/>
              <w:snapToGrid w:val="0"/>
              <w:rPr>
                <w:rFonts w:eastAsia="宋体"/>
                <w:sz w:val="21"/>
                <w:szCs w:val="21"/>
              </w:rPr>
            </w:pPr>
            <w:r>
              <w:rPr>
                <w:rFonts w:eastAsia="宋体"/>
                <w:sz w:val="21"/>
                <w:szCs w:val="21"/>
              </w:rPr>
              <w:t>较稳定</w:t>
            </w:r>
          </w:p>
        </w:tc>
        <w:tc>
          <w:tcPr>
            <w:tcW w:w="280" w:type="pct"/>
            <w:vAlign w:val="center"/>
          </w:tcPr>
          <w:p w14:paraId="62A9258C">
            <w:pPr>
              <w:pStyle w:val="100"/>
              <w:adjustRightInd w:val="0"/>
              <w:snapToGrid w:val="0"/>
              <w:rPr>
                <w:rFonts w:eastAsia="宋体"/>
                <w:sz w:val="21"/>
                <w:szCs w:val="21"/>
              </w:rPr>
            </w:pPr>
            <w:r>
              <w:rPr>
                <w:rFonts w:eastAsia="宋体"/>
                <w:sz w:val="21"/>
                <w:szCs w:val="21"/>
              </w:rPr>
              <w:t>75</w:t>
            </w:r>
          </w:p>
        </w:tc>
        <w:tc>
          <w:tcPr>
            <w:tcW w:w="331" w:type="pct"/>
            <w:vAlign w:val="center"/>
          </w:tcPr>
          <w:p w14:paraId="0E126253">
            <w:pPr>
              <w:pStyle w:val="100"/>
              <w:adjustRightInd w:val="0"/>
              <w:snapToGrid w:val="0"/>
              <w:rPr>
                <w:rFonts w:eastAsia="宋体"/>
                <w:sz w:val="21"/>
                <w:szCs w:val="21"/>
              </w:rPr>
            </w:pPr>
            <w:r>
              <w:rPr>
                <w:rFonts w:eastAsia="宋体"/>
                <w:sz w:val="21"/>
                <w:szCs w:val="21"/>
              </w:rPr>
              <w:t>15</w:t>
            </w:r>
          </w:p>
        </w:tc>
        <w:tc>
          <w:tcPr>
            <w:tcW w:w="332" w:type="pct"/>
            <w:vAlign w:val="center"/>
          </w:tcPr>
          <w:p w14:paraId="7252C44B">
            <w:pPr>
              <w:pStyle w:val="100"/>
              <w:adjustRightInd w:val="0"/>
              <w:snapToGrid w:val="0"/>
              <w:rPr>
                <w:rFonts w:eastAsia="宋体"/>
                <w:sz w:val="21"/>
                <w:szCs w:val="21"/>
              </w:rPr>
            </w:pPr>
            <w:r>
              <w:rPr>
                <w:rFonts w:eastAsia="宋体"/>
                <w:sz w:val="21"/>
                <w:szCs w:val="21"/>
              </w:rPr>
              <w:t>500</w:t>
            </w:r>
          </w:p>
        </w:tc>
        <w:tc>
          <w:tcPr>
            <w:tcW w:w="320" w:type="pct"/>
            <w:vAlign w:val="center"/>
          </w:tcPr>
          <w:p w14:paraId="6C416FA6">
            <w:pPr>
              <w:pStyle w:val="100"/>
              <w:adjustRightInd w:val="0"/>
              <w:snapToGrid w:val="0"/>
              <w:rPr>
                <w:rFonts w:eastAsia="宋体"/>
                <w:sz w:val="21"/>
                <w:szCs w:val="21"/>
              </w:rPr>
            </w:pPr>
            <w:r>
              <w:rPr>
                <w:rFonts w:eastAsia="宋体"/>
                <w:sz w:val="21"/>
                <w:szCs w:val="21"/>
              </w:rPr>
              <w:t>190～</w:t>
            </w:r>
          </w:p>
          <w:p w14:paraId="25651DA1">
            <w:pPr>
              <w:pStyle w:val="100"/>
              <w:adjustRightInd w:val="0"/>
              <w:snapToGrid w:val="0"/>
              <w:rPr>
                <w:rFonts w:eastAsia="宋体"/>
                <w:sz w:val="21"/>
                <w:szCs w:val="21"/>
              </w:rPr>
            </w:pPr>
            <w:r>
              <w:rPr>
                <w:rFonts w:eastAsia="宋体"/>
                <w:sz w:val="21"/>
                <w:szCs w:val="21"/>
              </w:rPr>
              <w:t>470</w:t>
            </w:r>
          </w:p>
        </w:tc>
        <w:tc>
          <w:tcPr>
            <w:tcW w:w="511" w:type="pct"/>
            <w:vAlign w:val="center"/>
          </w:tcPr>
          <w:p w14:paraId="332E79BD">
            <w:pPr>
              <w:pStyle w:val="100"/>
              <w:adjustRightInd w:val="0"/>
              <w:snapToGrid w:val="0"/>
              <w:rPr>
                <w:rFonts w:eastAsia="宋体"/>
                <w:sz w:val="21"/>
                <w:szCs w:val="21"/>
              </w:rPr>
            </w:pPr>
            <w:r>
              <w:rPr>
                <w:rFonts w:eastAsia="宋体"/>
                <w:sz w:val="21"/>
                <w:szCs w:val="21"/>
              </w:rPr>
              <w:t>下向胶结充填</w:t>
            </w:r>
          </w:p>
        </w:tc>
        <w:tc>
          <w:tcPr>
            <w:tcW w:w="244" w:type="pct"/>
            <w:vAlign w:val="center"/>
          </w:tcPr>
          <w:p w14:paraId="19010FBE">
            <w:pPr>
              <w:pStyle w:val="100"/>
              <w:adjustRightInd w:val="0"/>
              <w:snapToGrid w:val="0"/>
              <w:rPr>
                <w:rFonts w:eastAsia="宋体"/>
                <w:sz w:val="21"/>
                <w:szCs w:val="21"/>
              </w:rPr>
            </w:pPr>
            <w:r>
              <w:rPr>
                <w:rFonts w:eastAsia="宋体"/>
                <w:sz w:val="21"/>
                <w:szCs w:val="21"/>
              </w:rPr>
              <w:t>70</w:t>
            </w:r>
          </w:p>
        </w:tc>
        <w:tc>
          <w:tcPr>
            <w:tcW w:w="245" w:type="pct"/>
            <w:vAlign w:val="center"/>
          </w:tcPr>
          <w:p w14:paraId="58C5BBD2">
            <w:pPr>
              <w:pStyle w:val="100"/>
              <w:adjustRightInd w:val="0"/>
              <w:snapToGrid w:val="0"/>
              <w:rPr>
                <w:rFonts w:eastAsia="宋体"/>
                <w:sz w:val="21"/>
                <w:szCs w:val="21"/>
              </w:rPr>
            </w:pPr>
            <w:r>
              <w:rPr>
                <w:rFonts w:eastAsia="宋体"/>
                <w:sz w:val="21"/>
                <w:szCs w:val="21"/>
              </w:rPr>
              <w:t>70</w:t>
            </w:r>
          </w:p>
        </w:tc>
        <w:tc>
          <w:tcPr>
            <w:tcW w:w="244" w:type="pct"/>
            <w:vAlign w:val="center"/>
          </w:tcPr>
          <w:p w14:paraId="34C3524A">
            <w:pPr>
              <w:pStyle w:val="100"/>
              <w:adjustRightInd w:val="0"/>
              <w:snapToGrid w:val="0"/>
              <w:rPr>
                <w:rFonts w:eastAsia="宋体"/>
                <w:sz w:val="21"/>
                <w:szCs w:val="21"/>
              </w:rPr>
            </w:pPr>
            <w:r>
              <w:rPr>
                <w:rFonts w:eastAsia="宋体"/>
                <w:sz w:val="21"/>
                <w:szCs w:val="21"/>
              </w:rPr>
              <w:t>70</w:t>
            </w:r>
          </w:p>
        </w:tc>
      </w:tr>
      <w:tr w14:paraId="2579BA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4BD3C5BF">
            <w:pPr>
              <w:pStyle w:val="100"/>
              <w:adjustRightInd w:val="0"/>
              <w:snapToGrid w:val="0"/>
              <w:rPr>
                <w:rFonts w:eastAsia="宋体"/>
                <w:sz w:val="21"/>
                <w:szCs w:val="21"/>
              </w:rPr>
            </w:pPr>
            <w:r>
              <w:rPr>
                <w:rFonts w:eastAsia="宋体"/>
                <w:sz w:val="21"/>
                <w:szCs w:val="21"/>
              </w:rPr>
              <w:t>7</w:t>
            </w:r>
          </w:p>
        </w:tc>
        <w:tc>
          <w:tcPr>
            <w:tcW w:w="287" w:type="pct"/>
            <w:vAlign w:val="center"/>
          </w:tcPr>
          <w:p w14:paraId="165607AE">
            <w:pPr>
              <w:pStyle w:val="100"/>
              <w:adjustRightInd w:val="0"/>
              <w:snapToGrid w:val="0"/>
              <w:jc w:val="both"/>
              <w:rPr>
                <w:rFonts w:eastAsia="宋体"/>
                <w:sz w:val="21"/>
                <w:szCs w:val="21"/>
              </w:rPr>
            </w:pPr>
            <w:r>
              <w:rPr>
                <w:rFonts w:eastAsia="宋体"/>
                <w:sz w:val="21"/>
                <w:szCs w:val="21"/>
              </w:rPr>
              <w:t>红旗岭</w:t>
            </w:r>
            <w:r>
              <w:rPr>
                <w:rFonts w:eastAsia="宋体"/>
                <w:spacing w:val="-53"/>
                <w:sz w:val="21"/>
                <w:szCs w:val="21"/>
              </w:rPr>
              <w:t xml:space="preserve"> </w:t>
            </w:r>
            <w:r>
              <w:rPr>
                <w:rFonts w:eastAsia="宋体"/>
                <w:sz w:val="21"/>
                <w:szCs w:val="21"/>
              </w:rPr>
              <w:t>1#矿体</w:t>
            </w:r>
          </w:p>
        </w:tc>
        <w:tc>
          <w:tcPr>
            <w:tcW w:w="372" w:type="pct"/>
            <w:vAlign w:val="center"/>
          </w:tcPr>
          <w:p w14:paraId="7D716923">
            <w:pPr>
              <w:pStyle w:val="100"/>
              <w:adjustRightInd w:val="0"/>
              <w:snapToGrid w:val="0"/>
              <w:rPr>
                <w:rFonts w:eastAsia="宋体"/>
                <w:sz w:val="21"/>
                <w:szCs w:val="21"/>
              </w:rPr>
            </w:pPr>
            <w:r>
              <w:rPr>
                <w:rFonts w:eastAsia="宋体"/>
                <w:sz w:val="21"/>
                <w:szCs w:val="21"/>
              </w:rPr>
              <w:t>橄榄岩</w:t>
            </w:r>
          </w:p>
        </w:tc>
        <w:tc>
          <w:tcPr>
            <w:tcW w:w="561" w:type="pct"/>
            <w:vAlign w:val="center"/>
          </w:tcPr>
          <w:p w14:paraId="02DB5622">
            <w:pPr>
              <w:pStyle w:val="100"/>
              <w:adjustRightInd w:val="0"/>
              <w:snapToGrid w:val="0"/>
              <w:rPr>
                <w:rFonts w:eastAsia="宋体"/>
                <w:sz w:val="21"/>
                <w:szCs w:val="21"/>
              </w:rPr>
            </w:pPr>
            <w:r>
              <w:rPr>
                <w:rFonts w:eastAsia="宋体"/>
                <w:sz w:val="21"/>
                <w:szCs w:val="21"/>
              </w:rPr>
              <w:t>黑云母片麻岩</w:t>
            </w:r>
          </w:p>
        </w:tc>
        <w:tc>
          <w:tcPr>
            <w:tcW w:w="241" w:type="pct"/>
            <w:vAlign w:val="center"/>
          </w:tcPr>
          <w:p w14:paraId="338417EA">
            <w:pPr>
              <w:pStyle w:val="100"/>
              <w:adjustRightInd w:val="0"/>
              <w:snapToGrid w:val="0"/>
              <w:rPr>
                <w:rFonts w:eastAsia="宋体"/>
                <w:sz w:val="21"/>
                <w:szCs w:val="21"/>
              </w:rPr>
            </w:pPr>
            <w:r>
              <w:rPr>
                <w:rFonts w:eastAsia="宋体"/>
                <w:sz w:val="21"/>
                <w:szCs w:val="21"/>
              </w:rPr>
              <w:t>12</w:t>
            </w:r>
          </w:p>
        </w:tc>
        <w:tc>
          <w:tcPr>
            <w:tcW w:w="241" w:type="pct"/>
            <w:vAlign w:val="center"/>
          </w:tcPr>
          <w:p w14:paraId="6D964360">
            <w:pPr>
              <w:pStyle w:val="100"/>
              <w:adjustRightInd w:val="0"/>
              <w:snapToGrid w:val="0"/>
              <w:rPr>
                <w:rFonts w:eastAsia="宋体"/>
                <w:sz w:val="21"/>
                <w:szCs w:val="21"/>
              </w:rPr>
            </w:pPr>
            <w:r>
              <w:rPr>
                <w:rFonts w:eastAsia="宋体"/>
                <w:sz w:val="21"/>
                <w:szCs w:val="21"/>
              </w:rPr>
              <w:t>10</w:t>
            </w:r>
          </w:p>
        </w:tc>
        <w:tc>
          <w:tcPr>
            <w:tcW w:w="299" w:type="pct"/>
            <w:vAlign w:val="center"/>
          </w:tcPr>
          <w:p w14:paraId="38A3A2C6">
            <w:pPr>
              <w:pStyle w:val="100"/>
              <w:adjustRightInd w:val="0"/>
              <w:snapToGrid w:val="0"/>
              <w:jc w:val="both"/>
              <w:rPr>
                <w:rFonts w:eastAsia="宋体"/>
                <w:sz w:val="21"/>
                <w:szCs w:val="21"/>
              </w:rPr>
            </w:pPr>
            <w:r>
              <w:rPr>
                <w:rFonts w:eastAsia="宋体"/>
                <w:sz w:val="21"/>
                <w:szCs w:val="21"/>
              </w:rPr>
              <w:t>有断层切割</w:t>
            </w:r>
          </w:p>
        </w:tc>
        <w:tc>
          <w:tcPr>
            <w:tcW w:w="326" w:type="pct"/>
            <w:vAlign w:val="center"/>
          </w:tcPr>
          <w:p w14:paraId="78A86B28">
            <w:pPr>
              <w:pStyle w:val="100"/>
              <w:adjustRightInd w:val="0"/>
              <w:snapToGrid w:val="0"/>
              <w:rPr>
                <w:rFonts w:eastAsia="宋体"/>
                <w:sz w:val="21"/>
                <w:szCs w:val="21"/>
              </w:rPr>
            </w:pPr>
            <w:r>
              <w:rPr>
                <w:rFonts w:eastAsia="宋体"/>
                <w:sz w:val="21"/>
                <w:szCs w:val="21"/>
              </w:rPr>
              <w:t>较稳定</w:t>
            </w:r>
          </w:p>
        </w:tc>
        <w:tc>
          <w:tcPr>
            <w:tcW w:w="280" w:type="pct"/>
            <w:vAlign w:val="center"/>
          </w:tcPr>
          <w:p w14:paraId="7023C694">
            <w:pPr>
              <w:pStyle w:val="100"/>
              <w:adjustRightInd w:val="0"/>
              <w:snapToGrid w:val="0"/>
              <w:rPr>
                <w:rFonts w:eastAsia="宋体"/>
                <w:sz w:val="21"/>
                <w:szCs w:val="21"/>
              </w:rPr>
            </w:pPr>
            <w:r>
              <w:rPr>
                <w:rFonts w:eastAsia="宋体"/>
                <w:sz w:val="21"/>
                <w:szCs w:val="21"/>
              </w:rPr>
              <w:t>40</w:t>
            </w:r>
          </w:p>
        </w:tc>
        <w:tc>
          <w:tcPr>
            <w:tcW w:w="331" w:type="pct"/>
            <w:vAlign w:val="center"/>
          </w:tcPr>
          <w:p w14:paraId="27860F15">
            <w:pPr>
              <w:pStyle w:val="100"/>
              <w:adjustRightInd w:val="0"/>
              <w:snapToGrid w:val="0"/>
              <w:rPr>
                <w:rFonts w:eastAsia="宋体"/>
                <w:sz w:val="21"/>
                <w:szCs w:val="21"/>
              </w:rPr>
            </w:pPr>
            <w:r>
              <w:rPr>
                <w:rFonts w:eastAsia="宋体"/>
                <w:sz w:val="21"/>
                <w:szCs w:val="21"/>
              </w:rPr>
              <w:t>30</w:t>
            </w:r>
          </w:p>
        </w:tc>
        <w:tc>
          <w:tcPr>
            <w:tcW w:w="332" w:type="pct"/>
            <w:vAlign w:val="center"/>
          </w:tcPr>
          <w:p w14:paraId="5CFD6115">
            <w:pPr>
              <w:pStyle w:val="100"/>
              <w:adjustRightInd w:val="0"/>
              <w:snapToGrid w:val="0"/>
              <w:rPr>
                <w:rFonts w:eastAsia="宋体"/>
                <w:sz w:val="21"/>
                <w:szCs w:val="21"/>
              </w:rPr>
            </w:pPr>
            <w:r>
              <w:rPr>
                <w:rFonts w:eastAsia="宋体"/>
                <w:sz w:val="21"/>
                <w:szCs w:val="21"/>
              </w:rPr>
              <w:t>200</w:t>
            </w:r>
          </w:p>
        </w:tc>
        <w:tc>
          <w:tcPr>
            <w:tcW w:w="320" w:type="pct"/>
            <w:vAlign w:val="center"/>
          </w:tcPr>
          <w:p w14:paraId="7F825544">
            <w:pPr>
              <w:pStyle w:val="100"/>
              <w:adjustRightInd w:val="0"/>
              <w:snapToGrid w:val="0"/>
              <w:rPr>
                <w:rFonts w:eastAsia="宋体"/>
                <w:sz w:val="21"/>
                <w:szCs w:val="21"/>
              </w:rPr>
            </w:pPr>
            <w:r>
              <w:rPr>
                <w:rFonts w:eastAsia="宋体"/>
                <w:sz w:val="21"/>
                <w:szCs w:val="21"/>
              </w:rPr>
              <w:t>110～</w:t>
            </w:r>
          </w:p>
          <w:p w14:paraId="460E0E75">
            <w:pPr>
              <w:pStyle w:val="100"/>
              <w:adjustRightInd w:val="0"/>
              <w:snapToGrid w:val="0"/>
              <w:rPr>
                <w:rFonts w:eastAsia="宋体"/>
                <w:sz w:val="21"/>
                <w:szCs w:val="21"/>
              </w:rPr>
            </w:pPr>
            <w:r>
              <w:rPr>
                <w:rFonts w:eastAsia="宋体"/>
                <w:sz w:val="21"/>
                <w:szCs w:val="21"/>
              </w:rPr>
              <w:t>450</w:t>
            </w:r>
          </w:p>
        </w:tc>
        <w:tc>
          <w:tcPr>
            <w:tcW w:w="511" w:type="pct"/>
            <w:vAlign w:val="center"/>
          </w:tcPr>
          <w:p w14:paraId="244D88FB">
            <w:pPr>
              <w:pStyle w:val="100"/>
              <w:adjustRightInd w:val="0"/>
              <w:snapToGrid w:val="0"/>
              <w:rPr>
                <w:rFonts w:eastAsia="宋体"/>
                <w:sz w:val="21"/>
                <w:szCs w:val="21"/>
              </w:rPr>
            </w:pPr>
            <w:r>
              <w:rPr>
                <w:rFonts w:eastAsia="宋体"/>
                <w:sz w:val="21"/>
                <w:szCs w:val="21"/>
              </w:rPr>
              <w:t>点柱充填法</w:t>
            </w:r>
          </w:p>
        </w:tc>
        <w:tc>
          <w:tcPr>
            <w:tcW w:w="244" w:type="pct"/>
            <w:vAlign w:val="center"/>
          </w:tcPr>
          <w:p w14:paraId="4D8CBCEE">
            <w:pPr>
              <w:pStyle w:val="100"/>
              <w:adjustRightInd w:val="0"/>
              <w:snapToGrid w:val="0"/>
              <w:rPr>
                <w:rFonts w:eastAsia="宋体"/>
                <w:sz w:val="21"/>
                <w:szCs w:val="21"/>
              </w:rPr>
            </w:pPr>
            <w:r>
              <w:rPr>
                <w:rFonts w:eastAsia="宋体"/>
                <w:sz w:val="21"/>
                <w:szCs w:val="21"/>
              </w:rPr>
              <w:t>55</w:t>
            </w:r>
          </w:p>
        </w:tc>
        <w:tc>
          <w:tcPr>
            <w:tcW w:w="245" w:type="pct"/>
            <w:vAlign w:val="center"/>
          </w:tcPr>
          <w:p w14:paraId="2B38D5B2">
            <w:pPr>
              <w:pStyle w:val="100"/>
              <w:adjustRightInd w:val="0"/>
              <w:snapToGrid w:val="0"/>
              <w:rPr>
                <w:rFonts w:eastAsia="宋体"/>
                <w:sz w:val="21"/>
                <w:szCs w:val="21"/>
              </w:rPr>
            </w:pPr>
            <w:r>
              <w:rPr>
                <w:rFonts w:eastAsia="宋体"/>
                <w:sz w:val="21"/>
                <w:szCs w:val="21"/>
              </w:rPr>
              <w:t>55</w:t>
            </w:r>
          </w:p>
        </w:tc>
        <w:tc>
          <w:tcPr>
            <w:tcW w:w="244" w:type="pct"/>
            <w:vAlign w:val="center"/>
          </w:tcPr>
          <w:p w14:paraId="3E6AE255">
            <w:pPr>
              <w:pStyle w:val="100"/>
              <w:adjustRightInd w:val="0"/>
              <w:snapToGrid w:val="0"/>
              <w:rPr>
                <w:rFonts w:eastAsia="宋体"/>
                <w:sz w:val="21"/>
                <w:szCs w:val="21"/>
              </w:rPr>
            </w:pPr>
            <w:r>
              <w:rPr>
                <w:rFonts w:eastAsia="宋体"/>
                <w:sz w:val="21"/>
                <w:szCs w:val="21"/>
              </w:rPr>
              <w:t>55</w:t>
            </w:r>
          </w:p>
        </w:tc>
      </w:tr>
      <w:tr w14:paraId="3463E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49F303B4">
            <w:pPr>
              <w:pStyle w:val="100"/>
              <w:adjustRightInd w:val="0"/>
              <w:snapToGrid w:val="0"/>
              <w:rPr>
                <w:rFonts w:eastAsia="宋体"/>
                <w:sz w:val="21"/>
                <w:szCs w:val="21"/>
              </w:rPr>
            </w:pPr>
            <w:r>
              <w:rPr>
                <w:rFonts w:eastAsia="宋体"/>
                <w:sz w:val="21"/>
                <w:szCs w:val="21"/>
              </w:rPr>
              <w:t>8</w:t>
            </w:r>
          </w:p>
        </w:tc>
        <w:tc>
          <w:tcPr>
            <w:tcW w:w="287" w:type="pct"/>
            <w:vAlign w:val="center"/>
          </w:tcPr>
          <w:p w14:paraId="0AE1EB22">
            <w:pPr>
              <w:pStyle w:val="100"/>
              <w:adjustRightInd w:val="0"/>
              <w:snapToGrid w:val="0"/>
              <w:rPr>
                <w:rFonts w:eastAsia="宋体"/>
                <w:sz w:val="21"/>
                <w:szCs w:val="21"/>
              </w:rPr>
            </w:pPr>
            <w:r>
              <w:rPr>
                <w:rFonts w:eastAsia="宋体"/>
                <w:sz w:val="21"/>
                <w:szCs w:val="21"/>
              </w:rPr>
              <w:t>新冶铜矿</w:t>
            </w:r>
          </w:p>
        </w:tc>
        <w:tc>
          <w:tcPr>
            <w:tcW w:w="372" w:type="pct"/>
            <w:vAlign w:val="center"/>
          </w:tcPr>
          <w:p w14:paraId="1806298E">
            <w:pPr>
              <w:pStyle w:val="100"/>
              <w:adjustRightInd w:val="0"/>
              <w:snapToGrid w:val="0"/>
              <w:rPr>
                <w:rFonts w:eastAsia="宋体"/>
                <w:sz w:val="21"/>
                <w:szCs w:val="21"/>
              </w:rPr>
            </w:pPr>
            <w:r>
              <w:rPr>
                <w:rFonts w:eastAsia="宋体"/>
                <w:sz w:val="21"/>
                <w:szCs w:val="21"/>
              </w:rPr>
              <w:t>结晶质石灰岩</w:t>
            </w:r>
          </w:p>
        </w:tc>
        <w:tc>
          <w:tcPr>
            <w:tcW w:w="561" w:type="pct"/>
            <w:vAlign w:val="center"/>
          </w:tcPr>
          <w:p w14:paraId="3F74FAE3">
            <w:pPr>
              <w:pStyle w:val="100"/>
              <w:adjustRightInd w:val="0"/>
              <w:snapToGrid w:val="0"/>
              <w:rPr>
                <w:rFonts w:eastAsia="宋体"/>
                <w:sz w:val="21"/>
                <w:szCs w:val="21"/>
              </w:rPr>
            </w:pPr>
            <w:r>
              <w:rPr>
                <w:rFonts w:eastAsia="宋体"/>
                <w:sz w:val="21"/>
                <w:szCs w:val="21"/>
              </w:rPr>
              <w:t>白云质石灰岩</w:t>
            </w:r>
          </w:p>
        </w:tc>
        <w:tc>
          <w:tcPr>
            <w:tcW w:w="241" w:type="pct"/>
            <w:vAlign w:val="center"/>
          </w:tcPr>
          <w:p w14:paraId="05C9A931">
            <w:pPr>
              <w:pStyle w:val="100"/>
              <w:adjustRightInd w:val="0"/>
              <w:snapToGrid w:val="0"/>
              <w:rPr>
                <w:rFonts w:eastAsia="宋体"/>
                <w:sz w:val="21"/>
                <w:szCs w:val="21"/>
              </w:rPr>
            </w:pPr>
            <w:r>
              <w:rPr>
                <w:rFonts w:eastAsia="宋体"/>
                <w:sz w:val="21"/>
                <w:szCs w:val="21"/>
              </w:rPr>
              <w:t>6～7</w:t>
            </w:r>
          </w:p>
        </w:tc>
        <w:tc>
          <w:tcPr>
            <w:tcW w:w="241" w:type="pct"/>
            <w:vAlign w:val="center"/>
          </w:tcPr>
          <w:p w14:paraId="246C5E4C">
            <w:pPr>
              <w:pStyle w:val="100"/>
              <w:adjustRightInd w:val="0"/>
              <w:snapToGrid w:val="0"/>
              <w:rPr>
                <w:rFonts w:eastAsia="宋体"/>
                <w:sz w:val="21"/>
                <w:szCs w:val="21"/>
              </w:rPr>
            </w:pPr>
            <w:r>
              <w:rPr>
                <w:rFonts w:eastAsia="宋体"/>
                <w:sz w:val="21"/>
                <w:szCs w:val="21"/>
              </w:rPr>
              <w:t>7～8</w:t>
            </w:r>
          </w:p>
        </w:tc>
        <w:tc>
          <w:tcPr>
            <w:tcW w:w="299" w:type="pct"/>
            <w:vAlign w:val="center"/>
          </w:tcPr>
          <w:p w14:paraId="6C6A4480">
            <w:pPr>
              <w:pStyle w:val="100"/>
              <w:adjustRightInd w:val="0"/>
              <w:snapToGrid w:val="0"/>
              <w:rPr>
                <w:rFonts w:eastAsia="宋体"/>
                <w:sz w:val="21"/>
                <w:szCs w:val="21"/>
              </w:rPr>
            </w:pPr>
            <w:r>
              <w:rPr>
                <w:rFonts w:eastAsia="宋体"/>
                <w:sz w:val="21"/>
                <w:szCs w:val="21"/>
              </w:rPr>
              <w:t>稳固</w:t>
            </w:r>
          </w:p>
        </w:tc>
        <w:tc>
          <w:tcPr>
            <w:tcW w:w="326" w:type="pct"/>
            <w:vAlign w:val="center"/>
          </w:tcPr>
          <w:p w14:paraId="43D2D9DC">
            <w:pPr>
              <w:pStyle w:val="100"/>
              <w:adjustRightInd w:val="0"/>
              <w:snapToGrid w:val="0"/>
              <w:rPr>
                <w:rFonts w:eastAsia="宋体"/>
                <w:sz w:val="21"/>
                <w:szCs w:val="21"/>
              </w:rPr>
            </w:pPr>
            <w:r>
              <w:rPr>
                <w:rFonts w:eastAsia="宋体"/>
                <w:sz w:val="21"/>
                <w:szCs w:val="21"/>
              </w:rPr>
              <w:t>稳固</w:t>
            </w:r>
          </w:p>
        </w:tc>
        <w:tc>
          <w:tcPr>
            <w:tcW w:w="280" w:type="pct"/>
            <w:vAlign w:val="center"/>
          </w:tcPr>
          <w:p w14:paraId="0AFCB467">
            <w:pPr>
              <w:pStyle w:val="100"/>
              <w:adjustRightInd w:val="0"/>
              <w:snapToGrid w:val="0"/>
              <w:rPr>
                <w:rFonts w:eastAsia="宋体"/>
                <w:sz w:val="21"/>
                <w:szCs w:val="21"/>
              </w:rPr>
            </w:pPr>
            <w:r>
              <w:rPr>
                <w:rFonts w:eastAsia="宋体"/>
                <w:sz w:val="21"/>
                <w:szCs w:val="21"/>
              </w:rPr>
              <w:t>26～40</w:t>
            </w:r>
          </w:p>
        </w:tc>
        <w:tc>
          <w:tcPr>
            <w:tcW w:w="331" w:type="pct"/>
            <w:vAlign w:val="center"/>
          </w:tcPr>
          <w:p w14:paraId="1BA180FA">
            <w:pPr>
              <w:pStyle w:val="100"/>
              <w:adjustRightInd w:val="0"/>
              <w:snapToGrid w:val="0"/>
              <w:rPr>
                <w:rFonts w:eastAsia="宋体"/>
                <w:sz w:val="21"/>
                <w:szCs w:val="21"/>
              </w:rPr>
            </w:pPr>
            <w:r>
              <w:rPr>
                <w:rFonts w:eastAsia="宋体"/>
                <w:sz w:val="21"/>
                <w:szCs w:val="21"/>
              </w:rPr>
              <w:t>2～20</w:t>
            </w:r>
          </w:p>
        </w:tc>
        <w:tc>
          <w:tcPr>
            <w:tcW w:w="332" w:type="pct"/>
            <w:vAlign w:val="center"/>
          </w:tcPr>
          <w:p w14:paraId="1DDDBB15">
            <w:pPr>
              <w:pStyle w:val="100"/>
              <w:adjustRightInd w:val="0"/>
              <w:snapToGrid w:val="0"/>
              <w:rPr>
                <w:rFonts w:eastAsia="宋体"/>
                <w:sz w:val="21"/>
                <w:szCs w:val="21"/>
              </w:rPr>
            </w:pPr>
            <w:r>
              <w:rPr>
                <w:rFonts w:eastAsia="宋体"/>
                <w:sz w:val="21"/>
                <w:szCs w:val="21"/>
              </w:rPr>
              <w:t>370</w:t>
            </w:r>
          </w:p>
        </w:tc>
        <w:tc>
          <w:tcPr>
            <w:tcW w:w="320" w:type="pct"/>
            <w:vAlign w:val="center"/>
          </w:tcPr>
          <w:p w14:paraId="5E5EDA50">
            <w:pPr>
              <w:pStyle w:val="100"/>
              <w:adjustRightInd w:val="0"/>
              <w:snapToGrid w:val="0"/>
              <w:rPr>
                <w:rFonts w:eastAsia="宋体"/>
                <w:sz w:val="21"/>
                <w:szCs w:val="21"/>
              </w:rPr>
            </w:pPr>
            <w:r>
              <w:rPr>
                <w:rFonts w:eastAsia="宋体"/>
                <w:sz w:val="21"/>
                <w:szCs w:val="21"/>
              </w:rPr>
              <w:t>150～</w:t>
            </w:r>
          </w:p>
          <w:p w14:paraId="77EA060D">
            <w:pPr>
              <w:pStyle w:val="100"/>
              <w:adjustRightInd w:val="0"/>
              <w:snapToGrid w:val="0"/>
              <w:rPr>
                <w:rFonts w:eastAsia="宋体"/>
                <w:sz w:val="21"/>
                <w:szCs w:val="21"/>
              </w:rPr>
            </w:pPr>
            <w:r>
              <w:rPr>
                <w:rFonts w:eastAsia="宋体"/>
                <w:sz w:val="21"/>
                <w:szCs w:val="21"/>
              </w:rPr>
              <w:t>350</w:t>
            </w:r>
          </w:p>
        </w:tc>
        <w:tc>
          <w:tcPr>
            <w:tcW w:w="511" w:type="pct"/>
            <w:vAlign w:val="center"/>
          </w:tcPr>
          <w:p w14:paraId="67F71C81">
            <w:pPr>
              <w:pStyle w:val="100"/>
              <w:adjustRightInd w:val="0"/>
              <w:snapToGrid w:val="0"/>
              <w:rPr>
                <w:rFonts w:eastAsia="宋体"/>
                <w:sz w:val="21"/>
                <w:szCs w:val="21"/>
                <w:lang w:eastAsia="zh-CN"/>
              </w:rPr>
            </w:pPr>
            <w:r>
              <w:rPr>
                <w:rFonts w:eastAsia="宋体"/>
                <w:sz w:val="21"/>
                <w:szCs w:val="21"/>
                <w:lang w:eastAsia="zh-CN"/>
              </w:rPr>
              <w:t>矿房：水平分层充填法矿柱：分段崩落法</w:t>
            </w:r>
          </w:p>
        </w:tc>
        <w:tc>
          <w:tcPr>
            <w:tcW w:w="244" w:type="pct"/>
            <w:vAlign w:val="center"/>
          </w:tcPr>
          <w:p w14:paraId="0E0D5D67">
            <w:pPr>
              <w:pStyle w:val="100"/>
              <w:adjustRightInd w:val="0"/>
              <w:snapToGrid w:val="0"/>
              <w:rPr>
                <w:rFonts w:eastAsia="宋体"/>
                <w:sz w:val="21"/>
                <w:szCs w:val="21"/>
              </w:rPr>
            </w:pPr>
            <w:r>
              <w:rPr>
                <w:rFonts w:eastAsia="宋体"/>
                <w:sz w:val="21"/>
                <w:szCs w:val="21"/>
              </w:rPr>
              <w:t>80</w:t>
            </w:r>
          </w:p>
        </w:tc>
        <w:tc>
          <w:tcPr>
            <w:tcW w:w="245" w:type="pct"/>
            <w:vAlign w:val="center"/>
          </w:tcPr>
          <w:p w14:paraId="31C4F868">
            <w:pPr>
              <w:pStyle w:val="100"/>
              <w:adjustRightInd w:val="0"/>
              <w:snapToGrid w:val="0"/>
              <w:rPr>
                <w:rFonts w:eastAsia="宋体"/>
                <w:sz w:val="21"/>
                <w:szCs w:val="21"/>
              </w:rPr>
            </w:pPr>
            <w:r>
              <w:rPr>
                <w:rFonts w:eastAsia="宋体"/>
                <w:sz w:val="21"/>
                <w:szCs w:val="21"/>
              </w:rPr>
              <w:t>80</w:t>
            </w:r>
          </w:p>
        </w:tc>
        <w:tc>
          <w:tcPr>
            <w:tcW w:w="244" w:type="pct"/>
            <w:vAlign w:val="center"/>
          </w:tcPr>
          <w:p w14:paraId="6C7A8C43">
            <w:pPr>
              <w:pStyle w:val="100"/>
              <w:adjustRightInd w:val="0"/>
              <w:snapToGrid w:val="0"/>
              <w:rPr>
                <w:rFonts w:eastAsia="宋体"/>
                <w:sz w:val="21"/>
                <w:szCs w:val="21"/>
              </w:rPr>
            </w:pPr>
            <w:r>
              <w:rPr>
                <w:rFonts w:eastAsia="宋体"/>
                <w:sz w:val="21"/>
                <w:szCs w:val="21"/>
              </w:rPr>
              <w:t>75</w:t>
            </w:r>
          </w:p>
        </w:tc>
      </w:tr>
      <w:tr w14:paraId="600CB3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77D810EF">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9</w:t>
            </w:r>
          </w:p>
        </w:tc>
        <w:tc>
          <w:tcPr>
            <w:tcW w:w="287" w:type="pct"/>
            <w:vAlign w:val="center"/>
          </w:tcPr>
          <w:p w14:paraId="370E864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湘潭锰矿</w:t>
            </w:r>
          </w:p>
        </w:tc>
        <w:tc>
          <w:tcPr>
            <w:tcW w:w="372" w:type="pct"/>
            <w:vAlign w:val="center"/>
          </w:tcPr>
          <w:p w14:paraId="4342298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页岩</w:t>
            </w:r>
          </w:p>
        </w:tc>
        <w:tc>
          <w:tcPr>
            <w:tcW w:w="561" w:type="pct"/>
            <w:vAlign w:val="center"/>
          </w:tcPr>
          <w:p w14:paraId="5C403B25">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页岩、砂岩</w:t>
            </w:r>
          </w:p>
        </w:tc>
        <w:tc>
          <w:tcPr>
            <w:tcW w:w="241" w:type="pct"/>
            <w:vAlign w:val="center"/>
          </w:tcPr>
          <w:p w14:paraId="2729D42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4～6</w:t>
            </w:r>
          </w:p>
        </w:tc>
        <w:tc>
          <w:tcPr>
            <w:tcW w:w="241" w:type="pct"/>
            <w:vAlign w:val="center"/>
          </w:tcPr>
          <w:p w14:paraId="0ABBE01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7～8</w:t>
            </w:r>
          </w:p>
        </w:tc>
        <w:tc>
          <w:tcPr>
            <w:tcW w:w="299" w:type="pct"/>
            <w:vAlign w:val="center"/>
          </w:tcPr>
          <w:p w14:paraId="64908D9F">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稳定性差</w:t>
            </w:r>
          </w:p>
        </w:tc>
        <w:tc>
          <w:tcPr>
            <w:tcW w:w="326" w:type="pct"/>
            <w:vAlign w:val="center"/>
          </w:tcPr>
          <w:p w14:paraId="1896009B">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较稳定</w:t>
            </w:r>
          </w:p>
        </w:tc>
        <w:tc>
          <w:tcPr>
            <w:tcW w:w="280" w:type="pct"/>
            <w:vAlign w:val="center"/>
          </w:tcPr>
          <w:p w14:paraId="4DA1E6BE">
            <w:pPr>
              <w:pStyle w:val="100"/>
              <w:adjustRightInd w:val="0"/>
              <w:snapToGrid w:val="0"/>
              <w:rPr>
                <w:rFonts w:eastAsia="宋体"/>
                <w:sz w:val="21"/>
                <w:szCs w:val="21"/>
              </w:rPr>
            </w:pPr>
            <w:r>
              <w:rPr>
                <w:rFonts w:eastAsia="宋体"/>
                <w:sz w:val="21"/>
                <w:szCs w:val="21"/>
              </w:rPr>
              <w:t>20～</w:t>
            </w:r>
          </w:p>
          <w:p w14:paraId="571DD5D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80</w:t>
            </w:r>
          </w:p>
        </w:tc>
        <w:tc>
          <w:tcPr>
            <w:tcW w:w="331" w:type="pct"/>
            <w:vAlign w:val="center"/>
          </w:tcPr>
          <w:p w14:paraId="2EA1C2F8">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2～3</w:t>
            </w:r>
          </w:p>
        </w:tc>
        <w:tc>
          <w:tcPr>
            <w:tcW w:w="332" w:type="pct"/>
            <w:vAlign w:val="center"/>
          </w:tcPr>
          <w:p w14:paraId="0EC17578">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2100</w:t>
            </w:r>
          </w:p>
        </w:tc>
        <w:tc>
          <w:tcPr>
            <w:tcW w:w="320" w:type="pct"/>
            <w:vAlign w:val="center"/>
          </w:tcPr>
          <w:p w14:paraId="2EC43A1C">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150</w:t>
            </w:r>
          </w:p>
        </w:tc>
        <w:tc>
          <w:tcPr>
            <w:tcW w:w="511" w:type="pct"/>
            <w:vAlign w:val="center"/>
          </w:tcPr>
          <w:p w14:paraId="38F622E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水砂充填</w:t>
            </w:r>
          </w:p>
        </w:tc>
        <w:tc>
          <w:tcPr>
            <w:tcW w:w="244" w:type="pct"/>
            <w:vAlign w:val="center"/>
          </w:tcPr>
          <w:p w14:paraId="55A5025B">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245" w:type="pct"/>
            <w:vAlign w:val="center"/>
          </w:tcPr>
          <w:p w14:paraId="3658372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75</w:t>
            </w:r>
          </w:p>
        </w:tc>
        <w:tc>
          <w:tcPr>
            <w:tcW w:w="244" w:type="pct"/>
            <w:vAlign w:val="center"/>
          </w:tcPr>
          <w:p w14:paraId="714786D6">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75</w:t>
            </w:r>
          </w:p>
        </w:tc>
      </w:tr>
      <w:tr w14:paraId="330B5D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6240EEB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10</w:t>
            </w:r>
          </w:p>
        </w:tc>
        <w:tc>
          <w:tcPr>
            <w:tcW w:w="287" w:type="pct"/>
            <w:vAlign w:val="center"/>
          </w:tcPr>
          <w:p w14:paraId="70123093">
            <w:pPr>
              <w:pStyle w:val="100"/>
              <w:adjustRightInd w:val="0"/>
              <w:snapToGrid w:val="0"/>
              <w:rPr>
                <w:rFonts w:eastAsia="宋体"/>
                <w:sz w:val="21"/>
                <w:szCs w:val="21"/>
              </w:rPr>
            </w:pPr>
            <w:r>
              <w:rPr>
                <w:rFonts w:eastAsia="宋体"/>
                <w:sz w:val="21"/>
                <w:szCs w:val="21"/>
              </w:rPr>
              <w:t>大厂91#矿体</w:t>
            </w:r>
          </w:p>
        </w:tc>
        <w:tc>
          <w:tcPr>
            <w:tcW w:w="372" w:type="pct"/>
            <w:vAlign w:val="center"/>
          </w:tcPr>
          <w:p w14:paraId="04DE78A8">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灰岩</w:t>
            </w:r>
          </w:p>
        </w:tc>
        <w:tc>
          <w:tcPr>
            <w:tcW w:w="561" w:type="pct"/>
            <w:vAlign w:val="center"/>
          </w:tcPr>
          <w:p w14:paraId="65C7853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灰岩</w:t>
            </w:r>
          </w:p>
        </w:tc>
        <w:tc>
          <w:tcPr>
            <w:tcW w:w="241" w:type="pct"/>
            <w:vAlign w:val="center"/>
          </w:tcPr>
          <w:p w14:paraId="324F8EEA">
            <w:pPr>
              <w:pStyle w:val="100"/>
              <w:adjustRightInd w:val="0"/>
              <w:snapToGrid w:val="0"/>
              <w:rPr>
                <w:rFonts w:eastAsia="宋体"/>
                <w:sz w:val="21"/>
                <w:szCs w:val="21"/>
              </w:rPr>
            </w:pPr>
            <w:r>
              <w:rPr>
                <w:rFonts w:eastAsia="宋体"/>
                <w:sz w:val="21"/>
                <w:szCs w:val="21"/>
              </w:rPr>
              <w:t>8～12</w:t>
            </w:r>
          </w:p>
        </w:tc>
        <w:tc>
          <w:tcPr>
            <w:tcW w:w="241" w:type="pct"/>
            <w:vAlign w:val="center"/>
          </w:tcPr>
          <w:p w14:paraId="312A765C">
            <w:pPr>
              <w:pStyle w:val="100"/>
              <w:adjustRightInd w:val="0"/>
              <w:snapToGrid w:val="0"/>
              <w:rPr>
                <w:rFonts w:eastAsia="宋体"/>
                <w:sz w:val="21"/>
                <w:szCs w:val="21"/>
              </w:rPr>
            </w:pPr>
            <w:r>
              <w:rPr>
                <w:rFonts w:eastAsia="宋体"/>
                <w:sz w:val="21"/>
                <w:szCs w:val="21"/>
              </w:rPr>
              <w:t>8～12</w:t>
            </w:r>
          </w:p>
        </w:tc>
        <w:tc>
          <w:tcPr>
            <w:tcW w:w="299" w:type="pct"/>
            <w:vAlign w:val="center"/>
          </w:tcPr>
          <w:p w14:paraId="450B689C">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326" w:type="pct"/>
            <w:vAlign w:val="center"/>
          </w:tcPr>
          <w:p w14:paraId="61B9038F">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280" w:type="pct"/>
            <w:vAlign w:val="center"/>
          </w:tcPr>
          <w:p w14:paraId="11CA6B74">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15</w:t>
            </w:r>
          </w:p>
        </w:tc>
        <w:tc>
          <w:tcPr>
            <w:tcW w:w="331" w:type="pct"/>
            <w:vAlign w:val="center"/>
          </w:tcPr>
          <w:p w14:paraId="1D89073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14</w:t>
            </w:r>
          </w:p>
        </w:tc>
        <w:tc>
          <w:tcPr>
            <w:tcW w:w="332" w:type="pct"/>
            <w:vAlign w:val="center"/>
          </w:tcPr>
          <w:p w14:paraId="2CE6030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1030</w:t>
            </w:r>
          </w:p>
        </w:tc>
        <w:tc>
          <w:tcPr>
            <w:tcW w:w="320" w:type="pct"/>
            <w:vAlign w:val="center"/>
          </w:tcPr>
          <w:p w14:paraId="0F0DD7D1">
            <w:pPr>
              <w:pStyle w:val="100"/>
              <w:adjustRightInd w:val="0"/>
              <w:snapToGrid w:val="0"/>
              <w:rPr>
                <w:rFonts w:eastAsia="宋体"/>
                <w:sz w:val="21"/>
                <w:szCs w:val="21"/>
              </w:rPr>
            </w:pPr>
            <w:r>
              <w:rPr>
                <w:rFonts w:eastAsia="宋体"/>
                <w:sz w:val="21"/>
                <w:szCs w:val="21"/>
              </w:rPr>
              <w:t>330～</w:t>
            </w:r>
          </w:p>
          <w:p w14:paraId="211D24F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580</w:t>
            </w:r>
          </w:p>
        </w:tc>
        <w:tc>
          <w:tcPr>
            <w:tcW w:w="511" w:type="pct"/>
            <w:vAlign w:val="center"/>
          </w:tcPr>
          <w:p w14:paraId="7620393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大直径深孔空场嗣后充填</w:t>
            </w:r>
          </w:p>
        </w:tc>
        <w:tc>
          <w:tcPr>
            <w:tcW w:w="244" w:type="pct"/>
            <w:vAlign w:val="center"/>
          </w:tcPr>
          <w:p w14:paraId="4D3F441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245" w:type="pct"/>
            <w:vAlign w:val="center"/>
          </w:tcPr>
          <w:p w14:paraId="0F23722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244" w:type="pct"/>
            <w:vAlign w:val="center"/>
          </w:tcPr>
          <w:p w14:paraId="5DDE450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r>
      <w:tr w14:paraId="135FBC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560C4C21">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11</w:t>
            </w:r>
          </w:p>
        </w:tc>
        <w:tc>
          <w:tcPr>
            <w:tcW w:w="287" w:type="pct"/>
            <w:vAlign w:val="center"/>
          </w:tcPr>
          <w:p w14:paraId="30D181E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凡口铅锌矿</w:t>
            </w:r>
          </w:p>
        </w:tc>
        <w:tc>
          <w:tcPr>
            <w:tcW w:w="372" w:type="pct"/>
            <w:vAlign w:val="center"/>
          </w:tcPr>
          <w:p w14:paraId="707154A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灰岩</w:t>
            </w:r>
          </w:p>
        </w:tc>
        <w:tc>
          <w:tcPr>
            <w:tcW w:w="561" w:type="pct"/>
            <w:vAlign w:val="center"/>
          </w:tcPr>
          <w:p w14:paraId="46CA884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灰岩</w:t>
            </w:r>
          </w:p>
        </w:tc>
        <w:tc>
          <w:tcPr>
            <w:tcW w:w="241" w:type="pct"/>
            <w:vAlign w:val="center"/>
          </w:tcPr>
          <w:p w14:paraId="62DAE96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4～9</w:t>
            </w:r>
          </w:p>
        </w:tc>
        <w:tc>
          <w:tcPr>
            <w:tcW w:w="241" w:type="pct"/>
            <w:vAlign w:val="center"/>
          </w:tcPr>
          <w:p w14:paraId="0338031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4～9</w:t>
            </w:r>
          </w:p>
        </w:tc>
        <w:tc>
          <w:tcPr>
            <w:tcW w:w="299" w:type="pct"/>
            <w:vAlign w:val="center"/>
          </w:tcPr>
          <w:p w14:paraId="16DA219B">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326" w:type="pct"/>
            <w:vAlign w:val="center"/>
          </w:tcPr>
          <w:p w14:paraId="4947F1E8">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280" w:type="pct"/>
            <w:vAlign w:val="center"/>
          </w:tcPr>
          <w:p w14:paraId="68181D68">
            <w:pPr>
              <w:pStyle w:val="100"/>
              <w:adjustRightInd w:val="0"/>
              <w:snapToGrid w:val="0"/>
              <w:rPr>
                <w:rFonts w:eastAsia="宋体"/>
                <w:sz w:val="21"/>
                <w:szCs w:val="21"/>
              </w:rPr>
            </w:pPr>
            <w:r>
              <w:rPr>
                <w:rFonts w:eastAsia="宋体"/>
                <w:sz w:val="21"/>
                <w:szCs w:val="21"/>
              </w:rPr>
              <w:t>60～</w:t>
            </w:r>
          </w:p>
          <w:p w14:paraId="002D0D9B">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331" w:type="pct"/>
            <w:vAlign w:val="center"/>
          </w:tcPr>
          <w:p w14:paraId="5B6F993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10～80</w:t>
            </w:r>
          </w:p>
        </w:tc>
        <w:tc>
          <w:tcPr>
            <w:tcW w:w="332" w:type="pct"/>
            <w:vAlign w:val="center"/>
          </w:tcPr>
          <w:p w14:paraId="6355F619">
            <w:pPr>
              <w:pStyle w:val="100"/>
              <w:adjustRightInd w:val="0"/>
              <w:snapToGrid w:val="0"/>
              <w:rPr>
                <w:rFonts w:eastAsia="宋体"/>
                <w:sz w:val="21"/>
                <w:szCs w:val="21"/>
              </w:rPr>
            </w:pPr>
            <w:r>
              <w:rPr>
                <w:rFonts w:eastAsia="宋体"/>
                <w:sz w:val="21"/>
                <w:szCs w:val="21"/>
              </w:rPr>
              <w:t>500～600</w:t>
            </w:r>
          </w:p>
        </w:tc>
        <w:tc>
          <w:tcPr>
            <w:tcW w:w="320" w:type="pct"/>
            <w:vAlign w:val="center"/>
          </w:tcPr>
          <w:p w14:paraId="73CF15DD">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650</w:t>
            </w:r>
          </w:p>
        </w:tc>
        <w:tc>
          <w:tcPr>
            <w:tcW w:w="511" w:type="pct"/>
            <w:vAlign w:val="center"/>
          </w:tcPr>
          <w:p w14:paraId="6A86B7F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充填法</w:t>
            </w:r>
          </w:p>
        </w:tc>
        <w:tc>
          <w:tcPr>
            <w:tcW w:w="244" w:type="pct"/>
            <w:vAlign w:val="center"/>
          </w:tcPr>
          <w:p w14:paraId="4D4D7D1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75</w:t>
            </w:r>
          </w:p>
        </w:tc>
        <w:tc>
          <w:tcPr>
            <w:tcW w:w="245" w:type="pct"/>
            <w:vAlign w:val="center"/>
          </w:tcPr>
          <w:p w14:paraId="30C4B1D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75</w:t>
            </w:r>
          </w:p>
        </w:tc>
        <w:tc>
          <w:tcPr>
            <w:tcW w:w="244" w:type="pct"/>
            <w:vAlign w:val="center"/>
          </w:tcPr>
          <w:p w14:paraId="04E6B6A9">
            <w:pPr>
              <w:pStyle w:val="100"/>
              <w:adjustRightInd w:val="0"/>
              <w:snapToGrid w:val="0"/>
              <w:rPr>
                <w:rFonts w:eastAsia="宋体"/>
                <w:sz w:val="21"/>
                <w:szCs w:val="21"/>
              </w:rPr>
            </w:pPr>
            <w:r>
              <w:rPr>
                <w:rFonts w:eastAsia="宋体"/>
                <w:sz w:val="21"/>
                <w:szCs w:val="21"/>
              </w:rPr>
              <w:t>75～</w:t>
            </w:r>
          </w:p>
          <w:p w14:paraId="21FA1E0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80</w:t>
            </w:r>
          </w:p>
        </w:tc>
      </w:tr>
      <w:tr w14:paraId="24084D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5ACD7EE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12</w:t>
            </w:r>
          </w:p>
        </w:tc>
        <w:tc>
          <w:tcPr>
            <w:tcW w:w="287" w:type="pct"/>
            <w:vAlign w:val="center"/>
          </w:tcPr>
          <w:p w14:paraId="188AA98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黄沙坪铅锌矿</w:t>
            </w:r>
          </w:p>
        </w:tc>
        <w:tc>
          <w:tcPr>
            <w:tcW w:w="372" w:type="pct"/>
            <w:vAlign w:val="center"/>
          </w:tcPr>
          <w:p w14:paraId="1A95932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石灰岩</w:t>
            </w:r>
          </w:p>
        </w:tc>
        <w:tc>
          <w:tcPr>
            <w:tcW w:w="561" w:type="pct"/>
            <w:vAlign w:val="center"/>
          </w:tcPr>
          <w:p w14:paraId="773C12F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石灰岩</w:t>
            </w:r>
          </w:p>
        </w:tc>
        <w:tc>
          <w:tcPr>
            <w:tcW w:w="241" w:type="pct"/>
            <w:vAlign w:val="center"/>
          </w:tcPr>
          <w:p w14:paraId="56B083F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6～8</w:t>
            </w:r>
          </w:p>
        </w:tc>
        <w:tc>
          <w:tcPr>
            <w:tcW w:w="241" w:type="pct"/>
            <w:vAlign w:val="center"/>
          </w:tcPr>
          <w:p w14:paraId="4CC38CD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6～8</w:t>
            </w:r>
          </w:p>
        </w:tc>
        <w:tc>
          <w:tcPr>
            <w:tcW w:w="299" w:type="pct"/>
            <w:vAlign w:val="center"/>
          </w:tcPr>
          <w:p w14:paraId="04FF2CD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326" w:type="pct"/>
            <w:vAlign w:val="center"/>
          </w:tcPr>
          <w:p w14:paraId="4C66E215">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280" w:type="pct"/>
            <w:vAlign w:val="center"/>
          </w:tcPr>
          <w:p w14:paraId="21FC1426">
            <w:pPr>
              <w:pStyle w:val="100"/>
              <w:adjustRightInd w:val="0"/>
              <w:snapToGrid w:val="0"/>
              <w:rPr>
                <w:rFonts w:eastAsia="宋体"/>
                <w:sz w:val="21"/>
                <w:szCs w:val="21"/>
              </w:rPr>
            </w:pPr>
            <w:r>
              <w:rPr>
                <w:rFonts w:eastAsia="宋体"/>
                <w:sz w:val="21"/>
                <w:szCs w:val="21"/>
              </w:rPr>
              <w:t>45～60</w:t>
            </w:r>
          </w:p>
        </w:tc>
        <w:tc>
          <w:tcPr>
            <w:tcW w:w="331" w:type="pct"/>
            <w:vAlign w:val="center"/>
          </w:tcPr>
          <w:p w14:paraId="5E9DCB7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6～8</w:t>
            </w:r>
          </w:p>
        </w:tc>
        <w:tc>
          <w:tcPr>
            <w:tcW w:w="332" w:type="pct"/>
            <w:vAlign w:val="center"/>
          </w:tcPr>
          <w:p w14:paraId="6692C5DA">
            <w:pPr>
              <w:pStyle w:val="100"/>
              <w:adjustRightInd w:val="0"/>
              <w:snapToGrid w:val="0"/>
              <w:rPr>
                <w:rFonts w:eastAsia="宋体"/>
                <w:sz w:val="21"/>
                <w:szCs w:val="21"/>
              </w:rPr>
            </w:pPr>
            <w:r>
              <w:rPr>
                <w:rFonts w:eastAsia="宋体"/>
                <w:sz w:val="21"/>
                <w:szCs w:val="21"/>
              </w:rPr>
              <w:t>500～700</w:t>
            </w:r>
          </w:p>
        </w:tc>
        <w:tc>
          <w:tcPr>
            <w:tcW w:w="320" w:type="pct"/>
            <w:vAlign w:val="center"/>
          </w:tcPr>
          <w:p w14:paraId="27BD3C8D">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400</w:t>
            </w:r>
          </w:p>
        </w:tc>
        <w:tc>
          <w:tcPr>
            <w:tcW w:w="511" w:type="pct"/>
            <w:vAlign w:val="center"/>
          </w:tcPr>
          <w:p w14:paraId="21C8A678">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干式充填法</w:t>
            </w:r>
          </w:p>
        </w:tc>
        <w:tc>
          <w:tcPr>
            <w:tcW w:w="244" w:type="pct"/>
            <w:vAlign w:val="center"/>
          </w:tcPr>
          <w:p w14:paraId="29A71ABE">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245" w:type="pct"/>
            <w:vAlign w:val="center"/>
          </w:tcPr>
          <w:p w14:paraId="0AB9BA00">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c>
          <w:tcPr>
            <w:tcW w:w="244" w:type="pct"/>
            <w:vAlign w:val="center"/>
          </w:tcPr>
          <w:p w14:paraId="122156B6">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80</w:t>
            </w:r>
          </w:p>
        </w:tc>
      </w:tr>
      <w:tr w14:paraId="2555DA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66" w:type="pct"/>
            <w:vAlign w:val="center"/>
          </w:tcPr>
          <w:p w14:paraId="6D884E8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13</w:t>
            </w:r>
          </w:p>
        </w:tc>
        <w:tc>
          <w:tcPr>
            <w:tcW w:w="287" w:type="pct"/>
            <w:vAlign w:val="center"/>
          </w:tcPr>
          <w:p w14:paraId="2138F59F">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铜绿 山铜矿</w:t>
            </w:r>
          </w:p>
        </w:tc>
        <w:tc>
          <w:tcPr>
            <w:tcW w:w="372" w:type="pct"/>
            <w:vAlign w:val="center"/>
          </w:tcPr>
          <w:p w14:paraId="21339C52">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大理岩</w:t>
            </w:r>
          </w:p>
        </w:tc>
        <w:tc>
          <w:tcPr>
            <w:tcW w:w="561" w:type="pct"/>
            <w:vAlign w:val="center"/>
          </w:tcPr>
          <w:p w14:paraId="5400BB2C">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闪长岩</w:t>
            </w:r>
          </w:p>
        </w:tc>
        <w:tc>
          <w:tcPr>
            <w:tcW w:w="241" w:type="pct"/>
            <w:vAlign w:val="center"/>
          </w:tcPr>
          <w:p w14:paraId="3B196877">
            <w:pPr>
              <w:pStyle w:val="100"/>
              <w:adjustRightInd w:val="0"/>
              <w:snapToGrid w:val="0"/>
              <w:rPr>
                <w:rFonts w:eastAsia="宋体"/>
                <w:sz w:val="21"/>
                <w:szCs w:val="21"/>
              </w:rPr>
            </w:pPr>
            <w:r>
              <w:rPr>
                <w:rFonts w:eastAsia="宋体"/>
                <w:sz w:val="21"/>
                <w:szCs w:val="21"/>
              </w:rPr>
              <w:t>8～10</w:t>
            </w:r>
          </w:p>
        </w:tc>
        <w:tc>
          <w:tcPr>
            <w:tcW w:w="241" w:type="pct"/>
            <w:vAlign w:val="center"/>
          </w:tcPr>
          <w:p w14:paraId="58C98322">
            <w:pPr>
              <w:pStyle w:val="100"/>
              <w:adjustRightInd w:val="0"/>
              <w:snapToGrid w:val="0"/>
              <w:rPr>
                <w:rFonts w:eastAsia="宋体"/>
                <w:sz w:val="21"/>
                <w:szCs w:val="21"/>
              </w:rPr>
            </w:pPr>
            <w:r>
              <w:rPr>
                <w:rFonts w:eastAsia="宋体"/>
                <w:sz w:val="21"/>
                <w:szCs w:val="21"/>
              </w:rPr>
              <w:t>10～</w:t>
            </w:r>
          </w:p>
          <w:p w14:paraId="45B88A64">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12</w:t>
            </w:r>
          </w:p>
        </w:tc>
        <w:tc>
          <w:tcPr>
            <w:tcW w:w="299" w:type="pct"/>
            <w:vAlign w:val="center"/>
          </w:tcPr>
          <w:p w14:paraId="53A1EC6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326" w:type="pct"/>
            <w:vAlign w:val="center"/>
          </w:tcPr>
          <w:p w14:paraId="05F70F9A">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p>
        </w:tc>
        <w:tc>
          <w:tcPr>
            <w:tcW w:w="280" w:type="pct"/>
            <w:vAlign w:val="center"/>
          </w:tcPr>
          <w:p w14:paraId="721E34CC">
            <w:pPr>
              <w:pStyle w:val="100"/>
              <w:adjustRightInd w:val="0"/>
              <w:snapToGrid w:val="0"/>
              <w:rPr>
                <w:rFonts w:eastAsia="宋体"/>
                <w:sz w:val="21"/>
                <w:szCs w:val="21"/>
              </w:rPr>
            </w:pPr>
            <w:r>
              <w:rPr>
                <w:rFonts w:eastAsia="宋体"/>
                <w:sz w:val="21"/>
                <w:szCs w:val="21"/>
              </w:rPr>
              <w:t>60～80</w:t>
            </w:r>
          </w:p>
        </w:tc>
        <w:tc>
          <w:tcPr>
            <w:tcW w:w="331" w:type="pct"/>
            <w:vAlign w:val="center"/>
          </w:tcPr>
          <w:p w14:paraId="0BDC7C9C">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4～100</w:t>
            </w:r>
          </w:p>
        </w:tc>
        <w:tc>
          <w:tcPr>
            <w:tcW w:w="332" w:type="pct"/>
            <w:vAlign w:val="center"/>
          </w:tcPr>
          <w:p w14:paraId="24A521F3">
            <w:pPr>
              <w:pStyle w:val="100"/>
              <w:adjustRightInd w:val="0"/>
              <w:snapToGrid w:val="0"/>
              <w:rPr>
                <w:rFonts w:eastAsia="宋体"/>
                <w:sz w:val="21"/>
                <w:szCs w:val="21"/>
              </w:rPr>
            </w:pPr>
            <w:r>
              <w:rPr>
                <w:rFonts w:eastAsia="宋体"/>
                <w:sz w:val="21"/>
                <w:szCs w:val="21"/>
              </w:rPr>
              <w:t>300～</w:t>
            </w:r>
          </w:p>
          <w:p w14:paraId="6E14205F">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500</w:t>
            </w:r>
          </w:p>
        </w:tc>
        <w:tc>
          <w:tcPr>
            <w:tcW w:w="320" w:type="pct"/>
            <w:vAlign w:val="center"/>
          </w:tcPr>
          <w:p w14:paraId="152AC617">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700</w:t>
            </w:r>
          </w:p>
        </w:tc>
        <w:tc>
          <w:tcPr>
            <w:tcW w:w="511" w:type="pct"/>
            <w:vAlign w:val="center"/>
          </w:tcPr>
          <w:p w14:paraId="24FE1149">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充填法</w:t>
            </w:r>
          </w:p>
        </w:tc>
        <w:tc>
          <w:tcPr>
            <w:tcW w:w="244" w:type="pct"/>
            <w:vAlign w:val="center"/>
          </w:tcPr>
          <w:p w14:paraId="41E9E873">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65</w:t>
            </w:r>
          </w:p>
        </w:tc>
        <w:tc>
          <w:tcPr>
            <w:tcW w:w="245" w:type="pct"/>
            <w:vAlign w:val="center"/>
          </w:tcPr>
          <w:p w14:paraId="45874FD4">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65</w:t>
            </w:r>
          </w:p>
        </w:tc>
        <w:tc>
          <w:tcPr>
            <w:tcW w:w="244" w:type="pct"/>
            <w:vAlign w:val="center"/>
          </w:tcPr>
          <w:p w14:paraId="730E5FDD">
            <w:pPr>
              <w:pStyle w:val="100"/>
              <w:adjustRightInd w:val="0"/>
              <w:snapToGrid w:val="0"/>
              <w:rPr>
                <w:rFonts w:eastAsia="宋体"/>
                <w:sz w:val="21"/>
                <w:szCs w:val="21"/>
              </w:rPr>
            </w:pPr>
            <w:r>
              <w:rPr>
                <w:rFonts w:eastAsia="宋体"/>
                <w:sz w:val="21"/>
                <w:szCs w:val="21"/>
              </w:rPr>
              <w:t>65～</w:t>
            </w:r>
          </w:p>
          <w:p w14:paraId="0980980D">
            <w:pPr>
              <w:pStyle w:val="16"/>
              <w:autoSpaceDE w:val="0"/>
              <w:autoSpaceDN w:val="0"/>
              <w:adjustRightInd w:val="0"/>
              <w:snapToGrid w:val="0"/>
              <w:spacing w:line="240" w:lineRule="auto"/>
              <w:ind w:firstLine="0" w:firstLineChars="0"/>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70</w:t>
            </w:r>
          </w:p>
        </w:tc>
      </w:tr>
    </w:tbl>
    <w:p w14:paraId="1219339A">
      <w:pPr>
        <w:adjustRightInd w:val="0"/>
        <w:snapToGrid w:val="0"/>
        <w:spacing w:line="360" w:lineRule="auto"/>
        <w:ind w:firstLine="560"/>
        <w:rPr>
          <w:rFonts w:asciiTheme="minorHAnsi" w:hAnsiTheme="minorHAnsi" w:cstheme="minorHAnsi"/>
          <w:kern w:val="0"/>
          <w:szCs w:val="28"/>
        </w:rPr>
      </w:pPr>
    </w:p>
    <w:p w14:paraId="59EDE82E">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上表</w:t>
      </w:r>
      <w:r>
        <w:rPr>
          <w:rFonts w:asciiTheme="minorHAnsi" w:hAnsiTheme="minorHAnsi" w:cstheme="minorHAnsi"/>
          <w:kern w:val="0"/>
          <w:szCs w:val="28"/>
        </w:rPr>
        <w:t>3.1-2</w:t>
      </w:r>
      <w:r>
        <w:rPr>
          <w:rFonts w:hint="eastAsia" w:asciiTheme="minorHAnsi" w:hAnsiTheme="minorHAnsi" w:cstheme="minorHAnsi"/>
          <w:kern w:val="0"/>
          <w:szCs w:val="28"/>
        </w:rPr>
        <w:t xml:space="preserve"> 详细列出了我国部分金属矿山较为详细的开采技术条件及其实测的岩石移动角，将彭集铁矿的开采技术条件及采矿方法与之进行类比，以获得推荐的岩石移动角取值。</w:t>
      </w:r>
    </w:p>
    <w:p w14:paraId="6969F422">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彭集铁矿矿床具有多条矿体，矿体多为层状、似层状，矿体厚度变化简单-中等，局部有膨胀、收缩复合现象，平均真厚度为 2.05m~16.5m。矿体产状走向大致为 340°，倾向 SW，倾角 55°~85°。矿体沿走向延伸 2~3km，沿倾向延深 600~1100m，设计采用阶段、分段空场嗣后胶结充填法回采，自下而上开采，分步骤进行充填。上覆岩层岩性从上往下为第四系及风化层、基岩，第四系及风化层厚度在 26~112m，力学性质软弱；基岩为黑云变粒岩，属于Ⅱ级岩体，结构中等稳固。根据金属矿山实测数据进行类比，得到彭集铁矿自开采上界划的岩石移动角 γ 为 70°，沿走向划的端部岩石移动角 δ 为 70°，自开采下界划的岩石移动角 β 为 70°。</w:t>
      </w:r>
    </w:p>
    <w:p w14:paraId="4AB92021">
      <w:pPr>
        <w:adjustRightInd w:val="0"/>
        <w:snapToGrid w:val="0"/>
        <w:spacing w:line="360" w:lineRule="auto"/>
        <w:ind w:firstLine="560"/>
        <w:rPr>
          <w:rFonts w:asciiTheme="minorHAnsi" w:hAnsiTheme="minorHAnsi" w:cstheme="minorHAnsi"/>
          <w:kern w:val="0"/>
          <w:szCs w:val="28"/>
        </w:rPr>
      </w:pPr>
      <w:r>
        <w:rPr>
          <w:rFonts w:asciiTheme="minorHAnsi" w:hAnsiTheme="minorHAnsi" w:cstheme="minorHAnsi"/>
          <w:kern w:val="0"/>
          <w:szCs w:val="28"/>
        </w:rPr>
        <w:t>3</w:t>
      </w:r>
      <w:r>
        <w:rPr>
          <w:rFonts w:hint="eastAsia" w:asciiTheme="minorHAnsi" w:hAnsiTheme="minorHAnsi" w:cstheme="minorHAnsi"/>
          <w:kern w:val="0"/>
          <w:szCs w:val="28"/>
        </w:rPr>
        <w:t>）岩石移动角的确定</w:t>
      </w:r>
    </w:p>
    <w:p w14:paraId="1A35EF46">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采用类比法选择与矿体条件相近的矿山实测移动角数据，再适当调整由经验得到的崩落角值与移动角值。从上下盘围岩岩性、f 系数、矿体倾角、厚度与矿体开采深度、采矿方法等因素进行研究分析，重点参考充填法开采的矿山。综合得到的上述各个方法的岩石移动角推荐值，确定采用的岩石移动角推荐值，结果详见表</w:t>
      </w:r>
      <w:r>
        <w:rPr>
          <w:rFonts w:asciiTheme="minorHAnsi" w:hAnsiTheme="minorHAnsi" w:cstheme="minorHAnsi"/>
          <w:kern w:val="0"/>
          <w:szCs w:val="28"/>
        </w:rPr>
        <w:t>3.1-3</w:t>
      </w:r>
      <w:r>
        <w:rPr>
          <w:rFonts w:hint="eastAsia" w:asciiTheme="minorHAnsi" w:hAnsiTheme="minorHAnsi" w:cstheme="minorHAnsi"/>
          <w:kern w:val="0"/>
          <w:szCs w:val="28"/>
        </w:rPr>
        <w:t>。</w:t>
      </w:r>
    </w:p>
    <w:p w14:paraId="1B53C3C6">
      <w:pPr>
        <w:adjustRightInd w:val="0"/>
        <w:snapToGrid w:val="0"/>
        <w:spacing w:line="360" w:lineRule="auto"/>
        <w:ind w:firstLine="560"/>
        <w:jc w:val="center"/>
        <w:rPr>
          <w:rFonts w:asciiTheme="minorHAnsi" w:hAnsiTheme="minorHAnsi" w:cstheme="minorHAnsi"/>
          <w:kern w:val="0"/>
          <w:szCs w:val="28"/>
        </w:rPr>
      </w:pPr>
      <w:r>
        <w:rPr>
          <w:rFonts w:hint="eastAsia" w:asciiTheme="minorHAnsi" w:hAnsiTheme="minorHAnsi" w:cstheme="minorHAnsi"/>
          <w:kern w:val="0"/>
          <w:szCs w:val="28"/>
        </w:rPr>
        <w:t>表</w:t>
      </w:r>
      <w:r>
        <w:rPr>
          <w:rFonts w:asciiTheme="minorHAnsi" w:hAnsiTheme="minorHAnsi" w:cstheme="minorHAnsi"/>
          <w:kern w:val="0"/>
          <w:szCs w:val="28"/>
        </w:rPr>
        <w:t>3.1-3</w:t>
      </w:r>
      <w:r>
        <w:rPr>
          <w:rFonts w:hint="eastAsia" w:asciiTheme="minorHAnsi" w:hAnsiTheme="minorHAnsi" w:cstheme="minorHAnsi"/>
          <w:kern w:val="0"/>
          <w:szCs w:val="28"/>
        </w:rPr>
        <w:t xml:space="preserve"> 移动角推荐值汇总表</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670"/>
        <w:gridCol w:w="2213"/>
        <w:gridCol w:w="2213"/>
        <w:gridCol w:w="2212"/>
      </w:tblGrid>
      <w:tr w14:paraId="5436D2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434" w:type="pct"/>
            <w:vMerge w:val="restart"/>
            <w:vAlign w:val="center"/>
          </w:tcPr>
          <w:p w14:paraId="54F96C45">
            <w:pPr>
              <w:pStyle w:val="100"/>
              <w:adjustRightInd w:val="0"/>
              <w:snapToGrid w:val="0"/>
              <w:rPr>
                <w:sz w:val="21"/>
              </w:rPr>
            </w:pPr>
            <w:r>
              <w:rPr>
                <w:sz w:val="21"/>
              </w:rPr>
              <w:t>方法名称</w:t>
            </w:r>
          </w:p>
        </w:tc>
        <w:tc>
          <w:tcPr>
            <w:tcW w:w="3566" w:type="pct"/>
            <w:gridSpan w:val="3"/>
            <w:vAlign w:val="center"/>
          </w:tcPr>
          <w:p w14:paraId="7FBB6C4D">
            <w:pPr>
              <w:pStyle w:val="100"/>
              <w:adjustRightInd w:val="0"/>
              <w:snapToGrid w:val="0"/>
              <w:rPr>
                <w:sz w:val="21"/>
              </w:rPr>
            </w:pPr>
            <w:r>
              <w:rPr>
                <w:sz w:val="21"/>
              </w:rPr>
              <w:t>移动角</w:t>
            </w:r>
          </w:p>
        </w:tc>
      </w:tr>
      <w:tr w14:paraId="16C0D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434" w:type="pct"/>
            <w:vMerge w:val="continue"/>
            <w:vAlign w:val="center"/>
          </w:tcPr>
          <w:p w14:paraId="5649080E">
            <w:pPr>
              <w:autoSpaceDE w:val="0"/>
              <w:autoSpaceDN w:val="0"/>
              <w:adjustRightInd w:val="0"/>
              <w:snapToGrid w:val="0"/>
              <w:spacing w:line="240" w:lineRule="auto"/>
              <w:ind w:firstLine="0" w:firstLineChars="0"/>
              <w:rPr>
                <w:lang w:eastAsia="en-US"/>
              </w:rPr>
            </w:pPr>
          </w:p>
        </w:tc>
        <w:tc>
          <w:tcPr>
            <w:tcW w:w="1189" w:type="pct"/>
            <w:vAlign w:val="center"/>
          </w:tcPr>
          <w:p w14:paraId="4AC6DA40">
            <w:pPr>
              <w:pStyle w:val="100"/>
              <w:adjustRightInd w:val="0"/>
              <w:snapToGrid w:val="0"/>
              <w:rPr>
                <w:rFonts w:ascii="Cambria Math" w:eastAsia="Cambria Math"/>
                <w:sz w:val="21"/>
              </w:rPr>
            </w:pPr>
            <w:r>
              <w:rPr>
                <w:sz w:val="21"/>
              </w:rPr>
              <w:t>下盘</w:t>
            </w:r>
            <w:r>
              <w:rPr>
                <w:rFonts w:ascii="Cambria Math" w:eastAsia="Cambria Math"/>
                <w:sz w:val="21"/>
              </w:rPr>
              <w:t>𝛽</w:t>
            </w:r>
          </w:p>
        </w:tc>
        <w:tc>
          <w:tcPr>
            <w:tcW w:w="1189" w:type="pct"/>
            <w:vAlign w:val="center"/>
          </w:tcPr>
          <w:p w14:paraId="49AFA8EF">
            <w:pPr>
              <w:pStyle w:val="100"/>
              <w:adjustRightInd w:val="0"/>
              <w:snapToGrid w:val="0"/>
              <w:rPr>
                <w:rFonts w:ascii="Cambria Math" w:eastAsia="Cambria Math"/>
                <w:sz w:val="21"/>
              </w:rPr>
            </w:pPr>
            <w:r>
              <w:rPr>
                <w:sz w:val="21"/>
              </w:rPr>
              <w:t>上盘</w:t>
            </w:r>
            <w:r>
              <w:rPr>
                <w:rFonts w:ascii="Cambria Math" w:eastAsia="Cambria Math"/>
                <w:sz w:val="21"/>
              </w:rPr>
              <w:t>𝛾</w:t>
            </w:r>
          </w:p>
        </w:tc>
        <w:tc>
          <w:tcPr>
            <w:tcW w:w="1188" w:type="pct"/>
            <w:vAlign w:val="center"/>
          </w:tcPr>
          <w:p w14:paraId="72F0B0F0">
            <w:pPr>
              <w:pStyle w:val="100"/>
              <w:adjustRightInd w:val="0"/>
              <w:snapToGrid w:val="0"/>
              <w:rPr>
                <w:rFonts w:ascii="Cambria Math" w:eastAsia="Cambria Math"/>
                <w:sz w:val="21"/>
              </w:rPr>
            </w:pPr>
            <w:r>
              <w:rPr>
                <w:sz w:val="21"/>
              </w:rPr>
              <w:t>走向</w:t>
            </w:r>
            <w:r>
              <w:rPr>
                <w:rFonts w:ascii="Cambria Math" w:eastAsia="Cambria Math"/>
                <w:sz w:val="21"/>
              </w:rPr>
              <w:t>𝛿</w:t>
            </w:r>
          </w:p>
        </w:tc>
      </w:tr>
      <w:tr w14:paraId="152102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exact"/>
        </w:trPr>
        <w:tc>
          <w:tcPr>
            <w:tcW w:w="1434" w:type="pct"/>
            <w:vAlign w:val="center"/>
          </w:tcPr>
          <w:p w14:paraId="7F3AD2F0">
            <w:pPr>
              <w:pStyle w:val="100"/>
              <w:adjustRightInd w:val="0"/>
              <w:snapToGrid w:val="0"/>
              <w:rPr>
                <w:sz w:val="21"/>
              </w:rPr>
            </w:pPr>
            <w:r>
              <w:rPr>
                <w:sz w:val="21"/>
              </w:rPr>
              <w:t>规范经验</w:t>
            </w:r>
          </w:p>
        </w:tc>
        <w:tc>
          <w:tcPr>
            <w:tcW w:w="1189" w:type="pct"/>
            <w:vAlign w:val="center"/>
          </w:tcPr>
          <w:p w14:paraId="0EBB3421">
            <w:pPr>
              <w:pStyle w:val="100"/>
              <w:adjustRightInd w:val="0"/>
              <w:snapToGrid w:val="0"/>
              <w:rPr>
                <w:sz w:val="21"/>
              </w:rPr>
            </w:pPr>
            <w:r>
              <w:rPr>
                <w:sz w:val="21"/>
              </w:rPr>
              <w:t>40°</w:t>
            </w:r>
          </w:p>
        </w:tc>
        <w:tc>
          <w:tcPr>
            <w:tcW w:w="1189" w:type="pct"/>
            <w:vAlign w:val="center"/>
          </w:tcPr>
          <w:p w14:paraId="3ECBA20A">
            <w:pPr>
              <w:pStyle w:val="100"/>
              <w:adjustRightInd w:val="0"/>
              <w:snapToGrid w:val="0"/>
              <w:rPr>
                <w:sz w:val="21"/>
              </w:rPr>
            </w:pPr>
            <w:r>
              <w:rPr>
                <w:w w:val="99"/>
                <w:sz w:val="21"/>
              </w:rPr>
              <w:t>-</w:t>
            </w:r>
          </w:p>
        </w:tc>
        <w:tc>
          <w:tcPr>
            <w:tcW w:w="1188" w:type="pct"/>
            <w:vAlign w:val="center"/>
          </w:tcPr>
          <w:p w14:paraId="2514417C">
            <w:pPr>
              <w:pStyle w:val="100"/>
              <w:adjustRightInd w:val="0"/>
              <w:snapToGrid w:val="0"/>
              <w:rPr>
                <w:sz w:val="21"/>
              </w:rPr>
            </w:pPr>
            <w:r>
              <w:rPr>
                <w:sz w:val="21"/>
              </w:rPr>
              <w:t>70°</w:t>
            </w:r>
          </w:p>
        </w:tc>
      </w:tr>
      <w:tr w14:paraId="6DFBD5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 w:hRule="exact"/>
        </w:trPr>
        <w:tc>
          <w:tcPr>
            <w:tcW w:w="1434" w:type="pct"/>
            <w:vAlign w:val="center"/>
          </w:tcPr>
          <w:p w14:paraId="126E0DF4">
            <w:pPr>
              <w:pStyle w:val="100"/>
              <w:adjustRightInd w:val="0"/>
              <w:snapToGrid w:val="0"/>
              <w:rPr>
                <w:sz w:val="21"/>
              </w:rPr>
            </w:pPr>
            <w:r>
              <w:rPr>
                <w:sz w:val="21"/>
              </w:rPr>
              <w:t>金属矿类比</w:t>
            </w:r>
          </w:p>
        </w:tc>
        <w:tc>
          <w:tcPr>
            <w:tcW w:w="1189" w:type="pct"/>
            <w:vAlign w:val="center"/>
          </w:tcPr>
          <w:p w14:paraId="231A17B8">
            <w:pPr>
              <w:pStyle w:val="100"/>
              <w:adjustRightInd w:val="0"/>
              <w:snapToGrid w:val="0"/>
              <w:rPr>
                <w:sz w:val="21"/>
              </w:rPr>
            </w:pPr>
            <w:r>
              <w:rPr>
                <w:sz w:val="21"/>
              </w:rPr>
              <w:t>70°</w:t>
            </w:r>
          </w:p>
        </w:tc>
        <w:tc>
          <w:tcPr>
            <w:tcW w:w="1189" w:type="pct"/>
            <w:vAlign w:val="center"/>
          </w:tcPr>
          <w:p w14:paraId="3B0CABA9">
            <w:pPr>
              <w:pStyle w:val="100"/>
              <w:adjustRightInd w:val="0"/>
              <w:snapToGrid w:val="0"/>
              <w:rPr>
                <w:sz w:val="21"/>
              </w:rPr>
            </w:pPr>
            <w:r>
              <w:rPr>
                <w:sz w:val="21"/>
              </w:rPr>
              <w:t>70°</w:t>
            </w:r>
          </w:p>
        </w:tc>
        <w:tc>
          <w:tcPr>
            <w:tcW w:w="1188" w:type="pct"/>
            <w:vAlign w:val="center"/>
          </w:tcPr>
          <w:p w14:paraId="7022469C">
            <w:pPr>
              <w:pStyle w:val="100"/>
              <w:adjustRightInd w:val="0"/>
              <w:snapToGrid w:val="0"/>
              <w:rPr>
                <w:sz w:val="21"/>
              </w:rPr>
            </w:pPr>
            <w:r>
              <w:rPr>
                <w:sz w:val="21"/>
              </w:rPr>
              <w:t>70°</w:t>
            </w:r>
          </w:p>
        </w:tc>
      </w:tr>
      <w:tr w14:paraId="51688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exact"/>
        </w:trPr>
        <w:tc>
          <w:tcPr>
            <w:tcW w:w="1434" w:type="pct"/>
            <w:vAlign w:val="center"/>
          </w:tcPr>
          <w:p w14:paraId="712DAE41">
            <w:pPr>
              <w:pStyle w:val="100"/>
              <w:adjustRightInd w:val="0"/>
              <w:snapToGrid w:val="0"/>
              <w:rPr>
                <w:sz w:val="21"/>
              </w:rPr>
            </w:pPr>
            <w:r>
              <w:rPr>
                <w:sz w:val="21"/>
              </w:rPr>
              <w:t>综合经验选取</w:t>
            </w:r>
          </w:p>
        </w:tc>
        <w:tc>
          <w:tcPr>
            <w:tcW w:w="1189" w:type="pct"/>
            <w:vAlign w:val="center"/>
          </w:tcPr>
          <w:p w14:paraId="0082F984">
            <w:pPr>
              <w:pStyle w:val="100"/>
              <w:adjustRightInd w:val="0"/>
              <w:snapToGrid w:val="0"/>
              <w:rPr>
                <w:sz w:val="21"/>
              </w:rPr>
            </w:pPr>
            <w:r>
              <w:rPr>
                <w:sz w:val="21"/>
              </w:rPr>
              <w:t>70°</w:t>
            </w:r>
          </w:p>
        </w:tc>
        <w:tc>
          <w:tcPr>
            <w:tcW w:w="1189" w:type="pct"/>
            <w:vAlign w:val="center"/>
          </w:tcPr>
          <w:p w14:paraId="3BAAE0D8">
            <w:pPr>
              <w:pStyle w:val="100"/>
              <w:adjustRightInd w:val="0"/>
              <w:snapToGrid w:val="0"/>
              <w:rPr>
                <w:sz w:val="21"/>
              </w:rPr>
            </w:pPr>
            <w:r>
              <w:rPr>
                <w:sz w:val="21"/>
              </w:rPr>
              <w:t>70°</w:t>
            </w:r>
          </w:p>
        </w:tc>
        <w:tc>
          <w:tcPr>
            <w:tcW w:w="1188" w:type="pct"/>
            <w:vAlign w:val="center"/>
          </w:tcPr>
          <w:p w14:paraId="25809889">
            <w:pPr>
              <w:pStyle w:val="100"/>
              <w:adjustRightInd w:val="0"/>
              <w:snapToGrid w:val="0"/>
              <w:rPr>
                <w:sz w:val="21"/>
              </w:rPr>
            </w:pPr>
            <w:r>
              <w:rPr>
                <w:sz w:val="21"/>
              </w:rPr>
              <w:t>70°</w:t>
            </w:r>
          </w:p>
        </w:tc>
      </w:tr>
    </w:tbl>
    <w:p w14:paraId="01986F8D">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由于彭集矿区基岩上部存在一定厚度的第四系和风化层，当圈定地表岩石移动圈时，可适当减小第四系和风化层的岩石移动角大小，以保证岩移范围圈定的合理性。</w:t>
      </w:r>
    </w:p>
    <w:p w14:paraId="3CA5AAFB">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根据上盘、下盘及走向 70°移动角圈定的地表岩石移动圈，其中第四系风化层按照 45°进行圈定。</w:t>
      </w:r>
    </w:p>
    <w:p w14:paraId="5D44AB37">
      <w:pPr>
        <w:adjustRightInd w:val="0"/>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drawing>
          <wp:inline distT="0" distB="0" distL="0" distR="0">
            <wp:extent cx="5759450" cy="3810000"/>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66078" cy="3814035"/>
                    </a:xfrm>
                    <a:prstGeom prst="rect">
                      <a:avLst/>
                    </a:prstGeom>
                    <a:noFill/>
                  </pic:spPr>
                </pic:pic>
              </a:graphicData>
            </a:graphic>
          </wp:inline>
        </w:drawing>
      </w:r>
    </w:p>
    <w:p w14:paraId="28CB6688">
      <w:pPr>
        <w:adjustRightInd w:val="0"/>
        <w:snapToGrid w:val="0"/>
        <w:spacing w:line="360" w:lineRule="auto"/>
        <w:ind w:firstLine="0" w:firstLineChars="0"/>
        <w:jc w:val="center"/>
        <w:rPr>
          <w:rFonts w:asciiTheme="minorHAnsi" w:hAnsiTheme="minorHAnsi" w:eastAsiaTheme="minorEastAsia" w:cstheme="minorHAnsi"/>
          <w:szCs w:val="28"/>
        </w:rPr>
      </w:pPr>
      <w:r>
        <w:rPr>
          <w:rFonts w:hint="eastAsia" w:asciiTheme="minorHAnsi" w:hAnsiTheme="minorHAnsi" w:eastAsiaTheme="minorEastAsia" w:cstheme="minorHAnsi"/>
          <w:szCs w:val="28"/>
        </w:rPr>
        <w:t>图3</w:t>
      </w:r>
      <w:r>
        <w:rPr>
          <w:rFonts w:asciiTheme="minorHAnsi" w:hAnsiTheme="minorHAnsi" w:eastAsiaTheme="minorEastAsia" w:cstheme="minorHAnsi"/>
          <w:szCs w:val="28"/>
        </w:rPr>
        <w:t xml:space="preserve">.1-1 </w:t>
      </w:r>
      <w:r>
        <w:rPr>
          <w:rFonts w:hint="eastAsia" w:asciiTheme="minorHAnsi" w:hAnsiTheme="minorHAnsi" w:eastAsiaTheme="minorEastAsia" w:cstheme="minorHAnsi"/>
          <w:szCs w:val="28"/>
        </w:rPr>
        <w:t>彭集铁矿地表岩石移动圈（综合经验圈定）</w:t>
      </w:r>
    </w:p>
    <w:p w14:paraId="58EBE481">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可研推荐的错动角度如下：</w:t>
      </w:r>
    </w:p>
    <w:p w14:paraId="6CAA03C0">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基岩：上、下盘及端部为70°；</w:t>
      </w:r>
    </w:p>
    <w:p w14:paraId="515EC340">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矿区第四系及风化岩地层：45°。</w:t>
      </w:r>
    </w:p>
    <w:p w14:paraId="74720DE9">
      <w:pPr>
        <w:adjustRightInd w:val="0"/>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通过类比分析，可研选定的岩石移动角合理。</w:t>
      </w:r>
    </w:p>
    <w:p w14:paraId="1C8BAE85">
      <w:pPr>
        <w:adjustRightInd w:val="0"/>
        <w:snapToGrid w:val="0"/>
        <w:spacing w:line="360" w:lineRule="auto"/>
        <w:ind w:firstLine="562"/>
        <w:rPr>
          <w:rFonts w:asciiTheme="minorHAnsi" w:hAnsiTheme="minorHAnsi" w:cstheme="minorHAnsi"/>
          <w:b/>
          <w:szCs w:val="24"/>
        </w:rPr>
      </w:pPr>
      <w:r>
        <w:rPr>
          <w:rFonts w:hint="eastAsia" w:asciiTheme="minorHAnsi" w:hAnsiTheme="minorHAnsi" w:cstheme="minorHAnsi"/>
          <w:b/>
          <w:szCs w:val="24"/>
        </w:rPr>
        <w:t>（</w:t>
      </w:r>
      <w:r>
        <w:rPr>
          <w:rFonts w:asciiTheme="minorHAnsi" w:hAnsiTheme="minorHAnsi" w:cstheme="minorHAnsi"/>
          <w:b/>
          <w:szCs w:val="24"/>
        </w:rPr>
        <w:t>3</w:t>
      </w:r>
      <w:r>
        <w:rPr>
          <w:rFonts w:hint="eastAsia" w:asciiTheme="minorHAnsi" w:hAnsiTheme="minorHAnsi" w:cstheme="minorHAnsi"/>
          <w:b/>
          <w:szCs w:val="24"/>
        </w:rPr>
        <w:t>）</w:t>
      </w:r>
      <w:r>
        <w:rPr>
          <w:rFonts w:asciiTheme="minorHAnsi" w:hAnsiTheme="minorHAnsi" w:cstheme="minorHAnsi"/>
          <w:b/>
          <w:szCs w:val="24"/>
        </w:rPr>
        <w:t>该项目与周边环境的相互影响</w:t>
      </w:r>
    </w:p>
    <w:p w14:paraId="35B2D9E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彭集矿段周边环境比较复杂，北侧紧邻董梁高速，东侧为G105国道南北穿过。矿区范围内，13勘探线至17勘探线之间有李纸坊村、东李庄村、西郭庄村、庞庄村、袁楼村等村庄；11勘探线至13勘探线之间，有高压线东西穿过；9勘探线至11勘探线之间，有小汶河东西蜿蜒流过；除上述外，其余地表均为农田。</w:t>
      </w:r>
    </w:p>
    <w:p w14:paraId="295DD4CC">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1）周边村庄的影响</w:t>
      </w:r>
    </w:p>
    <w:p w14:paraId="0FB96F3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矿区周边共涉及李纸坊村、东李庄村、西郭庄村、庞庄村、袁楼村等村庄，其中西郭庄、李纸坊村、庞庄村位于岩石移动界线范围以内。如果发生爆破震动控制不当，或充填不及时等情况，可能会对地表村庄居民及建筑物产生不利影响。</w:t>
      </w:r>
    </w:p>
    <w:p w14:paraId="57EBD03E">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2）道路的影响</w:t>
      </w:r>
    </w:p>
    <w:p w14:paraId="0CA0B6C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根据可研总图可知，矿体北部在平面对应位置上横穿董梁高速（岩石移动界线紧邻高速公路），且主要矿体与105国道呈近似平行角度，岩石移动界线局部位置紧邻1</w:t>
      </w:r>
      <w:r>
        <w:rPr>
          <w:rFonts w:asciiTheme="minorHAnsi" w:hAnsiTheme="minorHAnsi" w:cstheme="minorHAnsi"/>
          <w:kern w:val="0"/>
          <w:szCs w:val="28"/>
        </w:rPr>
        <w:t>05</w:t>
      </w:r>
      <w:r>
        <w:rPr>
          <w:rFonts w:hint="eastAsia" w:asciiTheme="minorHAnsi" w:hAnsiTheme="minorHAnsi" w:cstheme="minorHAnsi"/>
          <w:kern w:val="0"/>
          <w:szCs w:val="28"/>
        </w:rPr>
        <w:t>国道。如预留永久保安矿柱尺寸过小，或企业未按设计要求预留保安矿柱，可能会董梁高速及105国道产生影响。</w:t>
      </w:r>
    </w:p>
    <w:p w14:paraId="0C902152">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设计在董梁高速用地边界外缘向外推30m作为地表围护带，沿围护带边缘在第四系及风化层按45°，基岩段按70°向下作为高速保护范围，该范围内矿石不予开采，作为董梁高速保安矿柱。在G105国道外缘向两侧外推20m作为地表围护带，沿围护带外缘第四系及风化层按45°向下，基岩段按70°向下作为道路保护范围，该范围内矿石不予开采，作为G105国道保安矿柱。</w:t>
      </w:r>
    </w:p>
    <w:p w14:paraId="105B0F66">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3）高压线路的影响</w:t>
      </w:r>
    </w:p>
    <w:p w14:paraId="106A6FE9">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区内现有一条35kV、一条220kV及两条110kV高压线贯穿矿区中部，一条500kV高压线穿过矿区南端部。地下开采产生的爆破震动及地表变形、沉降可能导致线路中断，造成基础设施损坏。</w:t>
      </w:r>
    </w:p>
    <w:p w14:paraId="5E53E56E">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4）地表水系的影响</w:t>
      </w:r>
    </w:p>
    <w:p w14:paraId="5395981C">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矿区中部</w:t>
      </w:r>
      <w:r>
        <w:rPr>
          <w:rFonts w:hint="eastAsia" w:asciiTheme="minorHAnsi" w:hAnsiTheme="minorHAnsi" w:cstheme="minorHAnsi"/>
        </w:rPr>
        <w:t>有一条龙宫河、</w:t>
      </w:r>
      <w:r>
        <w:rPr>
          <w:rFonts w:hint="eastAsia" w:asciiTheme="minorHAnsi" w:hAnsiTheme="minorHAnsi" w:cstheme="minorHAnsi"/>
          <w:kern w:val="0"/>
          <w:szCs w:val="28"/>
        </w:rPr>
        <w:t>南部有一条小汶河流经矿区岩石移动界线范围内，如此处及附近位置安全措施不到位，造成地表与井下的水力联系，则有可能导致涌水量增加，造成水灾。</w:t>
      </w:r>
    </w:p>
    <w:p w14:paraId="2CF93A46">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5）其他地表工业场地的影响</w:t>
      </w:r>
    </w:p>
    <w:p w14:paraId="703D4992">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矿区附近有泰安德盛园林绿化工程有限公司、东平县田元面粉有限责任公司、山东天禾肥业有限公司、沙石厂等企业的工业场地，另在矿区南部有一加油站位于矿区岩石移动界线范围内。如地下采矿安全措施不到位，也有可能对以上工业场地造成影响。</w:t>
      </w:r>
    </w:p>
    <w:p w14:paraId="7A3C6471">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6）采矿对周边环境的影响</w:t>
      </w:r>
    </w:p>
    <w:p w14:paraId="79E62D5F">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采矿对环境的影响主要是地下开采造成的地表变形、沉降。</w:t>
      </w:r>
    </w:p>
    <w:p w14:paraId="0E678C20">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矿区与周边环境相互影响结论：</w:t>
      </w:r>
    </w:p>
    <w:p w14:paraId="35776FC8">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根据上述分析，本次安全预评价对安全设施设计提出以下几点建议：</w:t>
      </w:r>
    </w:p>
    <w:p w14:paraId="4208226C">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1）从地下矿山安全管理的角度来讲，即使采用了全尾砂胶结充填工艺，地下开采也可能由于其它原因对地表造成影响。例如在地下开采过程中，由于生产安全管理不到位、地质条件发生变化、充填体强度不足或充填未接顶等原因都有可能造成围岩形变增加，导致地表发生沉降甚至塌陷。因此建议安全设施设计在总平面布置图中补全该矿岩石移动界线涉及的全部范围及周边环境的标注，并将重要地点在文本中列出与岩石移动界线之间的安全距离。</w:t>
      </w:r>
    </w:p>
    <w:p w14:paraId="4D1D701C">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根据可研总图显示，该矿岩石移动界线范围内部涉及三个村庄、一座加油站，建议安全设施设计对岩石移动范围内涉及的所有建构筑物详细论证地下开采对其可能造成的影响程度，并就是否需要搬迁给出结论。</w:t>
      </w:r>
    </w:p>
    <w:p w14:paraId="7D62CB11">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3）岩石移动界线范围内有部分小汶河的河段，建议安全设施设计对地下开采是否可能连通小汶河，并造成井下涌水量增加进行专门论述。</w:t>
      </w:r>
    </w:p>
    <w:p w14:paraId="521556C4">
      <w:pPr>
        <w:adjustRightInd w:val="0"/>
        <w:snapToGrid w:val="0"/>
        <w:spacing w:line="360" w:lineRule="auto"/>
        <w:ind w:firstLine="560"/>
        <w:rPr>
          <w:szCs w:val="28"/>
        </w:rPr>
      </w:pPr>
      <w:r>
        <w:rPr>
          <w:rFonts w:hint="eastAsia" w:asciiTheme="minorHAnsi" w:hAnsiTheme="minorHAnsi" w:cstheme="minorHAnsi"/>
          <w:kern w:val="0"/>
          <w:szCs w:val="28"/>
        </w:rPr>
        <w:t>4）</w:t>
      </w:r>
      <w:r>
        <w:rPr>
          <w:rFonts w:hint="eastAsia"/>
          <w:szCs w:val="28"/>
        </w:rPr>
        <w:t>对高速公路、1</w:t>
      </w:r>
      <w:r>
        <w:rPr>
          <w:szCs w:val="28"/>
        </w:rPr>
        <w:t>05</w:t>
      </w:r>
      <w:r>
        <w:rPr>
          <w:rFonts w:hint="eastAsia"/>
          <w:szCs w:val="28"/>
        </w:rPr>
        <w:t>国道等位置的留设保安矿柱安全性开展必要的论证工作。</w:t>
      </w:r>
    </w:p>
    <w:p w14:paraId="17AE8655">
      <w:pPr>
        <w:adjustRightInd w:val="0"/>
        <w:snapToGrid w:val="0"/>
        <w:spacing w:line="360" w:lineRule="auto"/>
        <w:ind w:firstLine="562"/>
        <w:rPr>
          <w:rFonts w:asciiTheme="minorHAnsi" w:hAnsiTheme="minorHAnsi" w:cstheme="minorHAnsi"/>
          <w:b/>
          <w:kern w:val="0"/>
          <w:szCs w:val="28"/>
        </w:rPr>
      </w:pPr>
      <w:r>
        <w:rPr>
          <w:rFonts w:hint="eastAsia" w:asciiTheme="minorHAnsi" w:hAnsiTheme="minorHAnsi" w:cstheme="minorHAnsi"/>
          <w:b/>
          <w:kern w:val="0"/>
          <w:szCs w:val="28"/>
        </w:rPr>
        <w:t>（</w:t>
      </w:r>
      <w:r>
        <w:rPr>
          <w:rFonts w:asciiTheme="minorHAnsi" w:hAnsiTheme="minorHAnsi" w:cstheme="minorHAnsi"/>
          <w:b/>
          <w:kern w:val="0"/>
          <w:szCs w:val="28"/>
        </w:rPr>
        <w:t>4</w:t>
      </w:r>
      <w:r>
        <w:rPr>
          <w:rFonts w:hint="eastAsia" w:asciiTheme="minorHAnsi" w:hAnsiTheme="minorHAnsi" w:cstheme="minorHAnsi"/>
          <w:b/>
          <w:kern w:val="0"/>
          <w:szCs w:val="28"/>
        </w:rPr>
        <w:t>）地下开采对地表建构筑物的影响分析</w:t>
      </w:r>
    </w:p>
    <w:p w14:paraId="1D64184A">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企业委托长沙矿山研究院有限责任公司编制了《山东彭集矿业有限公司彭集铁矿岩石力学专项研究与论证技术报告》（长沙矿山研究院有限责任公司，2</w:t>
      </w:r>
      <w:r>
        <w:rPr>
          <w:rFonts w:asciiTheme="minorHAnsi" w:hAnsiTheme="minorHAnsi" w:cstheme="minorHAnsi"/>
          <w:kern w:val="0"/>
          <w:szCs w:val="28"/>
        </w:rPr>
        <w:t>025</w:t>
      </w:r>
      <w:r>
        <w:rPr>
          <w:rFonts w:hint="eastAsia" w:asciiTheme="minorHAnsi" w:hAnsiTheme="minorHAnsi" w:cstheme="minorHAnsi"/>
          <w:kern w:val="0"/>
          <w:szCs w:val="28"/>
        </w:rPr>
        <w:t>年3月），并经专家评审通过。</w:t>
      </w:r>
    </w:p>
    <w:p w14:paraId="2456BC3D">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报告根据</w:t>
      </w:r>
      <w:r>
        <w:rPr>
          <w:rFonts w:asciiTheme="minorHAnsi" w:hAnsiTheme="minorHAnsi" w:cstheme="minorHAnsi"/>
          <w:kern w:val="0"/>
          <w:szCs w:val="28"/>
        </w:rPr>
        <w:t>地表不同等级的建、构筑物保护对象，确定其允许的变形指标值见下表 3.1-4。</w:t>
      </w:r>
    </w:p>
    <w:p w14:paraId="2E804069">
      <w:pPr>
        <w:adjustRightInd w:val="0"/>
        <w:snapToGrid w:val="0"/>
        <w:spacing w:line="360" w:lineRule="auto"/>
        <w:ind w:firstLine="560"/>
        <w:jc w:val="center"/>
        <w:rPr>
          <w:rFonts w:asciiTheme="minorHAnsi" w:hAnsiTheme="minorHAnsi" w:cstheme="minorHAnsi"/>
          <w:kern w:val="0"/>
          <w:szCs w:val="28"/>
        </w:rPr>
      </w:pPr>
      <w:r>
        <w:rPr>
          <w:rFonts w:asciiTheme="minorHAnsi" w:hAnsiTheme="minorHAnsi" w:cstheme="minorHAnsi"/>
          <w:kern w:val="0"/>
          <w:szCs w:val="28"/>
        </w:rPr>
        <w:t>表 3.1-4不同规范规定的地表不同保护等级构建筑的允许变形值</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982"/>
        <w:gridCol w:w="1560"/>
        <w:gridCol w:w="1653"/>
        <w:gridCol w:w="1655"/>
        <w:gridCol w:w="1458"/>
      </w:tblGrid>
      <w:tr w14:paraId="0BD324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exact"/>
        </w:trPr>
        <w:tc>
          <w:tcPr>
            <w:tcW w:w="1602" w:type="pct"/>
            <w:tcBorders>
              <w:tl2br w:val="single" w:color="auto" w:sz="4" w:space="0"/>
            </w:tcBorders>
            <w:vAlign w:val="center"/>
          </w:tcPr>
          <w:p w14:paraId="0933C43B">
            <w:pPr>
              <w:pStyle w:val="100"/>
              <w:adjustRightInd w:val="0"/>
              <w:snapToGrid w:val="0"/>
              <w:ind w:firstLine="1050" w:firstLineChars="500"/>
              <w:jc w:val="both"/>
              <w:rPr>
                <w:rFonts w:eastAsiaTheme="minorEastAsia"/>
                <w:sz w:val="21"/>
                <w:lang w:eastAsia="zh-CN"/>
              </w:rPr>
            </w:pPr>
            <w:r>
              <w:rPr>
                <w:rFonts w:hint="eastAsia" w:eastAsiaTheme="minorEastAsia"/>
                <w:sz w:val="21"/>
                <w:lang w:eastAsia="zh-CN"/>
              </w:rPr>
              <w:t>保护等级及变形指标</w:t>
            </w:r>
          </w:p>
          <w:p w14:paraId="21FBB4DF">
            <w:pPr>
              <w:pStyle w:val="100"/>
              <w:adjustRightInd w:val="0"/>
              <w:snapToGrid w:val="0"/>
              <w:jc w:val="both"/>
              <w:rPr>
                <w:rFonts w:eastAsiaTheme="minorEastAsia"/>
                <w:sz w:val="21"/>
                <w:lang w:eastAsia="zh-CN"/>
              </w:rPr>
            </w:pPr>
            <w:r>
              <w:rPr>
                <w:rFonts w:hint="eastAsia" w:eastAsiaTheme="minorEastAsia"/>
                <w:sz w:val="21"/>
                <w:lang w:eastAsia="zh-CN"/>
              </w:rPr>
              <w:t>地表保护对象</w:t>
            </w:r>
          </w:p>
        </w:tc>
        <w:tc>
          <w:tcPr>
            <w:tcW w:w="838" w:type="pct"/>
            <w:vAlign w:val="center"/>
          </w:tcPr>
          <w:p w14:paraId="505693A5">
            <w:pPr>
              <w:pStyle w:val="100"/>
              <w:adjustRightInd w:val="0"/>
              <w:snapToGrid w:val="0"/>
              <w:rPr>
                <w:sz w:val="21"/>
              </w:rPr>
            </w:pPr>
            <w:r>
              <w:rPr>
                <w:rFonts w:hint="eastAsia" w:ascii="宋体" w:hAnsi="宋体" w:eastAsia="宋体" w:cs="宋体"/>
                <w:sz w:val="21"/>
              </w:rPr>
              <w:t>保护等级</w:t>
            </w:r>
          </w:p>
        </w:tc>
        <w:tc>
          <w:tcPr>
            <w:tcW w:w="888" w:type="pct"/>
            <w:vAlign w:val="center"/>
          </w:tcPr>
          <w:p w14:paraId="246B0978">
            <w:pPr>
              <w:pStyle w:val="100"/>
              <w:adjustRightInd w:val="0"/>
              <w:snapToGrid w:val="0"/>
              <w:rPr>
                <w:i/>
                <w:sz w:val="21"/>
                <w:lang w:eastAsia="zh-CN"/>
              </w:rPr>
            </w:pPr>
            <w:r>
              <w:rPr>
                <w:rFonts w:hint="eastAsia" w:ascii="宋体" w:hAnsi="宋体" w:eastAsia="宋体" w:cs="宋体"/>
                <w:sz w:val="21"/>
                <w:lang w:eastAsia="zh-CN"/>
              </w:rPr>
              <w:t>水平变形</w:t>
            </w:r>
            <w:r>
              <w:rPr>
                <w:spacing w:val="-53"/>
                <w:sz w:val="21"/>
                <w:lang w:eastAsia="zh-CN"/>
              </w:rPr>
              <w:t xml:space="preserve"> </w:t>
            </w:r>
            <w:r>
              <w:rPr>
                <w:i/>
                <w:sz w:val="21"/>
              </w:rPr>
              <w:t>ε</w:t>
            </w:r>
          </w:p>
          <w:p w14:paraId="395702FB">
            <w:pPr>
              <w:pStyle w:val="100"/>
              <w:adjustRightInd w:val="0"/>
              <w:snapToGrid w:val="0"/>
              <w:rPr>
                <w:sz w:val="21"/>
                <w:lang w:eastAsia="zh-CN"/>
              </w:rPr>
            </w:pPr>
            <w:r>
              <w:rPr>
                <w:rFonts w:hint="eastAsia" w:ascii="宋体" w:hAnsi="宋体" w:eastAsia="宋体" w:cs="宋体"/>
                <w:sz w:val="21"/>
                <w:lang w:eastAsia="zh-CN"/>
              </w:rPr>
              <w:t>（</w:t>
            </w:r>
            <w:r>
              <w:rPr>
                <w:sz w:val="21"/>
                <w:lang w:eastAsia="zh-CN"/>
              </w:rPr>
              <w:t>mm/m</w:t>
            </w:r>
            <w:r>
              <w:rPr>
                <w:rFonts w:hint="eastAsia" w:ascii="宋体" w:hAnsi="宋体" w:eastAsia="宋体" w:cs="宋体"/>
                <w:sz w:val="21"/>
                <w:lang w:eastAsia="zh-CN"/>
              </w:rPr>
              <w:t>）</w:t>
            </w:r>
          </w:p>
        </w:tc>
        <w:tc>
          <w:tcPr>
            <w:tcW w:w="889" w:type="pct"/>
            <w:vAlign w:val="center"/>
          </w:tcPr>
          <w:p w14:paraId="5A1A2E79">
            <w:pPr>
              <w:pStyle w:val="100"/>
              <w:adjustRightInd w:val="0"/>
              <w:snapToGrid w:val="0"/>
              <w:rPr>
                <w:i/>
                <w:sz w:val="21"/>
              </w:rPr>
            </w:pPr>
            <w:r>
              <w:rPr>
                <w:rFonts w:hint="eastAsia" w:ascii="宋体" w:hAnsi="宋体" w:eastAsia="宋体" w:cs="宋体"/>
                <w:sz w:val="21"/>
              </w:rPr>
              <w:t>倾斜</w:t>
            </w:r>
            <w:r>
              <w:rPr>
                <w:spacing w:val="-53"/>
                <w:sz w:val="21"/>
              </w:rPr>
              <w:t xml:space="preserve"> </w:t>
            </w:r>
            <w:r>
              <w:rPr>
                <w:i/>
                <w:sz w:val="21"/>
              </w:rPr>
              <w:t>i</w:t>
            </w:r>
          </w:p>
          <w:p w14:paraId="3975C940">
            <w:pPr>
              <w:pStyle w:val="100"/>
              <w:adjustRightInd w:val="0"/>
              <w:snapToGrid w:val="0"/>
              <w:rPr>
                <w:sz w:val="21"/>
              </w:rPr>
            </w:pPr>
            <w:r>
              <w:rPr>
                <w:rFonts w:hint="eastAsia" w:ascii="宋体" w:hAnsi="宋体" w:eastAsia="宋体" w:cs="宋体"/>
                <w:sz w:val="21"/>
              </w:rPr>
              <w:t>（</w:t>
            </w:r>
            <w:r>
              <w:rPr>
                <w:sz w:val="21"/>
              </w:rPr>
              <w:t>mm/m</w:t>
            </w:r>
            <w:r>
              <w:rPr>
                <w:rFonts w:hint="eastAsia" w:ascii="宋体" w:hAnsi="宋体" w:eastAsia="宋体" w:cs="宋体"/>
                <w:sz w:val="21"/>
              </w:rPr>
              <w:t>）</w:t>
            </w:r>
          </w:p>
        </w:tc>
        <w:tc>
          <w:tcPr>
            <w:tcW w:w="783" w:type="pct"/>
            <w:vAlign w:val="center"/>
          </w:tcPr>
          <w:p w14:paraId="76B6684D">
            <w:pPr>
              <w:pStyle w:val="100"/>
              <w:adjustRightInd w:val="0"/>
              <w:snapToGrid w:val="0"/>
              <w:rPr>
                <w:i/>
                <w:sz w:val="21"/>
              </w:rPr>
            </w:pPr>
            <w:r>
              <w:rPr>
                <w:rFonts w:hint="eastAsia" w:ascii="宋体" w:hAnsi="宋体" w:eastAsia="宋体" w:cs="宋体"/>
                <w:sz w:val="21"/>
              </w:rPr>
              <w:t>曲率</w:t>
            </w:r>
            <w:r>
              <w:rPr>
                <w:spacing w:val="-53"/>
                <w:sz w:val="21"/>
              </w:rPr>
              <w:t xml:space="preserve"> </w:t>
            </w:r>
            <w:r>
              <w:rPr>
                <w:i/>
                <w:sz w:val="21"/>
              </w:rPr>
              <w:t>k</w:t>
            </w:r>
          </w:p>
          <w:p w14:paraId="4ECC39D3">
            <w:pPr>
              <w:pStyle w:val="100"/>
              <w:adjustRightInd w:val="0"/>
              <w:snapToGrid w:val="0"/>
              <w:rPr>
                <w:sz w:val="21"/>
              </w:rPr>
            </w:pPr>
            <w:r>
              <w:rPr>
                <w:rFonts w:hint="eastAsia" w:ascii="宋体" w:hAnsi="宋体" w:eastAsia="宋体" w:cs="宋体"/>
                <w:sz w:val="21"/>
              </w:rPr>
              <w:t>（</w:t>
            </w:r>
            <w:r>
              <w:rPr>
                <w:sz w:val="21"/>
              </w:rPr>
              <w:t>10</w:t>
            </w:r>
            <w:r>
              <w:rPr>
                <w:position w:val="8"/>
                <w:sz w:val="14"/>
              </w:rPr>
              <w:t>-3</w:t>
            </w:r>
            <w:r>
              <w:rPr>
                <w:sz w:val="21"/>
              </w:rPr>
              <w:t>/m</w:t>
            </w:r>
            <w:r>
              <w:rPr>
                <w:rFonts w:hint="eastAsia" w:ascii="宋体" w:hAnsi="宋体" w:eastAsia="宋体" w:cs="宋体"/>
                <w:sz w:val="21"/>
              </w:rPr>
              <w:t>）</w:t>
            </w:r>
          </w:p>
        </w:tc>
      </w:tr>
      <w:tr w14:paraId="54D1C6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602" w:type="pct"/>
            <w:vAlign w:val="center"/>
          </w:tcPr>
          <w:p w14:paraId="3E209C7B">
            <w:pPr>
              <w:pStyle w:val="100"/>
              <w:adjustRightInd w:val="0"/>
              <w:snapToGrid w:val="0"/>
              <w:rPr>
                <w:sz w:val="21"/>
              </w:rPr>
            </w:pPr>
            <w:r>
              <w:rPr>
                <w:rFonts w:hint="eastAsia" w:ascii="宋体" w:hAnsi="宋体" w:eastAsia="宋体" w:cs="宋体"/>
                <w:sz w:val="21"/>
              </w:rPr>
              <w:t>村庄民房</w:t>
            </w:r>
          </w:p>
        </w:tc>
        <w:tc>
          <w:tcPr>
            <w:tcW w:w="838" w:type="pct"/>
            <w:vAlign w:val="center"/>
          </w:tcPr>
          <w:p w14:paraId="0420005E">
            <w:pPr>
              <w:pStyle w:val="100"/>
              <w:adjustRightInd w:val="0"/>
              <w:snapToGrid w:val="0"/>
              <w:rPr>
                <w:sz w:val="21"/>
              </w:rPr>
            </w:pPr>
            <w:r>
              <w:rPr>
                <w:w w:val="99"/>
                <w:sz w:val="21"/>
              </w:rPr>
              <w:t>Ⅱ</w:t>
            </w:r>
          </w:p>
        </w:tc>
        <w:tc>
          <w:tcPr>
            <w:tcW w:w="888" w:type="pct"/>
            <w:vAlign w:val="center"/>
          </w:tcPr>
          <w:p w14:paraId="5ABAB5EB">
            <w:pPr>
              <w:pStyle w:val="100"/>
              <w:adjustRightInd w:val="0"/>
              <w:snapToGrid w:val="0"/>
              <w:rPr>
                <w:sz w:val="21"/>
              </w:rPr>
            </w:pPr>
            <w:r>
              <w:rPr>
                <w:sz w:val="21"/>
              </w:rPr>
              <w:t>±4</w:t>
            </w:r>
          </w:p>
        </w:tc>
        <w:tc>
          <w:tcPr>
            <w:tcW w:w="889" w:type="pct"/>
            <w:vAlign w:val="center"/>
          </w:tcPr>
          <w:p w14:paraId="47E1D2CF">
            <w:pPr>
              <w:pStyle w:val="100"/>
              <w:adjustRightInd w:val="0"/>
              <w:snapToGrid w:val="0"/>
              <w:rPr>
                <w:sz w:val="21"/>
              </w:rPr>
            </w:pPr>
            <w:r>
              <w:rPr>
                <w:sz w:val="21"/>
              </w:rPr>
              <w:t>±6</w:t>
            </w:r>
          </w:p>
        </w:tc>
        <w:tc>
          <w:tcPr>
            <w:tcW w:w="783" w:type="pct"/>
            <w:vAlign w:val="center"/>
          </w:tcPr>
          <w:p w14:paraId="3D613241">
            <w:pPr>
              <w:pStyle w:val="100"/>
              <w:adjustRightInd w:val="0"/>
              <w:snapToGrid w:val="0"/>
              <w:rPr>
                <w:sz w:val="21"/>
              </w:rPr>
            </w:pPr>
            <w:r>
              <w:rPr>
                <w:sz w:val="21"/>
              </w:rPr>
              <w:t>±0.4</w:t>
            </w:r>
          </w:p>
        </w:tc>
      </w:tr>
      <w:tr w14:paraId="0E1AB6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3" w:hRule="exact"/>
        </w:trPr>
        <w:tc>
          <w:tcPr>
            <w:tcW w:w="1602" w:type="pct"/>
            <w:vAlign w:val="center"/>
          </w:tcPr>
          <w:p w14:paraId="0EB50848">
            <w:pPr>
              <w:pStyle w:val="100"/>
              <w:adjustRightInd w:val="0"/>
              <w:snapToGrid w:val="0"/>
              <w:rPr>
                <w:sz w:val="21"/>
              </w:rPr>
            </w:pPr>
            <w:r>
              <w:rPr>
                <w:rFonts w:hint="eastAsia" w:ascii="宋体" w:hAnsi="宋体" w:eastAsia="宋体" w:cs="宋体"/>
                <w:sz w:val="21"/>
              </w:rPr>
              <w:t>高压线电塔</w:t>
            </w:r>
          </w:p>
        </w:tc>
        <w:tc>
          <w:tcPr>
            <w:tcW w:w="838" w:type="pct"/>
            <w:vAlign w:val="center"/>
          </w:tcPr>
          <w:p w14:paraId="520B61BC">
            <w:pPr>
              <w:pStyle w:val="100"/>
              <w:adjustRightInd w:val="0"/>
              <w:snapToGrid w:val="0"/>
              <w:rPr>
                <w:sz w:val="21"/>
              </w:rPr>
            </w:pPr>
            <w:r>
              <w:rPr>
                <w:w w:val="99"/>
                <w:sz w:val="21"/>
              </w:rPr>
              <w:t>Ⅱ</w:t>
            </w:r>
          </w:p>
        </w:tc>
        <w:tc>
          <w:tcPr>
            <w:tcW w:w="888" w:type="pct"/>
            <w:vAlign w:val="center"/>
          </w:tcPr>
          <w:p w14:paraId="19B15040">
            <w:pPr>
              <w:pStyle w:val="100"/>
              <w:adjustRightInd w:val="0"/>
              <w:snapToGrid w:val="0"/>
              <w:rPr>
                <w:sz w:val="21"/>
              </w:rPr>
            </w:pPr>
            <w:r>
              <w:rPr>
                <w:sz w:val="21"/>
              </w:rPr>
              <w:t>±4</w:t>
            </w:r>
          </w:p>
        </w:tc>
        <w:tc>
          <w:tcPr>
            <w:tcW w:w="889" w:type="pct"/>
            <w:vAlign w:val="center"/>
          </w:tcPr>
          <w:p w14:paraId="426070C1">
            <w:pPr>
              <w:pStyle w:val="100"/>
              <w:adjustRightInd w:val="0"/>
              <w:snapToGrid w:val="0"/>
              <w:rPr>
                <w:sz w:val="21"/>
              </w:rPr>
            </w:pPr>
            <w:r>
              <w:rPr>
                <w:sz w:val="21"/>
              </w:rPr>
              <w:t>±6</w:t>
            </w:r>
          </w:p>
        </w:tc>
        <w:tc>
          <w:tcPr>
            <w:tcW w:w="783" w:type="pct"/>
            <w:vAlign w:val="center"/>
          </w:tcPr>
          <w:p w14:paraId="08D27D39">
            <w:pPr>
              <w:pStyle w:val="100"/>
              <w:adjustRightInd w:val="0"/>
              <w:snapToGrid w:val="0"/>
              <w:rPr>
                <w:sz w:val="21"/>
              </w:rPr>
            </w:pPr>
            <w:r>
              <w:rPr>
                <w:sz w:val="21"/>
              </w:rPr>
              <w:t>±0.4</w:t>
            </w:r>
          </w:p>
        </w:tc>
      </w:tr>
      <w:tr w14:paraId="048AAB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602" w:type="pct"/>
            <w:vAlign w:val="center"/>
          </w:tcPr>
          <w:p w14:paraId="31E26CD9">
            <w:pPr>
              <w:pStyle w:val="100"/>
              <w:adjustRightInd w:val="0"/>
              <w:snapToGrid w:val="0"/>
              <w:rPr>
                <w:sz w:val="21"/>
              </w:rPr>
            </w:pPr>
            <w:r>
              <w:rPr>
                <w:rFonts w:hint="eastAsia" w:ascii="宋体" w:hAnsi="宋体" w:eastAsia="宋体" w:cs="宋体"/>
                <w:sz w:val="21"/>
              </w:rPr>
              <w:t>矿区工业场地</w:t>
            </w:r>
          </w:p>
        </w:tc>
        <w:tc>
          <w:tcPr>
            <w:tcW w:w="838" w:type="pct"/>
            <w:vAlign w:val="center"/>
          </w:tcPr>
          <w:p w14:paraId="56768D08">
            <w:pPr>
              <w:pStyle w:val="100"/>
              <w:adjustRightInd w:val="0"/>
              <w:snapToGrid w:val="0"/>
              <w:rPr>
                <w:sz w:val="21"/>
              </w:rPr>
            </w:pPr>
            <w:r>
              <w:rPr>
                <w:w w:val="99"/>
                <w:sz w:val="21"/>
              </w:rPr>
              <w:t>Ⅰ</w:t>
            </w:r>
          </w:p>
        </w:tc>
        <w:tc>
          <w:tcPr>
            <w:tcW w:w="888" w:type="pct"/>
            <w:vAlign w:val="center"/>
          </w:tcPr>
          <w:p w14:paraId="1D0D61B2">
            <w:pPr>
              <w:pStyle w:val="100"/>
              <w:adjustRightInd w:val="0"/>
              <w:snapToGrid w:val="0"/>
              <w:rPr>
                <w:sz w:val="21"/>
              </w:rPr>
            </w:pPr>
            <w:r>
              <w:rPr>
                <w:sz w:val="21"/>
              </w:rPr>
              <w:t>±2</w:t>
            </w:r>
          </w:p>
        </w:tc>
        <w:tc>
          <w:tcPr>
            <w:tcW w:w="889" w:type="pct"/>
            <w:vAlign w:val="center"/>
          </w:tcPr>
          <w:p w14:paraId="2569B1D2">
            <w:pPr>
              <w:pStyle w:val="100"/>
              <w:adjustRightInd w:val="0"/>
              <w:snapToGrid w:val="0"/>
              <w:rPr>
                <w:sz w:val="21"/>
              </w:rPr>
            </w:pPr>
            <w:r>
              <w:rPr>
                <w:sz w:val="21"/>
              </w:rPr>
              <w:t>±3</w:t>
            </w:r>
          </w:p>
        </w:tc>
        <w:tc>
          <w:tcPr>
            <w:tcW w:w="783" w:type="pct"/>
            <w:vAlign w:val="center"/>
          </w:tcPr>
          <w:p w14:paraId="62D79C0E">
            <w:pPr>
              <w:pStyle w:val="100"/>
              <w:adjustRightInd w:val="0"/>
              <w:snapToGrid w:val="0"/>
              <w:rPr>
                <w:sz w:val="21"/>
              </w:rPr>
            </w:pPr>
            <w:r>
              <w:rPr>
                <w:sz w:val="21"/>
              </w:rPr>
              <w:t>±0.2</w:t>
            </w:r>
          </w:p>
        </w:tc>
      </w:tr>
      <w:tr w14:paraId="53B8B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602" w:type="pct"/>
            <w:vAlign w:val="center"/>
          </w:tcPr>
          <w:p w14:paraId="56F3E544">
            <w:pPr>
              <w:pStyle w:val="100"/>
              <w:adjustRightInd w:val="0"/>
              <w:snapToGrid w:val="0"/>
              <w:rPr>
                <w:sz w:val="21"/>
              </w:rPr>
            </w:pPr>
            <w:r>
              <w:rPr>
                <w:rFonts w:hint="eastAsia" w:ascii="宋体" w:hAnsi="宋体" w:eastAsia="宋体" w:cs="宋体"/>
                <w:sz w:val="21"/>
              </w:rPr>
              <w:t>董梁高速</w:t>
            </w:r>
          </w:p>
        </w:tc>
        <w:tc>
          <w:tcPr>
            <w:tcW w:w="838" w:type="pct"/>
            <w:vAlign w:val="center"/>
          </w:tcPr>
          <w:p w14:paraId="65AF46EE">
            <w:pPr>
              <w:pStyle w:val="100"/>
              <w:adjustRightInd w:val="0"/>
              <w:snapToGrid w:val="0"/>
              <w:rPr>
                <w:sz w:val="21"/>
              </w:rPr>
            </w:pPr>
            <w:r>
              <w:rPr>
                <w:w w:val="99"/>
                <w:sz w:val="21"/>
              </w:rPr>
              <w:t>Ⅰ</w:t>
            </w:r>
          </w:p>
        </w:tc>
        <w:tc>
          <w:tcPr>
            <w:tcW w:w="888" w:type="pct"/>
            <w:vAlign w:val="center"/>
          </w:tcPr>
          <w:p w14:paraId="10410183">
            <w:pPr>
              <w:pStyle w:val="100"/>
              <w:adjustRightInd w:val="0"/>
              <w:snapToGrid w:val="0"/>
              <w:rPr>
                <w:sz w:val="21"/>
              </w:rPr>
            </w:pPr>
            <w:r>
              <w:rPr>
                <w:sz w:val="21"/>
              </w:rPr>
              <w:t>±2</w:t>
            </w:r>
          </w:p>
        </w:tc>
        <w:tc>
          <w:tcPr>
            <w:tcW w:w="889" w:type="pct"/>
            <w:vAlign w:val="center"/>
          </w:tcPr>
          <w:p w14:paraId="28E3CB65">
            <w:pPr>
              <w:pStyle w:val="100"/>
              <w:adjustRightInd w:val="0"/>
              <w:snapToGrid w:val="0"/>
              <w:rPr>
                <w:sz w:val="21"/>
              </w:rPr>
            </w:pPr>
            <w:r>
              <w:rPr>
                <w:sz w:val="21"/>
              </w:rPr>
              <w:t>±3</w:t>
            </w:r>
          </w:p>
        </w:tc>
        <w:tc>
          <w:tcPr>
            <w:tcW w:w="783" w:type="pct"/>
            <w:vAlign w:val="center"/>
          </w:tcPr>
          <w:p w14:paraId="45FE9C23">
            <w:pPr>
              <w:pStyle w:val="100"/>
              <w:adjustRightInd w:val="0"/>
              <w:snapToGrid w:val="0"/>
              <w:rPr>
                <w:sz w:val="21"/>
              </w:rPr>
            </w:pPr>
            <w:r>
              <w:rPr>
                <w:sz w:val="21"/>
              </w:rPr>
              <w:t>±0.2</w:t>
            </w:r>
          </w:p>
        </w:tc>
      </w:tr>
      <w:tr w14:paraId="6858D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1602" w:type="pct"/>
            <w:vAlign w:val="center"/>
          </w:tcPr>
          <w:p w14:paraId="7081E277">
            <w:pPr>
              <w:pStyle w:val="100"/>
              <w:adjustRightInd w:val="0"/>
              <w:snapToGrid w:val="0"/>
              <w:rPr>
                <w:sz w:val="21"/>
              </w:rPr>
            </w:pPr>
            <w:r>
              <w:rPr>
                <w:sz w:val="21"/>
              </w:rPr>
              <w:t xml:space="preserve">G105 </w:t>
            </w:r>
            <w:r>
              <w:rPr>
                <w:rFonts w:hint="eastAsia" w:ascii="宋体" w:hAnsi="宋体" w:eastAsia="宋体" w:cs="宋体"/>
                <w:sz w:val="21"/>
              </w:rPr>
              <w:t>国道</w:t>
            </w:r>
          </w:p>
        </w:tc>
        <w:tc>
          <w:tcPr>
            <w:tcW w:w="838" w:type="pct"/>
            <w:vAlign w:val="center"/>
          </w:tcPr>
          <w:p w14:paraId="41D9E04C">
            <w:pPr>
              <w:pStyle w:val="100"/>
              <w:adjustRightInd w:val="0"/>
              <w:snapToGrid w:val="0"/>
              <w:rPr>
                <w:sz w:val="21"/>
              </w:rPr>
            </w:pPr>
            <w:r>
              <w:rPr>
                <w:w w:val="99"/>
                <w:sz w:val="21"/>
              </w:rPr>
              <w:t>Ⅲ</w:t>
            </w:r>
          </w:p>
        </w:tc>
        <w:tc>
          <w:tcPr>
            <w:tcW w:w="888" w:type="pct"/>
            <w:vAlign w:val="center"/>
          </w:tcPr>
          <w:p w14:paraId="5E7EA131">
            <w:pPr>
              <w:pStyle w:val="100"/>
              <w:adjustRightInd w:val="0"/>
              <w:snapToGrid w:val="0"/>
              <w:rPr>
                <w:sz w:val="21"/>
              </w:rPr>
            </w:pPr>
            <w:r>
              <w:rPr>
                <w:sz w:val="21"/>
              </w:rPr>
              <w:t>±6</w:t>
            </w:r>
          </w:p>
        </w:tc>
        <w:tc>
          <w:tcPr>
            <w:tcW w:w="889" w:type="pct"/>
            <w:vAlign w:val="center"/>
          </w:tcPr>
          <w:p w14:paraId="3AFACFFC">
            <w:pPr>
              <w:pStyle w:val="100"/>
              <w:adjustRightInd w:val="0"/>
              <w:snapToGrid w:val="0"/>
              <w:rPr>
                <w:sz w:val="21"/>
              </w:rPr>
            </w:pPr>
            <w:r>
              <w:rPr>
                <w:sz w:val="21"/>
              </w:rPr>
              <w:t>±10</w:t>
            </w:r>
          </w:p>
        </w:tc>
        <w:tc>
          <w:tcPr>
            <w:tcW w:w="783" w:type="pct"/>
            <w:vAlign w:val="center"/>
          </w:tcPr>
          <w:p w14:paraId="4309C1B3">
            <w:pPr>
              <w:pStyle w:val="100"/>
              <w:adjustRightInd w:val="0"/>
              <w:snapToGrid w:val="0"/>
              <w:rPr>
                <w:sz w:val="21"/>
              </w:rPr>
            </w:pPr>
            <w:r>
              <w:rPr>
                <w:sz w:val="21"/>
              </w:rPr>
              <w:t>±0.6</w:t>
            </w:r>
          </w:p>
        </w:tc>
      </w:tr>
    </w:tbl>
    <w:p w14:paraId="4F423C1E">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采用概率积分法对地表最终移动变形进行计算分析。</w:t>
      </w:r>
    </w:p>
    <w:p w14:paraId="6A90C449">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在彭集铁矿，由于采用的是胶结充填采矿法，空区得到了较好的充填，每个阶段在开采时都留设盘了区间柱与隔离矿柱对顶板进行支撑。同时，由于阶段之间的回采顺序是从下往上，且要求必须充填接顶。但是考虑到采场充填接顶实际操作时的困难，因此保守考虑设定采场在充填完成后仍留有 1m 空顶高度。基于上述前提，使用概率积分法对彭集铁矿地下开采完成充填后因空顶的存在而导致垮塌，从而引起地表的移动变形进行计算。</w:t>
      </w:r>
    </w:p>
    <w:p w14:paraId="0011385B">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利用 Matlab  编制的概率积分计算程序对地表因矿山开采引起地表产生移动变形的预估计值进行计算，并将计算结果导入Surfer 软件中进行后处理，最终得到地表水平变形、倾斜以及曲率等值图。</w:t>
      </w:r>
    </w:p>
    <w:p w14:paraId="2FABB1AF">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1）一期开采结束地表移动变形预计</w:t>
      </w:r>
    </w:p>
    <w:p w14:paraId="450A2AB8">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按照《可研报告》中对彭集铁矿开采的总体设计，首先对一期开采结束阶段进行地表移动变形的概率积分预计，计算具体结果如下图所示。</w:t>
      </w:r>
    </w:p>
    <w:p w14:paraId="072E467B">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56685" cy="3602990"/>
            <wp:effectExtent l="0" t="0" r="571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956685" cy="3602990"/>
                    </a:xfrm>
                    <a:prstGeom prst="rect">
                      <a:avLst/>
                    </a:prstGeom>
                    <a:noFill/>
                  </pic:spPr>
                </pic:pic>
              </a:graphicData>
            </a:graphic>
          </wp:inline>
        </w:drawing>
      </w:r>
    </w:p>
    <w:p w14:paraId="60D783E0">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图</w:t>
      </w:r>
      <w:r>
        <w:rPr>
          <w:rFonts w:asciiTheme="minorHAnsi" w:hAnsiTheme="minorHAnsi" w:cstheme="minorHAnsi"/>
          <w:kern w:val="0"/>
          <w:szCs w:val="28"/>
        </w:rPr>
        <w:t>3.1-2</w:t>
      </w:r>
      <w:r>
        <w:rPr>
          <w:rFonts w:hint="eastAsia" w:asciiTheme="minorHAnsi" w:hAnsiTheme="minorHAnsi" w:cstheme="minorHAnsi"/>
          <w:kern w:val="0"/>
          <w:szCs w:val="28"/>
        </w:rPr>
        <w:t xml:space="preserve"> 一期开采结束地表沉降等值图（单位：mm）</w:t>
      </w:r>
    </w:p>
    <w:p w14:paraId="6B6BFB5D">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由图可知，一期开采引起的地表沉降最大值为 4.6mm，位于 13 号勘探线附近，与所分析的矿体中心区域大致重合。最大沉降分布面积不大，从中心区域往外沉降值分圈逐层减少。</w:t>
      </w:r>
    </w:p>
    <w:p w14:paraId="5C594AA6">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14140" cy="3584575"/>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914140" cy="3584575"/>
                    </a:xfrm>
                    <a:prstGeom prst="rect">
                      <a:avLst/>
                    </a:prstGeom>
                    <a:noFill/>
                  </pic:spPr>
                </pic:pic>
              </a:graphicData>
            </a:graphic>
          </wp:inline>
        </w:drawing>
      </w:r>
    </w:p>
    <w:p w14:paraId="49027C48">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东方向</w:t>
      </w:r>
    </w:p>
    <w:p w14:paraId="1F1656DB">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50335" cy="3615055"/>
            <wp:effectExtent l="0" t="0" r="0" b="444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950335" cy="3615055"/>
                    </a:xfrm>
                    <a:prstGeom prst="rect">
                      <a:avLst/>
                    </a:prstGeom>
                    <a:noFill/>
                  </pic:spPr>
                </pic:pic>
              </a:graphicData>
            </a:graphic>
          </wp:inline>
        </w:drawing>
      </w:r>
    </w:p>
    <w:p w14:paraId="1ADC72FA">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北方向</w:t>
      </w:r>
    </w:p>
    <w:p w14:paraId="72ADD3F1">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38270" cy="3596640"/>
            <wp:effectExtent l="0" t="0" r="5080" b="381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938270" cy="3596640"/>
                    </a:xfrm>
                    <a:prstGeom prst="rect">
                      <a:avLst/>
                    </a:prstGeom>
                    <a:noFill/>
                  </pic:spPr>
                </pic:pic>
              </a:graphicData>
            </a:graphic>
          </wp:inline>
        </w:drawing>
      </w:r>
    </w:p>
    <w:p w14:paraId="4566EB5E">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（c）</w:t>
      </w:r>
      <w:r>
        <w:rPr>
          <w:rFonts w:hint="eastAsia" w:asciiTheme="minorHAnsi" w:hAnsiTheme="minorHAnsi" w:cstheme="minorHAnsi"/>
          <w:kern w:val="0"/>
          <w:szCs w:val="28"/>
        </w:rPr>
        <w:tab/>
      </w:r>
      <w:r>
        <w:rPr>
          <w:rFonts w:hint="eastAsia" w:asciiTheme="minorHAnsi" w:hAnsiTheme="minorHAnsi" w:cstheme="minorHAnsi"/>
          <w:kern w:val="0"/>
          <w:szCs w:val="28"/>
        </w:rPr>
        <w:t>东与北方向矢量和</w:t>
      </w:r>
    </w:p>
    <w:p w14:paraId="102CAD7C">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3.1-3</w:t>
      </w:r>
      <w:r>
        <w:rPr>
          <w:rFonts w:hint="eastAsia" w:asciiTheme="minorHAnsi" w:hAnsiTheme="minorHAnsi" w:cstheme="minorHAnsi"/>
          <w:kern w:val="0"/>
          <w:szCs w:val="28"/>
        </w:rPr>
        <w:t xml:space="preserve"> 一期开采结束地表水平移动等值图（单位：mm）</w:t>
      </w:r>
    </w:p>
    <w:p w14:paraId="5D50F3F6">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63035" cy="3469005"/>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963035" cy="3469005"/>
                    </a:xfrm>
                    <a:prstGeom prst="rect">
                      <a:avLst/>
                    </a:prstGeom>
                    <a:noFill/>
                  </pic:spPr>
                </pic:pic>
              </a:graphicData>
            </a:graphic>
          </wp:inline>
        </w:drawing>
      </w:r>
    </w:p>
    <w:p w14:paraId="398FE931">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3.1-4</w:t>
      </w:r>
      <w:r>
        <w:rPr>
          <w:rFonts w:hint="eastAsia" w:asciiTheme="minorHAnsi" w:hAnsiTheme="minorHAnsi" w:cstheme="minorHAnsi"/>
          <w:kern w:val="0"/>
          <w:szCs w:val="28"/>
        </w:rPr>
        <w:t xml:space="preserve"> 一期开采结束地表水平变形等值图</w:t>
      </w:r>
    </w:p>
    <w:p w14:paraId="76D45A98">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（单位：mm/m，正为拉、负为压）</w:t>
      </w:r>
    </w:p>
    <w:p w14:paraId="4BA48110">
      <w:pPr>
        <w:adjustRightInd w:val="0"/>
        <w:snapToGrid w:val="0"/>
        <w:spacing w:line="360" w:lineRule="auto"/>
        <w:ind w:firstLine="560"/>
        <w:rPr>
          <w:rFonts w:asciiTheme="minorHAnsi" w:hAnsiTheme="minorHAnsi" w:cstheme="minorHAnsi"/>
          <w:kern w:val="0"/>
          <w:szCs w:val="28"/>
        </w:rPr>
      </w:pPr>
    </w:p>
    <w:p w14:paraId="515F084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由图可知，一期开采引起的地表水平位移最大值为 2mm，位于 13 号勘探线附近，与沉降最大区域基本重合。所分析区域的最大水平变形为 0.0048mm/m，远小于地表村庄民房等建（构）筑物水平变形的规范允许值 2mm/m。</w:t>
      </w:r>
    </w:p>
    <w:p w14:paraId="5D34CD35">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26205" cy="3535680"/>
            <wp:effectExtent l="0" t="0" r="0" b="762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926205" cy="3535680"/>
                    </a:xfrm>
                    <a:prstGeom prst="rect">
                      <a:avLst/>
                    </a:prstGeom>
                    <a:noFill/>
                  </pic:spPr>
                </pic:pic>
              </a:graphicData>
            </a:graphic>
          </wp:inline>
        </w:drawing>
      </w:r>
    </w:p>
    <w:p w14:paraId="0F26B15C">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3.1-5</w:t>
      </w:r>
      <w:r>
        <w:rPr>
          <w:rFonts w:hint="eastAsia" w:asciiTheme="minorHAnsi" w:hAnsiTheme="minorHAnsi" w:cstheme="minorHAnsi"/>
          <w:kern w:val="0"/>
          <w:szCs w:val="28"/>
        </w:rPr>
        <w:t xml:space="preserve"> 一期开采结束地表倾斜等值图（单位：mm/m）</w:t>
      </w:r>
    </w:p>
    <w:p w14:paraId="2887B09C">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由图可知，一期开采引起所分析区域的最大倾斜为 0.0048mm/m，远小于地表村庄民房等建（构）筑物倾斜的规范允许值 3mm/m。</w:t>
      </w:r>
    </w:p>
    <w:p w14:paraId="272537DA">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56685" cy="3499485"/>
            <wp:effectExtent l="0" t="0" r="5715" b="571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956685" cy="3499485"/>
                    </a:xfrm>
                    <a:prstGeom prst="rect">
                      <a:avLst/>
                    </a:prstGeom>
                    <a:noFill/>
                  </pic:spPr>
                </pic:pic>
              </a:graphicData>
            </a:graphic>
          </wp:inline>
        </w:drawing>
      </w:r>
    </w:p>
    <w:p w14:paraId="2B8CFDB6">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 xml:space="preserve">3.1-6 </w:t>
      </w:r>
      <w:r>
        <w:rPr>
          <w:rFonts w:hint="eastAsia" w:asciiTheme="minorHAnsi" w:hAnsiTheme="minorHAnsi" w:cstheme="minorHAnsi"/>
          <w:kern w:val="0"/>
          <w:szCs w:val="28"/>
        </w:rPr>
        <w:t>一期开采结束地表曲率等值图（单位：10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w:t>
      </w:r>
    </w:p>
    <w:p w14:paraId="3D402EDD">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由图可知，一期开采引起所分析区域的最大曲率为 0.00058×10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/m，远小于地表村庄民房等建（构）筑物曲率的规范允许值 0.2×10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w:t>
      </w:r>
    </w:p>
    <w:p w14:paraId="6252971F">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综合概率积分法的计算结果，可以看出彭集铁矿的一期地下开采对地表村庄民房、国道、高速公路、高压线架等的影响微小。</w:t>
      </w:r>
    </w:p>
    <w:p w14:paraId="157C5B01">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2）二期开采结束地表移动变形预计</w:t>
      </w:r>
    </w:p>
    <w:p w14:paraId="7637E3D7">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按照《可研报告》中对彭集铁矿开采的总体设计，对二期最终开采结束阶段进行地表移动变形的概率积分预计，计算具体结果如下图所示。</w:t>
      </w:r>
    </w:p>
    <w:p w14:paraId="610C5874">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99230" cy="3682365"/>
            <wp:effectExtent l="0" t="0" r="127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999230" cy="3682365"/>
                    </a:xfrm>
                    <a:prstGeom prst="rect">
                      <a:avLst/>
                    </a:prstGeom>
                    <a:noFill/>
                  </pic:spPr>
                </pic:pic>
              </a:graphicData>
            </a:graphic>
          </wp:inline>
        </w:drawing>
      </w:r>
    </w:p>
    <w:p w14:paraId="405BAA16">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图</w:t>
      </w:r>
      <w:r>
        <w:rPr>
          <w:rFonts w:asciiTheme="minorHAnsi" w:hAnsiTheme="minorHAnsi" w:cstheme="minorHAnsi"/>
          <w:kern w:val="0"/>
          <w:szCs w:val="28"/>
        </w:rPr>
        <w:t>3.1-7</w:t>
      </w:r>
      <w:r>
        <w:rPr>
          <w:rFonts w:hint="eastAsia" w:asciiTheme="minorHAnsi" w:hAnsiTheme="minorHAnsi" w:cstheme="minorHAnsi"/>
          <w:kern w:val="0"/>
          <w:szCs w:val="28"/>
        </w:rPr>
        <w:t xml:space="preserve"> 二期开采结束地表沉降等值图（单位：mm）</w:t>
      </w:r>
    </w:p>
    <w:p w14:paraId="6B67C108">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由图可知，二期开采引起的地表沉降最大值为 7.5mm，位于 13 号勘探线附近，与所分析的矿体中心区域大致重合。最大沉降分布面积不大，从中心区域往外沉降值分圈逐层减少。</w:t>
      </w:r>
    </w:p>
    <w:p w14:paraId="75FBC84B">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80815" cy="3602990"/>
            <wp:effectExtent l="0" t="0" r="63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980815" cy="3602990"/>
                    </a:xfrm>
                    <a:prstGeom prst="rect">
                      <a:avLst/>
                    </a:prstGeom>
                    <a:noFill/>
                  </pic:spPr>
                </pic:pic>
              </a:graphicData>
            </a:graphic>
          </wp:inline>
        </w:drawing>
      </w:r>
    </w:p>
    <w:p w14:paraId="4A91503E">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东方向</w:t>
      </w:r>
    </w:p>
    <w:p w14:paraId="421B2923">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68750" cy="3602990"/>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968750" cy="3602990"/>
                    </a:xfrm>
                    <a:prstGeom prst="rect">
                      <a:avLst/>
                    </a:prstGeom>
                    <a:noFill/>
                  </pic:spPr>
                </pic:pic>
              </a:graphicData>
            </a:graphic>
          </wp:inline>
        </w:drawing>
      </w:r>
    </w:p>
    <w:p w14:paraId="607A592A">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北方向</w:t>
      </w:r>
    </w:p>
    <w:p w14:paraId="488C061A">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63035" cy="360299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963035" cy="3602990"/>
                    </a:xfrm>
                    <a:prstGeom prst="rect">
                      <a:avLst/>
                    </a:prstGeom>
                    <a:noFill/>
                  </pic:spPr>
                </pic:pic>
              </a:graphicData>
            </a:graphic>
          </wp:inline>
        </w:drawing>
      </w:r>
    </w:p>
    <w:p w14:paraId="6CA3D392">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（c）</w:t>
      </w:r>
      <w:r>
        <w:rPr>
          <w:rFonts w:hint="eastAsia" w:asciiTheme="minorHAnsi" w:hAnsiTheme="minorHAnsi" w:cstheme="minorHAnsi"/>
          <w:kern w:val="0"/>
          <w:szCs w:val="28"/>
        </w:rPr>
        <w:tab/>
      </w:r>
      <w:r>
        <w:rPr>
          <w:rFonts w:hint="eastAsia" w:asciiTheme="minorHAnsi" w:hAnsiTheme="minorHAnsi" w:cstheme="minorHAnsi"/>
          <w:kern w:val="0"/>
          <w:szCs w:val="28"/>
        </w:rPr>
        <w:t>东与北方向矢量和</w:t>
      </w:r>
    </w:p>
    <w:p w14:paraId="3AA41530">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 xml:space="preserve">3.1-8 </w:t>
      </w:r>
      <w:r>
        <w:rPr>
          <w:rFonts w:hint="eastAsia" w:asciiTheme="minorHAnsi" w:hAnsiTheme="minorHAnsi" w:cstheme="minorHAnsi"/>
          <w:kern w:val="0"/>
          <w:szCs w:val="28"/>
        </w:rPr>
        <w:t>二期开采结束地表水平移动等值图（单位：mm）</w:t>
      </w:r>
    </w:p>
    <w:p w14:paraId="41ECED45">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93515" cy="3542030"/>
            <wp:effectExtent l="0" t="0" r="6985" b="127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993515" cy="3542030"/>
                    </a:xfrm>
                    <a:prstGeom prst="rect">
                      <a:avLst/>
                    </a:prstGeom>
                    <a:noFill/>
                  </pic:spPr>
                </pic:pic>
              </a:graphicData>
            </a:graphic>
          </wp:inline>
        </w:drawing>
      </w:r>
    </w:p>
    <w:p w14:paraId="0C3952EB">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图</w:t>
      </w:r>
      <w:r>
        <w:rPr>
          <w:rFonts w:asciiTheme="minorHAnsi" w:hAnsiTheme="minorHAnsi" w:cstheme="minorHAnsi"/>
          <w:kern w:val="0"/>
          <w:szCs w:val="28"/>
        </w:rPr>
        <w:t>3.1-9</w:t>
      </w:r>
      <w:r>
        <w:rPr>
          <w:rFonts w:hint="eastAsia" w:asciiTheme="minorHAnsi" w:hAnsiTheme="minorHAnsi" w:cstheme="minorHAnsi"/>
          <w:kern w:val="0"/>
          <w:szCs w:val="28"/>
        </w:rPr>
        <w:t xml:space="preserve"> 二期开采结束地表水平变形等值图</w:t>
      </w:r>
    </w:p>
    <w:p w14:paraId="3054D377">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（单位：mm/m，正为拉、负为压）</w:t>
      </w:r>
    </w:p>
    <w:p w14:paraId="6536B56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由图可知，二期开采引起的地表水平位移最大值为 2.4mm，位于 13 号勘探线附近，与沉降最大区域基本重合。所分析区域的最大水平变形为 0.02mm/m，小于地表村庄民房等建（构）筑物水平变形的规范允许值 2mm/m。</w:t>
      </w:r>
    </w:p>
    <w:p w14:paraId="7EA865D9">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68750" cy="3529965"/>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968750" cy="3529965"/>
                    </a:xfrm>
                    <a:prstGeom prst="rect">
                      <a:avLst/>
                    </a:prstGeom>
                    <a:noFill/>
                  </pic:spPr>
                </pic:pic>
              </a:graphicData>
            </a:graphic>
          </wp:inline>
        </w:drawing>
      </w:r>
    </w:p>
    <w:p w14:paraId="5FD6EBA0">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图</w:t>
      </w:r>
      <w:r>
        <w:rPr>
          <w:rFonts w:asciiTheme="minorHAnsi" w:hAnsiTheme="minorHAnsi" w:cstheme="minorHAnsi"/>
          <w:kern w:val="0"/>
          <w:szCs w:val="28"/>
        </w:rPr>
        <w:t>3.1-10</w:t>
      </w:r>
      <w:r>
        <w:rPr>
          <w:rFonts w:hint="eastAsia" w:asciiTheme="minorHAnsi" w:hAnsiTheme="minorHAnsi" w:cstheme="minorHAnsi"/>
          <w:kern w:val="0"/>
          <w:szCs w:val="28"/>
        </w:rPr>
        <w:t xml:space="preserve"> 二期开采结束地表倾斜等值图（单位：mm/m）</w:t>
      </w:r>
    </w:p>
    <w:p w14:paraId="36E7AC99">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由图可知，二期开采引起所分析区域的最大倾斜为-0.024mm/m，远小于地表村庄民房等建（构）筑物倾斜的规范允许值 3mm/m。</w:t>
      </w:r>
    </w:p>
    <w:p w14:paraId="3E0754BF">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3938270" cy="3450590"/>
            <wp:effectExtent l="0" t="0" r="508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938270" cy="3450590"/>
                    </a:xfrm>
                    <a:prstGeom prst="rect">
                      <a:avLst/>
                    </a:prstGeom>
                    <a:noFill/>
                  </pic:spPr>
                </pic:pic>
              </a:graphicData>
            </a:graphic>
          </wp:inline>
        </w:drawing>
      </w:r>
    </w:p>
    <w:p w14:paraId="6990EF5C">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3.1-11</w:t>
      </w:r>
      <w:r>
        <w:rPr>
          <w:rFonts w:hint="eastAsia" w:asciiTheme="minorHAnsi" w:hAnsiTheme="minorHAnsi" w:cstheme="minorHAnsi"/>
          <w:kern w:val="0"/>
          <w:szCs w:val="28"/>
        </w:rPr>
        <w:t xml:space="preserve"> 二期开采结束地表曲率等值图（单位：10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w:t>
      </w:r>
    </w:p>
    <w:p w14:paraId="134570B8">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由图可知，二期开采引起所分析区域的最大曲率为 0.0008×10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/m，远小于地表村庄民房等建（构）筑物曲率的规范允许值 0.2×10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w:t>
      </w:r>
    </w:p>
    <w:p w14:paraId="21EEB80F">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综合概率积分法的计算结果，可以看出彭集铁矿的二期地下开采对地表村庄民房、国道、高速公路、高压线塔基等的影响十分微弱。</w:t>
      </w:r>
    </w:p>
    <w:p w14:paraId="53E9F302">
      <w:pPr>
        <w:adjustRightInd w:val="0"/>
        <w:snapToGrid w:val="0"/>
        <w:spacing w:line="360" w:lineRule="auto"/>
        <w:ind w:firstLine="560"/>
        <w:rPr>
          <w:rFonts w:asciiTheme="minorHAnsi" w:hAnsiTheme="minorHAnsi" w:cstheme="minorHAnsi"/>
          <w:kern w:val="0"/>
          <w:szCs w:val="28"/>
        </w:rPr>
      </w:pPr>
      <w:r>
        <w:rPr>
          <w:rFonts w:asciiTheme="minorHAnsi" w:hAnsiTheme="minorHAnsi" w:cstheme="minorHAnsi"/>
          <w:kern w:val="0"/>
          <w:szCs w:val="28"/>
        </w:rPr>
        <w:t>3</w:t>
      </w:r>
      <w:r>
        <w:rPr>
          <w:rFonts w:hint="eastAsia" w:asciiTheme="minorHAnsi" w:hAnsiTheme="minorHAnsi" w:cstheme="minorHAnsi"/>
          <w:kern w:val="0"/>
          <w:szCs w:val="28"/>
        </w:rPr>
        <w:t>）地表移动变形值的三维有限元数值模拟</w:t>
      </w:r>
    </w:p>
    <w:p w14:paraId="7784EF50">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地表移动变形仅针对工况Ⅳ-③作为研究对象，分析彭集矿段在两期全部开采结束后，对地表产生的影响。此次分析，选取了 4 个典型剖面，位置见图 8-20。剖面 1、剖面 2、剖面 3 垂直矿体走向布置，关注矿体采动后上下盘的地表移动变化，其中剖面 1穿过东李庄、龙宫河、西郭庄，位于所建矿体模型的北部；剖面 2 与 13 号勘探线重合，位于所建矿体模型的中部；剖面 3 与高压线路 110kV 李郑线平面位置吻合，位于所建矿体模型的南部。剖面 4 与矿体走向平行，关注矿体采动后侧帮的地表移动变化，从所建矿体模型的平面投影区域中部穿过。</w:t>
      </w:r>
    </w:p>
    <w:p w14:paraId="760A0CC2">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3523615"/>
            <wp:effectExtent l="0" t="0" r="1905" b="63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322445" cy="3523615"/>
                    </a:xfrm>
                    <a:prstGeom prst="rect">
                      <a:avLst/>
                    </a:prstGeom>
                    <a:noFill/>
                  </pic:spPr>
                </pic:pic>
              </a:graphicData>
            </a:graphic>
          </wp:inline>
        </w:drawing>
      </w:r>
    </w:p>
    <w:p w14:paraId="2EA437FF">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3.1-12</w:t>
      </w:r>
      <w:r>
        <w:rPr>
          <w:rFonts w:hint="eastAsia" w:asciiTheme="minorHAnsi" w:hAnsiTheme="minorHAnsi" w:cstheme="minorHAnsi"/>
          <w:kern w:val="0"/>
          <w:szCs w:val="28"/>
        </w:rPr>
        <w:t xml:space="preserve"> 地表沉降变形剖面位置图（黑色网格为所建矿体模型）</w:t>
      </w:r>
    </w:p>
    <w:p w14:paraId="1F0E6CE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以下为地表最终移动变形及各剖面的位移分布云图。地表最终移动变形从 4 个维度分析，剖面 1、2、3 主要从 Y、Z 两个维度进行分析，剖面 4 从 X、Y、Z 三个维度进行分析。</w:t>
      </w:r>
    </w:p>
    <w:p w14:paraId="0B83DB20">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10380" cy="4182110"/>
            <wp:effectExtent l="0" t="0" r="0" b="889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310380" cy="4182110"/>
                    </a:xfrm>
                    <a:prstGeom prst="rect">
                      <a:avLst/>
                    </a:prstGeom>
                    <a:noFill/>
                  </pic:spPr>
                </pic:pic>
              </a:graphicData>
            </a:graphic>
          </wp:inline>
        </w:drawing>
      </w:r>
    </w:p>
    <w:p w14:paraId="50E373F9">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（a）总位移云图（单位:cm）</w:t>
      </w:r>
    </w:p>
    <w:p w14:paraId="2835375D">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4048125"/>
            <wp:effectExtent l="0" t="0" r="1905" b="9525"/>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322445" cy="4048125"/>
                    </a:xfrm>
                    <a:prstGeom prst="rect">
                      <a:avLst/>
                    </a:prstGeom>
                    <a:noFill/>
                  </pic:spPr>
                </pic:pic>
              </a:graphicData>
            </a:graphic>
          </wp:inline>
        </w:drawing>
      </w:r>
    </w:p>
    <w:p w14:paraId="4F364108">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X 方向位移云图（单位:cm）</w:t>
      </w:r>
    </w:p>
    <w:p w14:paraId="470E8E9D">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16095" cy="3975100"/>
            <wp:effectExtent l="0" t="0" r="8255" b="635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316095" cy="3975100"/>
                    </a:xfrm>
                    <a:prstGeom prst="rect">
                      <a:avLst/>
                    </a:prstGeom>
                    <a:noFill/>
                  </pic:spPr>
                </pic:pic>
              </a:graphicData>
            </a:graphic>
          </wp:inline>
        </w:drawing>
      </w:r>
    </w:p>
    <w:p w14:paraId="305953A4">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（c）</w:t>
      </w:r>
      <w:r>
        <w:rPr>
          <w:rFonts w:hint="eastAsia" w:asciiTheme="minorHAnsi" w:hAnsiTheme="minorHAnsi" w:cstheme="minorHAnsi"/>
          <w:kern w:val="0"/>
          <w:szCs w:val="28"/>
        </w:rPr>
        <w:tab/>
      </w:r>
      <w:r>
        <w:rPr>
          <w:rFonts w:hint="eastAsia" w:asciiTheme="minorHAnsi" w:hAnsiTheme="minorHAnsi" w:cstheme="minorHAnsi"/>
          <w:kern w:val="0"/>
          <w:szCs w:val="28"/>
        </w:rPr>
        <w:t>Y 方向位移云图（单位:cm）</w:t>
      </w:r>
    </w:p>
    <w:p w14:paraId="5761DDDB">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3853180"/>
            <wp:effectExtent l="0" t="0" r="1905"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322445" cy="3853180"/>
                    </a:xfrm>
                    <a:prstGeom prst="rect">
                      <a:avLst/>
                    </a:prstGeom>
                    <a:noFill/>
                  </pic:spPr>
                </pic:pic>
              </a:graphicData>
            </a:graphic>
          </wp:inline>
        </w:drawing>
      </w:r>
    </w:p>
    <w:p w14:paraId="06E04709">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（d）</w:t>
      </w:r>
      <w:r>
        <w:rPr>
          <w:rFonts w:hint="eastAsia" w:asciiTheme="minorHAnsi" w:hAnsiTheme="minorHAnsi" w:cstheme="minorHAnsi"/>
          <w:kern w:val="0"/>
          <w:szCs w:val="28"/>
        </w:rPr>
        <w:tab/>
      </w:r>
      <w:r>
        <w:rPr>
          <w:rFonts w:hint="eastAsia" w:asciiTheme="minorHAnsi" w:hAnsiTheme="minorHAnsi" w:cstheme="minorHAnsi"/>
          <w:kern w:val="0"/>
          <w:szCs w:val="28"/>
        </w:rPr>
        <w:t>Z 方向沉降云图（单位:cm）</w:t>
      </w:r>
    </w:p>
    <w:p w14:paraId="00850532">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图</w:t>
      </w:r>
      <w:r>
        <w:rPr>
          <w:rFonts w:asciiTheme="minorHAnsi" w:hAnsiTheme="minorHAnsi" w:cstheme="minorHAnsi"/>
          <w:kern w:val="0"/>
          <w:szCs w:val="28"/>
        </w:rPr>
        <w:t>3.1-13</w:t>
      </w:r>
      <w:r>
        <w:rPr>
          <w:rFonts w:hint="eastAsia" w:asciiTheme="minorHAnsi" w:hAnsiTheme="minorHAnsi" w:cstheme="minorHAnsi"/>
          <w:kern w:val="0"/>
          <w:szCs w:val="28"/>
        </w:rPr>
        <w:t xml:space="preserve"> 地表最终移动分布云图</w:t>
      </w:r>
    </w:p>
    <w:p w14:paraId="4AF4077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由上图可知，地表最大移动变形为 45mm，分布于所建矿体模型的中心区域，位移变化由中心区域向四周逐圈层向外扩散。X 方向最大位移值为 16mm，Y 方向最大位移值为 20mm，Z 方向最大沉降值为 35mm。下面从各个剖面分析，依次详细地显示地表移动变形的范围及程度。</w:t>
      </w:r>
    </w:p>
    <w:p w14:paraId="30B54A4D">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1：</w:t>
      </w:r>
    </w:p>
    <w:p w14:paraId="71E18CA2">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29455" cy="2658110"/>
            <wp:effectExtent l="0" t="0" r="4445" b="889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529455" cy="2658110"/>
                    </a:xfrm>
                    <a:prstGeom prst="rect">
                      <a:avLst/>
                    </a:prstGeom>
                    <a:noFill/>
                  </pic:spPr>
                </pic:pic>
              </a:graphicData>
            </a:graphic>
          </wp:inline>
        </w:drawing>
      </w:r>
    </w:p>
    <w:p w14:paraId="62462574">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Y 方向位移云图</w:t>
      </w:r>
    </w:p>
    <w:p w14:paraId="005C5EF6">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66285" cy="2658110"/>
            <wp:effectExtent l="0" t="0" r="5715" b="889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566285" cy="2658110"/>
                    </a:xfrm>
                    <a:prstGeom prst="rect">
                      <a:avLst/>
                    </a:prstGeom>
                    <a:noFill/>
                  </pic:spPr>
                </pic:pic>
              </a:graphicData>
            </a:graphic>
          </wp:inline>
        </w:drawing>
      </w:r>
    </w:p>
    <w:p w14:paraId="74158728">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Z 方向位移云图图 8-22 剖面 1 位移云图</w:t>
      </w:r>
    </w:p>
    <w:p w14:paraId="03DB979F">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1 的结果显示，Y 方向的位移变化发展到地表最大为 10mm，Z 方向沉降发展到地表最大为 25mm，集中体现在矿体正上方的东李庄区域。</w:t>
      </w:r>
    </w:p>
    <w:p w14:paraId="2BA0E3D6">
      <w:pPr>
        <w:widowControl/>
        <w:spacing w:line="240" w:lineRule="auto"/>
        <w:ind w:firstLine="0" w:firstLineChars="0"/>
        <w:jc w:val="left"/>
        <w:rPr>
          <w:rFonts w:asciiTheme="minorHAnsi" w:hAnsiTheme="minorHAnsi" w:cstheme="minorHAnsi"/>
          <w:kern w:val="0"/>
          <w:szCs w:val="28"/>
        </w:rPr>
      </w:pPr>
      <w:r>
        <w:rPr>
          <w:rFonts w:asciiTheme="minorHAnsi" w:hAnsiTheme="minorHAnsi" w:cstheme="minorHAnsi"/>
          <w:kern w:val="0"/>
          <w:szCs w:val="28"/>
        </w:rPr>
        <w:br w:type="page"/>
      </w:r>
    </w:p>
    <w:p w14:paraId="02D1600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2：</w:t>
      </w:r>
    </w:p>
    <w:p w14:paraId="53EA689D">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11675" cy="2646045"/>
            <wp:effectExtent l="0" t="0" r="3175" b="190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511675" cy="2646045"/>
                    </a:xfrm>
                    <a:prstGeom prst="rect">
                      <a:avLst/>
                    </a:prstGeom>
                    <a:noFill/>
                  </pic:spPr>
                </pic:pic>
              </a:graphicData>
            </a:graphic>
          </wp:inline>
        </w:drawing>
      </w:r>
    </w:p>
    <w:p w14:paraId="2A2CFBF7">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Y 方向位移云图</w:t>
      </w:r>
    </w:p>
    <w:p w14:paraId="772D370F">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54220" cy="265176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554220" cy="2651760"/>
                    </a:xfrm>
                    <a:prstGeom prst="rect">
                      <a:avLst/>
                    </a:prstGeom>
                    <a:noFill/>
                  </pic:spPr>
                </pic:pic>
              </a:graphicData>
            </a:graphic>
          </wp:inline>
        </w:drawing>
      </w:r>
    </w:p>
    <w:p w14:paraId="5131A9D7">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Z 方向位移云图图 8-23 剖面 2 位移云图</w:t>
      </w:r>
    </w:p>
    <w:p w14:paraId="2E51572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2 的结果显示，Y 方向的位移变化发展到地表最大为 25mm，Z 方向沉降发展到地表最大为 40mm，集中体现在矿体正上方的东李庄区域。</w:t>
      </w:r>
    </w:p>
    <w:p w14:paraId="0688761F">
      <w:pPr>
        <w:widowControl/>
        <w:spacing w:line="240" w:lineRule="auto"/>
        <w:ind w:firstLine="0" w:firstLineChars="0"/>
        <w:jc w:val="left"/>
        <w:rPr>
          <w:rFonts w:asciiTheme="minorHAnsi" w:hAnsiTheme="minorHAnsi" w:cstheme="minorHAnsi"/>
          <w:kern w:val="0"/>
          <w:szCs w:val="28"/>
        </w:rPr>
      </w:pPr>
      <w:r>
        <w:rPr>
          <w:rFonts w:asciiTheme="minorHAnsi" w:hAnsiTheme="minorHAnsi" w:cstheme="minorHAnsi"/>
          <w:kern w:val="0"/>
          <w:szCs w:val="28"/>
        </w:rPr>
        <w:br w:type="page"/>
      </w:r>
    </w:p>
    <w:p w14:paraId="2D4ACB4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3：</w:t>
      </w:r>
    </w:p>
    <w:p w14:paraId="1772AF41">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29455" cy="2639695"/>
            <wp:effectExtent l="0" t="0" r="4445" b="825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529455" cy="2639695"/>
                    </a:xfrm>
                    <a:prstGeom prst="rect">
                      <a:avLst/>
                    </a:prstGeom>
                    <a:noFill/>
                  </pic:spPr>
                </pic:pic>
              </a:graphicData>
            </a:graphic>
          </wp:inline>
        </w:drawing>
      </w:r>
    </w:p>
    <w:p w14:paraId="6BFF5ABE">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Y 方向位移云图</w:t>
      </w:r>
    </w:p>
    <w:p w14:paraId="13B3B3CB">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559935" cy="265176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559935" cy="2651760"/>
                    </a:xfrm>
                    <a:prstGeom prst="rect">
                      <a:avLst/>
                    </a:prstGeom>
                    <a:noFill/>
                  </pic:spPr>
                </pic:pic>
              </a:graphicData>
            </a:graphic>
          </wp:inline>
        </w:drawing>
      </w:r>
    </w:p>
    <w:p w14:paraId="1F85DDFD">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Z 方向位移云图图 8-24 剖面 3 位移云图</w:t>
      </w:r>
    </w:p>
    <w:p w14:paraId="770A75E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3 的结果显示，Y 方向的位移变化发展到地表最大为 20mm，Z 方向沉降发展到地表最大为 30mm，集中体现在矿体正上方区域。此剖面的意义主要是分析地表采动对高压线塔的影响，从工程尺度的角度分析，得到的地表位移值属于较小的范畴。后文将从定点区域的水平变形、倾斜以及曲率进行补充论述。</w:t>
      </w:r>
    </w:p>
    <w:p w14:paraId="3446B56D">
      <w:pPr>
        <w:widowControl/>
        <w:spacing w:line="240" w:lineRule="auto"/>
        <w:ind w:firstLine="0" w:firstLineChars="0"/>
        <w:jc w:val="left"/>
        <w:rPr>
          <w:rFonts w:asciiTheme="minorHAnsi" w:hAnsiTheme="minorHAnsi" w:cstheme="minorHAnsi"/>
          <w:kern w:val="0"/>
          <w:szCs w:val="28"/>
        </w:rPr>
      </w:pPr>
      <w:r>
        <w:rPr>
          <w:rFonts w:asciiTheme="minorHAnsi" w:hAnsiTheme="minorHAnsi" w:cstheme="minorHAnsi"/>
          <w:kern w:val="0"/>
          <w:szCs w:val="28"/>
        </w:rPr>
        <w:br w:type="page"/>
      </w:r>
    </w:p>
    <w:p w14:paraId="13D1254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4</w:t>
      </w:r>
    </w:p>
    <w:p w14:paraId="6052ECD4">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2651760"/>
            <wp:effectExtent l="0" t="0" r="190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322445" cy="2651760"/>
                    </a:xfrm>
                    <a:prstGeom prst="rect">
                      <a:avLst/>
                    </a:prstGeom>
                    <a:noFill/>
                  </pic:spPr>
                </pic:pic>
              </a:graphicData>
            </a:graphic>
          </wp:inline>
        </w:drawing>
      </w:r>
    </w:p>
    <w:p w14:paraId="0808CB68">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（a）</w:t>
      </w:r>
      <w:r>
        <w:rPr>
          <w:rFonts w:hint="eastAsia" w:asciiTheme="minorHAnsi" w:hAnsiTheme="minorHAnsi" w:cstheme="minorHAnsi"/>
          <w:kern w:val="0"/>
          <w:szCs w:val="28"/>
        </w:rPr>
        <w:tab/>
      </w:r>
      <w:r>
        <w:rPr>
          <w:rFonts w:hint="eastAsia" w:asciiTheme="minorHAnsi" w:hAnsiTheme="minorHAnsi" w:cstheme="minorHAnsi"/>
          <w:kern w:val="0"/>
          <w:szCs w:val="28"/>
        </w:rPr>
        <w:t>X 方向位移云图</w:t>
      </w:r>
    </w:p>
    <w:p w14:paraId="67F6E949">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2651760"/>
            <wp:effectExtent l="0" t="0" r="190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322445" cy="2651760"/>
                    </a:xfrm>
                    <a:prstGeom prst="rect">
                      <a:avLst/>
                    </a:prstGeom>
                    <a:noFill/>
                  </pic:spPr>
                </pic:pic>
              </a:graphicData>
            </a:graphic>
          </wp:inline>
        </w:drawing>
      </w:r>
    </w:p>
    <w:p w14:paraId="4062C2A4">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（b）</w:t>
      </w:r>
      <w:r>
        <w:rPr>
          <w:rFonts w:hint="eastAsia" w:asciiTheme="minorHAnsi" w:hAnsiTheme="minorHAnsi" w:cstheme="minorHAnsi"/>
          <w:kern w:val="0"/>
          <w:szCs w:val="28"/>
        </w:rPr>
        <w:tab/>
      </w:r>
      <w:r>
        <w:rPr>
          <w:rFonts w:hint="eastAsia" w:asciiTheme="minorHAnsi" w:hAnsiTheme="minorHAnsi" w:cstheme="minorHAnsi"/>
          <w:kern w:val="0"/>
          <w:szCs w:val="28"/>
        </w:rPr>
        <w:t>Y 方向位移云图</w:t>
      </w:r>
    </w:p>
    <w:p w14:paraId="3A0C8C87">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22445" cy="2651760"/>
            <wp:effectExtent l="0" t="0" r="190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322445" cy="2651760"/>
                    </a:xfrm>
                    <a:prstGeom prst="rect">
                      <a:avLst/>
                    </a:prstGeom>
                    <a:noFill/>
                  </pic:spPr>
                </pic:pic>
              </a:graphicData>
            </a:graphic>
          </wp:inline>
        </w:drawing>
      </w:r>
    </w:p>
    <w:p w14:paraId="292A6DBE">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（c）</w:t>
      </w:r>
      <w:r>
        <w:rPr>
          <w:rFonts w:hint="eastAsia" w:asciiTheme="minorHAnsi" w:hAnsiTheme="minorHAnsi" w:cstheme="minorHAnsi"/>
          <w:kern w:val="0"/>
          <w:szCs w:val="28"/>
        </w:rPr>
        <w:tab/>
      </w:r>
      <w:r>
        <w:rPr>
          <w:rFonts w:hint="eastAsia" w:asciiTheme="minorHAnsi" w:hAnsiTheme="minorHAnsi" w:cstheme="minorHAnsi"/>
          <w:kern w:val="0"/>
          <w:szCs w:val="28"/>
        </w:rPr>
        <w:t>Z 方向位移云图</w:t>
      </w:r>
    </w:p>
    <w:p w14:paraId="095ED7D2">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3.1-14</w:t>
      </w:r>
      <w:r>
        <w:rPr>
          <w:rFonts w:hint="eastAsia" w:asciiTheme="minorHAnsi" w:hAnsiTheme="minorHAnsi" w:cstheme="minorHAnsi"/>
          <w:kern w:val="0"/>
          <w:szCs w:val="28"/>
        </w:rPr>
        <w:t xml:space="preserve"> 剖面 4 位移云图</w:t>
      </w:r>
    </w:p>
    <w:p w14:paraId="514284F4">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剖面 4 的结果显示，X 方向的位移变化发展到地表最大为 7mm，Y 方向的位移变化发展到地表最大为 2mm，Z 方向沉降发展到地表最大为 20mm，集中体现在矿体正上方区域，沿走向方向越往端部影响越小。</w:t>
      </w:r>
    </w:p>
    <w:p w14:paraId="7FF35FE6">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4）定点区域移动变形分析</w:t>
      </w:r>
    </w:p>
    <w:p w14:paraId="10C9AA1E">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为了更详细地显示地表沉降变形的范围与程度，在地表设置了如下图所示的监测点，详细计算了该区域的垂直下沉与水平移动，并计算得到该区域的水平变形、倾斜与曲率等值。其中 JC1#、JC2#和 JC3#为沿高压线电塔布置，重点分析地下开采对电塔塔基位置的影响。</w:t>
      </w:r>
    </w:p>
    <w:p w14:paraId="59CBFFB9">
      <w:pPr>
        <w:adjustRightInd w:val="0"/>
        <w:snapToGrid w:val="0"/>
        <w:spacing w:line="360" w:lineRule="auto"/>
        <w:ind w:firstLine="0" w:firstLineChars="0"/>
        <w:jc w:val="center"/>
        <w:rPr>
          <w:rFonts w:asciiTheme="minorHAnsi" w:hAnsiTheme="minorHAnsi" w:cstheme="minorHAnsi"/>
          <w:kern w:val="0"/>
          <w:szCs w:val="28"/>
        </w:rPr>
      </w:pPr>
      <w:r>
        <w:rPr>
          <w:rFonts w:asciiTheme="minorHAnsi" w:hAnsiTheme="minorHAnsi" w:cstheme="minorHAnsi"/>
          <w:kern w:val="0"/>
          <w:szCs w:val="28"/>
        </w:rPr>
        <w:drawing>
          <wp:inline distT="0" distB="0" distL="0" distR="0">
            <wp:extent cx="4334510" cy="3706495"/>
            <wp:effectExtent l="0" t="0" r="8890" b="825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334510" cy="3706495"/>
                    </a:xfrm>
                    <a:prstGeom prst="rect">
                      <a:avLst/>
                    </a:prstGeom>
                    <a:noFill/>
                  </pic:spPr>
                </pic:pic>
              </a:graphicData>
            </a:graphic>
          </wp:inline>
        </w:drawing>
      </w:r>
    </w:p>
    <w:p w14:paraId="6DC8294C">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图 </w:t>
      </w:r>
      <w:r>
        <w:rPr>
          <w:rFonts w:asciiTheme="minorHAnsi" w:hAnsiTheme="minorHAnsi" w:cstheme="minorHAnsi"/>
          <w:kern w:val="0"/>
          <w:szCs w:val="28"/>
        </w:rPr>
        <w:t>3.1-15</w:t>
      </w:r>
      <w:r>
        <w:rPr>
          <w:rFonts w:hint="eastAsia" w:asciiTheme="minorHAnsi" w:hAnsiTheme="minorHAnsi" w:cstheme="minorHAnsi"/>
          <w:kern w:val="0"/>
          <w:szCs w:val="28"/>
        </w:rPr>
        <w:t>各地表测点平面位置图</w:t>
      </w:r>
    </w:p>
    <w:p w14:paraId="32E53362">
      <w:pPr>
        <w:adjustRightInd w:val="0"/>
        <w:snapToGrid w:val="0"/>
        <w:spacing w:line="360" w:lineRule="auto"/>
        <w:ind w:firstLine="0" w:firstLineChars="0"/>
        <w:jc w:val="center"/>
        <w:rPr>
          <w:rFonts w:asciiTheme="minorHAnsi" w:hAnsiTheme="minorHAnsi" w:cstheme="minorHAnsi"/>
          <w:kern w:val="0"/>
          <w:szCs w:val="28"/>
        </w:rPr>
      </w:pPr>
      <w:r>
        <w:rPr>
          <w:rFonts w:hint="eastAsia" w:asciiTheme="minorHAnsi" w:hAnsiTheme="minorHAnsi" w:cstheme="minorHAnsi"/>
          <w:kern w:val="0"/>
          <w:szCs w:val="28"/>
        </w:rPr>
        <w:t xml:space="preserve">表 </w:t>
      </w:r>
      <w:r>
        <w:rPr>
          <w:rFonts w:asciiTheme="minorHAnsi" w:hAnsiTheme="minorHAnsi" w:cstheme="minorHAnsi"/>
          <w:kern w:val="0"/>
          <w:szCs w:val="28"/>
        </w:rPr>
        <w:t>3.1-5</w:t>
      </w:r>
      <w:r>
        <w:rPr>
          <w:rFonts w:hint="eastAsia" w:asciiTheme="minorHAnsi" w:hAnsiTheme="minorHAnsi" w:cstheme="minorHAnsi"/>
          <w:kern w:val="0"/>
          <w:szCs w:val="28"/>
        </w:rPr>
        <w:t>各测点移动变形、倾斜曲率值结果一览表</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54"/>
        <w:gridCol w:w="2124"/>
        <w:gridCol w:w="895"/>
        <w:gridCol w:w="1234"/>
        <w:gridCol w:w="1422"/>
        <w:gridCol w:w="1279"/>
        <w:gridCol w:w="1500"/>
      </w:tblGrid>
      <w:tr w14:paraId="08C589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exact"/>
        </w:trPr>
        <w:tc>
          <w:tcPr>
            <w:tcW w:w="459" w:type="pct"/>
            <w:vAlign w:val="center"/>
          </w:tcPr>
          <w:p w14:paraId="4F43CE0F">
            <w:pPr>
              <w:pStyle w:val="100"/>
              <w:adjustRightInd w:val="0"/>
              <w:snapToGrid w:val="0"/>
              <w:rPr>
                <w:sz w:val="21"/>
                <w:szCs w:val="21"/>
              </w:rPr>
            </w:pPr>
            <w:r>
              <w:rPr>
                <w:sz w:val="21"/>
                <w:szCs w:val="21"/>
              </w:rPr>
              <w:t>地表</w:t>
            </w:r>
          </w:p>
          <w:p w14:paraId="7744ED1D">
            <w:pPr>
              <w:pStyle w:val="100"/>
              <w:adjustRightInd w:val="0"/>
              <w:snapToGrid w:val="0"/>
              <w:rPr>
                <w:sz w:val="21"/>
                <w:szCs w:val="21"/>
              </w:rPr>
            </w:pPr>
            <w:r>
              <w:rPr>
                <w:sz w:val="21"/>
                <w:szCs w:val="21"/>
              </w:rPr>
              <w:t>测点编号</w:t>
            </w:r>
          </w:p>
        </w:tc>
        <w:tc>
          <w:tcPr>
            <w:tcW w:w="1141" w:type="pct"/>
            <w:vAlign w:val="center"/>
          </w:tcPr>
          <w:p w14:paraId="5BDA1138">
            <w:pPr>
              <w:pStyle w:val="100"/>
              <w:adjustRightInd w:val="0"/>
              <w:snapToGrid w:val="0"/>
              <w:rPr>
                <w:sz w:val="21"/>
                <w:szCs w:val="21"/>
              </w:rPr>
            </w:pPr>
            <w:r>
              <w:rPr>
                <w:sz w:val="21"/>
                <w:szCs w:val="21"/>
              </w:rPr>
              <w:t>代表区域</w:t>
            </w:r>
          </w:p>
        </w:tc>
        <w:tc>
          <w:tcPr>
            <w:tcW w:w="481" w:type="pct"/>
            <w:vAlign w:val="center"/>
          </w:tcPr>
          <w:p w14:paraId="57D38209">
            <w:pPr>
              <w:pStyle w:val="100"/>
              <w:adjustRightInd w:val="0"/>
              <w:snapToGrid w:val="0"/>
              <w:rPr>
                <w:sz w:val="21"/>
                <w:szCs w:val="21"/>
              </w:rPr>
            </w:pPr>
            <w:r>
              <w:rPr>
                <w:sz w:val="21"/>
                <w:szCs w:val="21"/>
              </w:rPr>
              <w:t>下沉量</w:t>
            </w:r>
          </w:p>
          <w:p w14:paraId="6830744D">
            <w:pPr>
              <w:pStyle w:val="100"/>
              <w:adjustRightInd w:val="0"/>
              <w:snapToGrid w:val="0"/>
              <w:rPr>
                <w:sz w:val="21"/>
                <w:szCs w:val="21"/>
              </w:rPr>
            </w:pPr>
            <w:r>
              <w:rPr>
                <w:sz w:val="21"/>
                <w:szCs w:val="21"/>
              </w:rPr>
              <w:t>（mm）</w:t>
            </w:r>
          </w:p>
        </w:tc>
        <w:tc>
          <w:tcPr>
            <w:tcW w:w="663" w:type="pct"/>
            <w:vAlign w:val="center"/>
          </w:tcPr>
          <w:p w14:paraId="25EA906E">
            <w:pPr>
              <w:pStyle w:val="100"/>
              <w:adjustRightInd w:val="0"/>
              <w:snapToGrid w:val="0"/>
              <w:rPr>
                <w:sz w:val="21"/>
                <w:szCs w:val="21"/>
              </w:rPr>
            </w:pPr>
            <w:r>
              <w:rPr>
                <w:sz w:val="21"/>
                <w:szCs w:val="21"/>
              </w:rPr>
              <w:t>水平移动量</w:t>
            </w:r>
          </w:p>
          <w:p w14:paraId="32B3995D">
            <w:pPr>
              <w:pStyle w:val="100"/>
              <w:adjustRightInd w:val="0"/>
              <w:snapToGrid w:val="0"/>
              <w:rPr>
                <w:sz w:val="21"/>
                <w:szCs w:val="21"/>
              </w:rPr>
            </w:pPr>
            <w:r>
              <w:rPr>
                <w:sz w:val="21"/>
                <w:szCs w:val="21"/>
              </w:rPr>
              <w:t>（mm）</w:t>
            </w:r>
          </w:p>
        </w:tc>
        <w:tc>
          <w:tcPr>
            <w:tcW w:w="764" w:type="pct"/>
            <w:vAlign w:val="center"/>
          </w:tcPr>
          <w:p w14:paraId="2F0F509D">
            <w:pPr>
              <w:pStyle w:val="100"/>
              <w:adjustRightInd w:val="0"/>
              <w:snapToGrid w:val="0"/>
              <w:rPr>
                <w:sz w:val="21"/>
                <w:szCs w:val="21"/>
              </w:rPr>
            </w:pPr>
            <w:r>
              <w:rPr>
                <w:sz w:val="21"/>
                <w:szCs w:val="21"/>
              </w:rPr>
              <w:t>水平变形</w:t>
            </w:r>
          </w:p>
          <w:p w14:paraId="799469FA">
            <w:pPr>
              <w:pStyle w:val="100"/>
              <w:adjustRightInd w:val="0"/>
              <w:snapToGrid w:val="0"/>
              <w:rPr>
                <w:sz w:val="21"/>
                <w:szCs w:val="21"/>
              </w:rPr>
            </w:pPr>
            <w:r>
              <w:rPr>
                <w:sz w:val="21"/>
                <w:szCs w:val="21"/>
              </w:rPr>
              <w:t>（mm/m）</w:t>
            </w:r>
          </w:p>
        </w:tc>
        <w:tc>
          <w:tcPr>
            <w:tcW w:w="687" w:type="pct"/>
            <w:vAlign w:val="center"/>
          </w:tcPr>
          <w:p w14:paraId="4DB29EF2">
            <w:pPr>
              <w:pStyle w:val="100"/>
              <w:adjustRightInd w:val="0"/>
              <w:snapToGrid w:val="0"/>
              <w:rPr>
                <w:sz w:val="21"/>
                <w:szCs w:val="21"/>
              </w:rPr>
            </w:pPr>
            <w:r>
              <w:rPr>
                <w:sz w:val="21"/>
                <w:szCs w:val="21"/>
              </w:rPr>
              <w:t>倾斜</w:t>
            </w:r>
          </w:p>
          <w:p w14:paraId="58887EF5">
            <w:pPr>
              <w:pStyle w:val="100"/>
              <w:adjustRightInd w:val="0"/>
              <w:snapToGrid w:val="0"/>
              <w:rPr>
                <w:sz w:val="21"/>
                <w:szCs w:val="21"/>
              </w:rPr>
            </w:pPr>
            <w:r>
              <w:rPr>
                <w:sz w:val="21"/>
                <w:szCs w:val="21"/>
              </w:rPr>
              <w:t>（mm/m）</w:t>
            </w:r>
          </w:p>
        </w:tc>
        <w:tc>
          <w:tcPr>
            <w:tcW w:w="805" w:type="pct"/>
            <w:vAlign w:val="center"/>
          </w:tcPr>
          <w:p w14:paraId="22AE0369">
            <w:pPr>
              <w:pStyle w:val="100"/>
              <w:adjustRightInd w:val="0"/>
              <w:snapToGrid w:val="0"/>
              <w:rPr>
                <w:sz w:val="21"/>
                <w:szCs w:val="21"/>
              </w:rPr>
            </w:pPr>
            <w:r>
              <w:rPr>
                <w:rFonts w:hint="eastAsia" w:ascii="宋体" w:hAnsi="宋体" w:eastAsia="宋体" w:cs="宋体"/>
                <w:sz w:val="21"/>
                <w:szCs w:val="21"/>
              </w:rPr>
              <w:t>曲率（</w:t>
            </w:r>
            <w:r>
              <w:rPr>
                <w:sz w:val="21"/>
                <w:szCs w:val="21"/>
              </w:rPr>
              <w:t>10</w:t>
            </w:r>
            <w:r>
              <w:rPr>
                <w:position w:val="8"/>
                <w:sz w:val="21"/>
                <w:szCs w:val="21"/>
              </w:rPr>
              <w:t>-3</w:t>
            </w:r>
            <w:r>
              <w:rPr>
                <w:sz w:val="21"/>
                <w:szCs w:val="21"/>
              </w:rPr>
              <w:t>/m</w:t>
            </w:r>
            <w:r>
              <w:rPr>
                <w:rFonts w:hint="eastAsia" w:ascii="宋体" w:hAnsi="宋体" w:eastAsia="宋体" w:cs="宋体"/>
                <w:sz w:val="21"/>
                <w:szCs w:val="21"/>
              </w:rPr>
              <w:t>）</w:t>
            </w:r>
          </w:p>
        </w:tc>
      </w:tr>
      <w:tr w14:paraId="248AB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1D34AEA7">
            <w:pPr>
              <w:pStyle w:val="100"/>
              <w:adjustRightInd w:val="0"/>
              <w:snapToGrid w:val="0"/>
              <w:rPr>
                <w:sz w:val="21"/>
                <w:szCs w:val="21"/>
              </w:rPr>
            </w:pPr>
            <w:r>
              <w:rPr>
                <w:sz w:val="21"/>
                <w:szCs w:val="21"/>
              </w:rPr>
              <w:t>JC1#</w:t>
            </w:r>
          </w:p>
        </w:tc>
        <w:tc>
          <w:tcPr>
            <w:tcW w:w="1141" w:type="pct"/>
            <w:vMerge w:val="restart"/>
            <w:vAlign w:val="center"/>
          </w:tcPr>
          <w:p w14:paraId="43605029">
            <w:pPr>
              <w:pStyle w:val="100"/>
              <w:adjustRightInd w:val="0"/>
              <w:snapToGrid w:val="0"/>
              <w:rPr>
                <w:sz w:val="21"/>
                <w:szCs w:val="21"/>
              </w:rPr>
            </w:pPr>
            <w:r>
              <w:rPr>
                <w:sz w:val="21"/>
                <w:szCs w:val="21"/>
              </w:rPr>
              <w:t>高压线电塔</w:t>
            </w:r>
          </w:p>
        </w:tc>
        <w:tc>
          <w:tcPr>
            <w:tcW w:w="481" w:type="pct"/>
            <w:vAlign w:val="center"/>
          </w:tcPr>
          <w:p w14:paraId="60F005BE">
            <w:pPr>
              <w:pStyle w:val="100"/>
              <w:adjustRightInd w:val="0"/>
              <w:snapToGrid w:val="0"/>
              <w:rPr>
                <w:sz w:val="21"/>
                <w:szCs w:val="21"/>
              </w:rPr>
            </w:pPr>
            <w:r>
              <w:rPr>
                <w:sz w:val="21"/>
                <w:szCs w:val="21"/>
              </w:rPr>
              <w:t>20.6</w:t>
            </w:r>
          </w:p>
        </w:tc>
        <w:tc>
          <w:tcPr>
            <w:tcW w:w="663" w:type="pct"/>
            <w:vAlign w:val="center"/>
          </w:tcPr>
          <w:p w14:paraId="7319237C">
            <w:pPr>
              <w:pStyle w:val="100"/>
              <w:adjustRightInd w:val="0"/>
              <w:snapToGrid w:val="0"/>
              <w:rPr>
                <w:sz w:val="21"/>
                <w:szCs w:val="21"/>
              </w:rPr>
            </w:pPr>
            <w:r>
              <w:rPr>
                <w:sz w:val="21"/>
                <w:szCs w:val="21"/>
              </w:rPr>
              <w:t>3.7</w:t>
            </w:r>
          </w:p>
        </w:tc>
        <w:tc>
          <w:tcPr>
            <w:tcW w:w="764" w:type="pct"/>
            <w:vAlign w:val="center"/>
          </w:tcPr>
          <w:p w14:paraId="2673479B">
            <w:pPr>
              <w:pStyle w:val="100"/>
              <w:adjustRightInd w:val="0"/>
              <w:snapToGrid w:val="0"/>
              <w:rPr>
                <w:sz w:val="21"/>
                <w:szCs w:val="21"/>
              </w:rPr>
            </w:pPr>
            <w:r>
              <w:rPr>
                <w:sz w:val="21"/>
                <w:szCs w:val="21"/>
              </w:rPr>
              <w:t>-0.016</w:t>
            </w:r>
          </w:p>
        </w:tc>
        <w:tc>
          <w:tcPr>
            <w:tcW w:w="687" w:type="pct"/>
            <w:vAlign w:val="center"/>
          </w:tcPr>
          <w:p w14:paraId="2F8ECD04">
            <w:pPr>
              <w:pStyle w:val="100"/>
              <w:adjustRightInd w:val="0"/>
              <w:snapToGrid w:val="0"/>
              <w:rPr>
                <w:sz w:val="21"/>
                <w:szCs w:val="21"/>
              </w:rPr>
            </w:pPr>
            <w:r>
              <w:rPr>
                <w:sz w:val="21"/>
                <w:szCs w:val="21"/>
              </w:rPr>
              <w:t>0.039</w:t>
            </w:r>
          </w:p>
        </w:tc>
        <w:tc>
          <w:tcPr>
            <w:tcW w:w="805" w:type="pct"/>
            <w:vAlign w:val="center"/>
          </w:tcPr>
          <w:p w14:paraId="145BE5C7">
            <w:pPr>
              <w:pStyle w:val="100"/>
              <w:adjustRightInd w:val="0"/>
              <w:snapToGrid w:val="0"/>
              <w:rPr>
                <w:sz w:val="21"/>
                <w:szCs w:val="21"/>
              </w:rPr>
            </w:pPr>
            <w:r>
              <w:rPr>
                <w:sz w:val="21"/>
                <w:szCs w:val="21"/>
              </w:rPr>
              <w:t>-0.0013</w:t>
            </w:r>
          </w:p>
        </w:tc>
      </w:tr>
      <w:tr w14:paraId="5E7FC2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787B7645">
            <w:pPr>
              <w:pStyle w:val="100"/>
              <w:adjustRightInd w:val="0"/>
              <w:snapToGrid w:val="0"/>
              <w:rPr>
                <w:sz w:val="21"/>
                <w:szCs w:val="21"/>
              </w:rPr>
            </w:pPr>
            <w:r>
              <w:rPr>
                <w:sz w:val="21"/>
                <w:szCs w:val="21"/>
              </w:rPr>
              <w:t>JC2#</w:t>
            </w:r>
          </w:p>
        </w:tc>
        <w:tc>
          <w:tcPr>
            <w:tcW w:w="1141" w:type="pct"/>
            <w:vMerge w:val="continue"/>
            <w:vAlign w:val="center"/>
          </w:tcPr>
          <w:p w14:paraId="33752F6D">
            <w:pPr>
              <w:autoSpaceDE w:val="0"/>
              <w:autoSpaceDN w:val="0"/>
              <w:adjustRightInd w:val="0"/>
              <w:snapToGrid w:val="0"/>
              <w:spacing w:line="240" w:lineRule="auto"/>
              <w:ind w:firstLine="0" w:firstLineChars="0"/>
              <w:jc w:val="center"/>
              <w:rPr>
                <w:sz w:val="21"/>
                <w:szCs w:val="21"/>
                <w:lang w:eastAsia="en-US"/>
              </w:rPr>
            </w:pPr>
          </w:p>
        </w:tc>
        <w:tc>
          <w:tcPr>
            <w:tcW w:w="481" w:type="pct"/>
            <w:vAlign w:val="center"/>
          </w:tcPr>
          <w:p w14:paraId="31A933E7">
            <w:pPr>
              <w:pStyle w:val="100"/>
              <w:adjustRightInd w:val="0"/>
              <w:snapToGrid w:val="0"/>
              <w:rPr>
                <w:sz w:val="21"/>
                <w:szCs w:val="21"/>
              </w:rPr>
            </w:pPr>
            <w:r>
              <w:rPr>
                <w:sz w:val="21"/>
                <w:szCs w:val="21"/>
              </w:rPr>
              <w:t>24.1</w:t>
            </w:r>
          </w:p>
        </w:tc>
        <w:tc>
          <w:tcPr>
            <w:tcW w:w="663" w:type="pct"/>
            <w:vAlign w:val="center"/>
          </w:tcPr>
          <w:p w14:paraId="4338ED73">
            <w:pPr>
              <w:pStyle w:val="100"/>
              <w:adjustRightInd w:val="0"/>
              <w:snapToGrid w:val="0"/>
              <w:rPr>
                <w:sz w:val="21"/>
                <w:szCs w:val="21"/>
              </w:rPr>
            </w:pPr>
            <w:r>
              <w:rPr>
                <w:sz w:val="21"/>
                <w:szCs w:val="21"/>
              </w:rPr>
              <w:t>10.9</w:t>
            </w:r>
          </w:p>
        </w:tc>
        <w:tc>
          <w:tcPr>
            <w:tcW w:w="764" w:type="pct"/>
            <w:vAlign w:val="center"/>
          </w:tcPr>
          <w:p w14:paraId="79FA2805">
            <w:pPr>
              <w:pStyle w:val="100"/>
              <w:adjustRightInd w:val="0"/>
              <w:snapToGrid w:val="0"/>
              <w:rPr>
                <w:sz w:val="21"/>
                <w:szCs w:val="21"/>
              </w:rPr>
            </w:pPr>
            <w:r>
              <w:rPr>
                <w:sz w:val="21"/>
                <w:szCs w:val="21"/>
              </w:rPr>
              <w:t>-0.069</w:t>
            </w:r>
          </w:p>
        </w:tc>
        <w:tc>
          <w:tcPr>
            <w:tcW w:w="687" w:type="pct"/>
            <w:vAlign w:val="center"/>
          </w:tcPr>
          <w:p w14:paraId="0CDE4074">
            <w:pPr>
              <w:pStyle w:val="100"/>
              <w:adjustRightInd w:val="0"/>
              <w:snapToGrid w:val="0"/>
              <w:rPr>
                <w:sz w:val="21"/>
                <w:szCs w:val="21"/>
              </w:rPr>
            </w:pPr>
            <w:r>
              <w:rPr>
                <w:sz w:val="21"/>
                <w:szCs w:val="21"/>
              </w:rPr>
              <w:t>0.123</w:t>
            </w:r>
          </w:p>
        </w:tc>
        <w:tc>
          <w:tcPr>
            <w:tcW w:w="805" w:type="pct"/>
            <w:vAlign w:val="center"/>
          </w:tcPr>
          <w:p w14:paraId="455B66B3">
            <w:pPr>
              <w:pStyle w:val="100"/>
              <w:adjustRightInd w:val="0"/>
              <w:snapToGrid w:val="0"/>
              <w:rPr>
                <w:sz w:val="21"/>
                <w:szCs w:val="21"/>
              </w:rPr>
            </w:pPr>
            <w:r>
              <w:rPr>
                <w:sz w:val="21"/>
                <w:szCs w:val="21"/>
              </w:rPr>
              <w:t>-0.0013</w:t>
            </w:r>
          </w:p>
        </w:tc>
      </w:tr>
      <w:tr w14:paraId="2BC6B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6658BAFF">
            <w:pPr>
              <w:pStyle w:val="100"/>
              <w:adjustRightInd w:val="0"/>
              <w:snapToGrid w:val="0"/>
              <w:rPr>
                <w:sz w:val="21"/>
                <w:szCs w:val="21"/>
              </w:rPr>
            </w:pPr>
            <w:r>
              <w:rPr>
                <w:sz w:val="21"/>
                <w:szCs w:val="21"/>
              </w:rPr>
              <w:t>JC3#</w:t>
            </w:r>
          </w:p>
        </w:tc>
        <w:tc>
          <w:tcPr>
            <w:tcW w:w="1141" w:type="pct"/>
            <w:vMerge w:val="continue"/>
            <w:vAlign w:val="center"/>
          </w:tcPr>
          <w:p w14:paraId="750AC5EA">
            <w:pPr>
              <w:autoSpaceDE w:val="0"/>
              <w:autoSpaceDN w:val="0"/>
              <w:adjustRightInd w:val="0"/>
              <w:snapToGrid w:val="0"/>
              <w:spacing w:line="240" w:lineRule="auto"/>
              <w:ind w:firstLine="0" w:firstLineChars="0"/>
              <w:jc w:val="center"/>
              <w:rPr>
                <w:sz w:val="21"/>
                <w:szCs w:val="21"/>
                <w:lang w:eastAsia="en-US"/>
              </w:rPr>
            </w:pPr>
          </w:p>
        </w:tc>
        <w:tc>
          <w:tcPr>
            <w:tcW w:w="481" w:type="pct"/>
            <w:vAlign w:val="center"/>
          </w:tcPr>
          <w:p w14:paraId="395796D2">
            <w:pPr>
              <w:pStyle w:val="100"/>
              <w:adjustRightInd w:val="0"/>
              <w:snapToGrid w:val="0"/>
              <w:rPr>
                <w:sz w:val="21"/>
                <w:szCs w:val="21"/>
              </w:rPr>
            </w:pPr>
            <w:r>
              <w:rPr>
                <w:sz w:val="21"/>
                <w:szCs w:val="21"/>
              </w:rPr>
              <w:t>5.7</w:t>
            </w:r>
          </w:p>
        </w:tc>
        <w:tc>
          <w:tcPr>
            <w:tcW w:w="663" w:type="pct"/>
            <w:vAlign w:val="center"/>
          </w:tcPr>
          <w:p w14:paraId="7041D705">
            <w:pPr>
              <w:pStyle w:val="100"/>
              <w:adjustRightInd w:val="0"/>
              <w:snapToGrid w:val="0"/>
              <w:rPr>
                <w:sz w:val="21"/>
                <w:szCs w:val="21"/>
              </w:rPr>
            </w:pPr>
            <w:r>
              <w:rPr>
                <w:sz w:val="21"/>
                <w:szCs w:val="21"/>
              </w:rPr>
              <w:t>2.3</w:t>
            </w:r>
          </w:p>
        </w:tc>
        <w:tc>
          <w:tcPr>
            <w:tcW w:w="764" w:type="pct"/>
            <w:vAlign w:val="center"/>
          </w:tcPr>
          <w:p w14:paraId="28E2C7C4">
            <w:pPr>
              <w:pStyle w:val="100"/>
              <w:adjustRightInd w:val="0"/>
              <w:snapToGrid w:val="0"/>
              <w:rPr>
                <w:sz w:val="21"/>
                <w:szCs w:val="21"/>
              </w:rPr>
            </w:pPr>
            <w:r>
              <w:rPr>
                <w:sz w:val="21"/>
                <w:szCs w:val="21"/>
              </w:rPr>
              <w:t>-0.015</w:t>
            </w:r>
          </w:p>
        </w:tc>
        <w:tc>
          <w:tcPr>
            <w:tcW w:w="687" w:type="pct"/>
            <w:vAlign w:val="center"/>
          </w:tcPr>
          <w:p w14:paraId="1F1661E1">
            <w:pPr>
              <w:pStyle w:val="100"/>
              <w:adjustRightInd w:val="0"/>
              <w:snapToGrid w:val="0"/>
              <w:rPr>
                <w:sz w:val="21"/>
                <w:szCs w:val="21"/>
              </w:rPr>
            </w:pPr>
            <w:r>
              <w:rPr>
                <w:sz w:val="21"/>
                <w:szCs w:val="21"/>
              </w:rPr>
              <w:t>0.007</w:t>
            </w:r>
          </w:p>
        </w:tc>
        <w:tc>
          <w:tcPr>
            <w:tcW w:w="805" w:type="pct"/>
            <w:vAlign w:val="center"/>
          </w:tcPr>
          <w:p w14:paraId="38B5A6A4">
            <w:pPr>
              <w:pStyle w:val="100"/>
              <w:adjustRightInd w:val="0"/>
              <w:snapToGrid w:val="0"/>
              <w:rPr>
                <w:sz w:val="21"/>
                <w:szCs w:val="21"/>
              </w:rPr>
            </w:pPr>
            <w:r>
              <w:rPr>
                <w:sz w:val="21"/>
                <w:szCs w:val="21"/>
              </w:rPr>
              <w:t>0.0002</w:t>
            </w:r>
          </w:p>
        </w:tc>
      </w:tr>
      <w:tr w14:paraId="157698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675A4941">
            <w:pPr>
              <w:pStyle w:val="100"/>
              <w:adjustRightInd w:val="0"/>
              <w:snapToGrid w:val="0"/>
              <w:rPr>
                <w:sz w:val="21"/>
                <w:szCs w:val="21"/>
              </w:rPr>
            </w:pPr>
            <w:r>
              <w:rPr>
                <w:sz w:val="21"/>
              </w:rPr>
              <w:t>JC4#</w:t>
            </w:r>
          </w:p>
        </w:tc>
        <w:tc>
          <w:tcPr>
            <w:tcW w:w="1141" w:type="pct"/>
            <w:vAlign w:val="center"/>
          </w:tcPr>
          <w:p w14:paraId="0DB93FBF">
            <w:pPr>
              <w:autoSpaceDE w:val="0"/>
              <w:autoSpaceDN w:val="0"/>
              <w:adjustRightInd w:val="0"/>
              <w:snapToGrid w:val="0"/>
              <w:spacing w:line="240" w:lineRule="auto"/>
              <w:ind w:firstLine="0" w:firstLineChars="0"/>
              <w:jc w:val="center"/>
              <w:rPr>
                <w:sz w:val="21"/>
                <w:szCs w:val="21"/>
                <w:lang w:eastAsia="en-US"/>
              </w:rPr>
            </w:pPr>
            <w:r>
              <w:rPr>
                <w:sz w:val="21"/>
                <w:lang w:eastAsia="en-US"/>
              </w:rPr>
              <w:t>进风井场地</w:t>
            </w:r>
          </w:p>
        </w:tc>
        <w:tc>
          <w:tcPr>
            <w:tcW w:w="481" w:type="pct"/>
            <w:vAlign w:val="center"/>
          </w:tcPr>
          <w:p w14:paraId="16CF42E7">
            <w:pPr>
              <w:pStyle w:val="100"/>
              <w:adjustRightInd w:val="0"/>
              <w:snapToGrid w:val="0"/>
              <w:rPr>
                <w:sz w:val="21"/>
                <w:szCs w:val="21"/>
              </w:rPr>
            </w:pPr>
            <w:r>
              <w:rPr>
                <w:sz w:val="21"/>
              </w:rPr>
              <w:t>5.8</w:t>
            </w:r>
          </w:p>
        </w:tc>
        <w:tc>
          <w:tcPr>
            <w:tcW w:w="663" w:type="pct"/>
            <w:vAlign w:val="center"/>
          </w:tcPr>
          <w:p w14:paraId="28465A75">
            <w:pPr>
              <w:pStyle w:val="100"/>
              <w:adjustRightInd w:val="0"/>
              <w:snapToGrid w:val="0"/>
              <w:rPr>
                <w:sz w:val="21"/>
                <w:szCs w:val="21"/>
              </w:rPr>
            </w:pPr>
            <w:r>
              <w:rPr>
                <w:sz w:val="21"/>
              </w:rPr>
              <w:t>2.2</w:t>
            </w:r>
          </w:p>
        </w:tc>
        <w:tc>
          <w:tcPr>
            <w:tcW w:w="764" w:type="pct"/>
            <w:vAlign w:val="center"/>
          </w:tcPr>
          <w:p w14:paraId="2E08F95F">
            <w:pPr>
              <w:pStyle w:val="100"/>
              <w:adjustRightInd w:val="0"/>
              <w:snapToGrid w:val="0"/>
              <w:rPr>
                <w:sz w:val="21"/>
                <w:szCs w:val="21"/>
              </w:rPr>
            </w:pPr>
            <w:r>
              <w:rPr>
                <w:sz w:val="21"/>
              </w:rPr>
              <w:t>-4.03×10</w:t>
            </w:r>
            <w:r>
              <w:rPr>
                <w:position w:val="8"/>
                <w:sz w:val="14"/>
              </w:rPr>
              <w:t>-5</w:t>
            </w:r>
          </w:p>
        </w:tc>
        <w:tc>
          <w:tcPr>
            <w:tcW w:w="687" w:type="pct"/>
            <w:vAlign w:val="center"/>
          </w:tcPr>
          <w:p w14:paraId="29537433">
            <w:pPr>
              <w:pStyle w:val="100"/>
              <w:adjustRightInd w:val="0"/>
              <w:snapToGrid w:val="0"/>
              <w:rPr>
                <w:sz w:val="21"/>
                <w:szCs w:val="21"/>
              </w:rPr>
            </w:pPr>
            <w:r>
              <w:rPr>
                <w:sz w:val="21"/>
              </w:rPr>
              <w:t>-9×10</w:t>
            </w:r>
            <w:r>
              <w:rPr>
                <w:position w:val="8"/>
                <w:sz w:val="14"/>
              </w:rPr>
              <w:t>-5</w:t>
            </w:r>
          </w:p>
        </w:tc>
        <w:tc>
          <w:tcPr>
            <w:tcW w:w="805" w:type="pct"/>
            <w:vAlign w:val="center"/>
          </w:tcPr>
          <w:p w14:paraId="019D9555">
            <w:pPr>
              <w:pStyle w:val="100"/>
              <w:adjustRightInd w:val="0"/>
              <w:snapToGrid w:val="0"/>
              <w:rPr>
                <w:sz w:val="21"/>
                <w:szCs w:val="21"/>
              </w:rPr>
            </w:pPr>
            <w:r>
              <w:rPr>
                <w:sz w:val="21"/>
              </w:rPr>
              <w:t>0.0006</w:t>
            </w:r>
          </w:p>
        </w:tc>
      </w:tr>
      <w:tr w14:paraId="3BFAA2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02A6B969">
            <w:pPr>
              <w:pStyle w:val="100"/>
              <w:adjustRightInd w:val="0"/>
              <w:snapToGrid w:val="0"/>
              <w:rPr>
                <w:sz w:val="21"/>
              </w:rPr>
            </w:pPr>
            <w:r>
              <w:rPr>
                <w:sz w:val="21"/>
              </w:rPr>
              <w:t>JC5#</w:t>
            </w:r>
          </w:p>
        </w:tc>
        <w:tc>
          <w:tcPr>
            <w:tcW w:w="1141" w:type="pct"/>
            <w:vAlign w:val="center"/>
          </w:tcPr>
          <w:p w14:paraId="5123AC69">
            <w:pPr>
              <w:autoSpaceDE w:val="0"/>
              <w:autoSpaceDN w:val="0"/>
              <w:adjustRightInd w:val="0"/>
              <w:snapToGrid w:val="0"/>
              <w:spacing w:line="240" w:lineRule="auto"/>
              <w:ind w:firstLine="0" w:firstLineChars="0"/>
              <w:jc w:val="center"/>
              <w:rPr>
                <w:sz w:val="21"/>
                <w:lang w:eastAsia="en-US"/>
              </w:rPr>
            </w:pPr>
            <w:r>
              <w:rPr>
                <w:rFonts w:eastAsia="Times New Roman"/>
                <w:sz w:val="21"/>
                <w:lang w:eastAsia="en-US"/>
              </w:rPr>
              <w:t xml:space="preserve">1 </w:t>
            </w:r>
            <w:r>
              <w:rPr>
                <w:sz w:val="21"/>
                <w:lang w:eastAsia="en-US"/>
              </w:rPr>
              <w:t>号回风井场地</w:t>
            </w:r>
          </w:p>
        </w:tc>
        <w:tc>
          <w:tcPr>
            <w:tcW w:w="481" w:type="pct"/>
            <w:vAlign w:val="center"/>
          </w:tcPr>
          <w:p w14:paraId="609A2BFC">
            <w:pPr>
              <w:pStyle w:val="100"/>
              <w:adjustRightInd w:val="0"/>
              <w:snapToGrid w:val="0"/>
              <w:rPr>
                <w:sz w:val="21"/>
              </w:rPr>
            </w:pPr>
            <w:r>
              <w:rPr>
                <w:sz w:val="21"/>
              </w:rPr>
              <w:t>5.8</w:t>
            </w:r>
          </w:p>
        </w:tc>
        <w:tc>
          <w:tcPr>
            <w:tcW w:w="663" w:type="pct"/>
            <w:vAlign w:val="center"/>
          </w:tcPr>
          <w:p w14:paraId="15964C59">
            <w:pPr>
              <w:pStyle w:val="100"/>
              <w:adjustRightInd w:val="0"/>
              <w:snapToGrid w:val="0"/>
              <w:rPr>
                <w:sz w:val="21"/>
              </w:rPr>
            </w:pPr>
            <w:r>
              <w:rPr>
                <w:sz w:val="21"/>
              </w:rPr>
              <w:t>1.1</w:t>
            </w:r>
          </w:p>
        </w:tc>
        <w:tc>
          <w:tcPr>
            <w:tcW w:w="764" w:type="pct"/>
            <w:vAlign w:val="center"/>
          </w:tcPr>
          <w:p w14:paraId="41FBB817">
            <w:pPr>
              <w:pStyle w:val="100"/>
              <w:adjustRightInd w:val="0"/>
              <w:snapToGrid w:val="0"/>
              <w:rPr>
                <w:sz w:val="21"/>
              </w:rPr>
            </w:pPr>
            <w:r>
              <w:rPr>
                <w:sz w:val="21"/>
              </w:rPr>
              <w:t>-0.002</w:t>
            </w:r>
          </w:p>
        </w:tc>
        <w:tc>
          <w:tcPr>
            <w:tcW w:w="687" w:type="pct"/>
            <w:vAlign w:val="center"/>
          </w:tcPr>
          <w:p w14:paraId="70D22850">
            <w:pPr>
              <w:pStyle w:val="100"/>
              <w:adjustRightInd w:val="0"/>
              <w:snapToGrid w:val="0"/>
              <w:rPr>
                <w:sz w:val="21"/>
              </w:rPr>
            </w:pPr>
            <w:r>
              <w:rPr>
                <w:sz w:val="21"/>
              </w:rPr>
              <w:t>-0.016</w:t>
            </w:r>
          </w:p>
        </w:tc>
        <w:tc>
          <w:tcPr>
            <w:tcW w:w="805" w:type="pct"/>
            <w:vAlign w:val="center"/>
          </w:tcPr>
          <w:p w14:paraId="49617CB9">
            <w:pPr>
              <w:pStyle w:val="100"/>
              <w:adjustRightInd w:val="0"/>
              <w:snapToGrid w:val="0"/>
              <w:rPr>
                <w:sz w:val="21"/>
              </w:rPr>
            </w:pPr>
            <w:r>
              <w:rPr>
                <w:sz w:val="21"/>
              </w:rPr>
              <w:t>0.0007</w:t>
            </w:r>
          </w:p>
        </w:tc>
      </w:tr>
      <w:tr w14:paraId="5027C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7F6F331F">
            <w:pPr>
              <w:pStyle w:val="100"/>
              <w:adjustRightInd w:val="0"/>
              <w:snapToGrid w:val="0"/>
              <w:rPr>
                <w:sz w:val="21"/>
              </w:rPr>
            </w:pPr>
            <w:r>
              <w:rPr>
                <w:sz w:val="21"/>
              </w:rPr>
              <w:t>JC6#</w:t>
            </w:r>
          </w:p>
        </w:tc>
        <w:tc>
          <w:tcPr>
            <w:tcW w:w="1141" w:type="pct"/>
            <w:vAlign w:val="center"/>
          </w:tcPr>
          <w:p w14:paraId="680932C2">
            <w:pPr>
              <w:autoSpaceDE w:val="0"/>
              <w:autoSpaceDN w:val="0"/>
              <w:adjustRightInd w:val="0"/>
              <w:snapToGrid w:val="0"/>
              <w:spacing w:line="240" w:lineRule="auto"/>
              <w:ind w:firstLine="0" w:firstLineChars="0"/>
              <w:jc w:val="center"/>
              <w:rPr>
                <w:rFonts w:eastAsia="Times New Roman"/>
                <w:sz w:val="21"/>
                <w:lang w:eastAsia="en-US"/>
              </w:rPr>
            </w:pPr>
            <w:r>
              <w:rPr>
                <w:sz w:val="21"/>
                <w:lang w:eastAsia="en-US"/>
              </w:rPr>
              <w:t>龙宫河</w:t>
            </w:r>
          </w:p>
        </w:tc>
        <w:tc>
          <w:tcPr>
            <w:tcW w:w="481" w:type="pct"/>
            <w:vAlign w:val="center"/>
          </w:tcPr>
          <w:p w14:paraId="43ED181D">
            <w:pPr>
              <w:pStyle w:val="100"/>
              <w:adjustRightInd w:val="0"/>
              <w:snapToGrid w:val="0"/>
              <w:rPr>
                <w:sz w:val="21"/>
              </w:rPr>
            </w:pPr>
            <w:r>
              <w:rPr>
                <w:sz w:val="21"/>
              </w:rPr>
              <w:t>4.9</w:t>
            </w:r>
          </w:p>
        </w:tc>
        <w:tc>
          <w:tcPr>
            <w:tcW w:w="663" w:type="pct"/>
            <w:vAlign w:val="center"/>
          </w:tcPr>
          <w:p w14:paraId="79C2EFFE">
            <w:pPr>
              <w:pStyle w:val="100"/>
              <w:adjustRightInd w:val="0"/>
              <w:snapToGrid w:val="0"/>
              <w:rPr>
                <w:sz w:val="21"/>
              </w:rPr>
            </w:pPr>
            <w:r>
              <w:rPr>
                <w:sz w:val="21"/>
              </w:rPr>
              <w:t>1.7</w:t>
            </w:r>
          </w:p>
        </w:tc>
        <w:tc>
          <w:tcPr>
            <w:tcW w:w="764" w:type="pct"/>
            <w:vAlign w:val="center"/>
          </w:tcPr>
          <w:p w14:paraId="467DCCD9">
            <w:pPr>
              <w:pStyle w:val="100"/>
              <w:adjustRightInd w:val="0"/>
              <w:snapToGrid w:val="0"/>
              <w:rPr>
                <w:sz w:val="21"/>
              </w:rPr>
            </w:pPr>
            <w:r>
              <w:rPr>
                <w:sz w:val="21"/>
              </w:rPr>
              <w:t>-0.019</w:t>
            </w:r>
          </w:p>
        </w:tc>
        <w:tc>
          <w:tcPr>
            <w:tcW w:w="687" w:type="pct"/>
            <w:vAlign w:val="center"/>
          </w:tcPr>
          <w:p w14:paraId="6328781F">
            <w:pPr>
              <w:pStyle w:val="100"/>
              <w:adjustRightInd w:val="0"/>
              <w:snapToGrid w:val="0"/>
              <w:rPr>
                <w:sz w:val="21"/>
              </w:rPr>
            </w:pPr>
            <w:r>
              <w:rPr>
                <w:sz w:val="21"/>
              </w:rPr>
              <w:t>0.018</w:t>
            </w:r>
          </w:p>
        </w:tc>
        <w:tc>
          <w:tcPr>
            <w:tcW w:w="805" w:type="pct"/>
            <w:vAlign w:val="center"/>
          </w:tcPr>
          <w:p w14:paraId="22952E8E">
            <w:pPr>
              <w:pStyle w:val="100"/>
              <w:adjustRightInd w:val="0"/>
              <w:snapToGrid w:val="0"/>
              <w:rPr>
                <w:sz w:val="21"/>
              </w:rPr>
            </w:pPr>
            <w:r>
              <w:rPr>
                <w:sz w:val="21"/>
              </w:rPr>
              <w:t>-0.0008</w:t>
            </w:r>
          </w:p>
        </w:tc>
      </w:tr>
      <w:tr w14:paraId="29B548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7576BDB5">
            <w:pPr>
              <w:pStyle w:val="100"/>
              <w:adjustRightInd w:val="0"/>
              <w:snapToGrid w:val="0"/>
              <w:rPr>
                <w:sz w:val="21"/>
              </w:rPr>
            </w:pPr>
            <w:r>
              <w:rPr>
                <w:sz w:val="21"/>
              </w:rPr>
              <w:t>JC7#</w:t>
            </w:r>
          </w:p>
        </w:tc>
        <w:tc>
          <w:tcPr>
            <w:tcW w:w="1141" w:type="pct"/>
            <w:vAlign w:val="center"/>
          </w:tcPr>
          <w:p w14:paraId="6758B03A">
            <w:pPr>
              <w:autoSpaceDE w:val="0"/>
              <w:autoSpaceDN w:val="0"/>
              <w:adjustRightInd w:val="0"/>
              <w:snapToGrid w:val="0"/>
              <w:spacing w:line="240" w:lineRule="auto"/>
              <w:ind w:firstLine="0" w:firstLineChars="0"/>
              <w:jc w:val="center"/>
              <w:rPr>
                <w:sz w:val="21"/>
                <w:lang w:eastAsia="en-US"/>
              </w:rPr>
            </w:pPr>
            <w:r>
              <w:rPr>
                <w:sz w:val="21"/>
                <w:lang w:eastAsia="en-US"/>
              </w:rPr>
              <w:t>东李庄</w:t>
            </w:r>
          </w:p>
        </w:tc>
        <w:tc>
          <w:tcPr>
            <w:tcW w:w="481" w:type="pct"/>
            <w:vAlign w:val="center"/>
          </w:tcPr>
          <w:p w14:paraId="506D9B6D">
            <w:pPr>
              <w:pStyle w:val="100"/>
              <w:adjustRightInd w:val="0"/>
              <w:snapToGrid w:val="0"/>
              <w:rPr>
                <w:sz w:val="21"/>
              </w:rPr>
            </w:pPr>
            <w:r>
              <w:rPr>
                <w:sz w:val="21"/>
              </w:rPr>
              <w:t>24.9</w:t>
            </w:r>
          </w:p>
        </w:tc>
        <w:tc>
          <w:tcPr>
            <w:tcW w:w="663" w:type="pct"/>
            <w:vAlign w:val="center"/>
          </w:tcPr>
          <w:p w14:paraId="17F09631">
            <w:pPr>
              <w:pStyle w:val="100"/>
              <w:adjustRightInd w:val="0"/>
              <w:snapToGrid w:val="0"/>
              <w:rPr>
                <w:sz w:val="21"/>
              </w:rPr>
            </w:pPr>
            <w:r>
              <w:rPr>
                <w:sz w:val="21"/>
              </w:rPr>
              <w:t>13.4</w:t>
            </w:r>
          </w:p>
        </w:tc>
        <w:tc>
          <w:tcPr>
            <w:tcW w:w="764" w:type="pct"/>
            <w:vAlign w:val="center"/>
          </w:tcPr>
          <w:p w14:paraId="03BE975E">
            <w:pPr>
              <w:pStyle w:val="100"/>
              <w:adjustRightInd w:val="0"/>
              <w:snapToGrid w:val="0"/>
              <w:rPr>
                <w:sz w:val="21"/>
              </w:rPr>
            </w:pPr>
            <w:r>
              <w:rPr>
                <w:sz w:val="21"/>
              </w:rPr>
              <w:t>-0.022</w:t>
            </w:r>
          </w:p>
        </w:tc>
        <w:tc>
          <w:tcPr>
            <w:tcW w:w="687" w:type="pct"/>
            <w:vAlign w:val="center"/>
          </w:tcPr>
          <w:p w14:paraId="41C1A227">
            <w:pPr>
              <w:pStyle w:val="100"/>
              <w:adjustRightInd w:val="0"/>
              <w:snapToGrid w:val="0"/>
              <w:rPr>
                <w:sz w:val="21"/>
              </w:rPr>
            </w:pPr>
            <w:r>
              <w:rPr>
                <w:sz w:val="21"/>
              </w:rPr>
              <w:t>-0.019</w:t>
            </w:r>
          </w:p>
        </w:tc>
        <w:tc>
          <w:tcPr>
            <w:tcW w:w="805" w:type="pct"/>
            <w:vAlign w:val="center"/>
          </w:tcPr>
          <w:p w14:paraId="3C768411">
            <w:pPr>
              <w:pStyle w:val="100"/>
              <w:adjustRightInd w:val="0"/>
              <w:snapToGrid w:val="0"/>
              <w:rPr>
                <w:sz w:val="21"/>
              </w:rPr>
            </w:pPr>
            <w:r>
              <w:rPr>
                <w:sz w:val="21"/>
              </w:rPr>
              <w:t>0.0006</w:t>
            </w:r>
          </w:p>
        </w:tc>
      </w:tr>
      <w:tr w14:paraId="61908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2BB6F9AA">
            <w:pPr>
              <w:pStyle w:val="100"/>
              <w:adjustRightInd w:val="0"/>
              <w:snapToGrid w:val="0"/>
              <w:rPr>
                <w:sz w:val="21"/>
              </w:rPr>
            </w:pPr>
            <w:r>
              <w:rPr>
                <w:sz w:val="21"/>
              </w:rPr>
              <w:t>JC8#</w:t>
            </w:r>
          </w:p>
        </w:tc>
        <w:tc>
          <w:tcPr>
            <w:tcW w:w="1141" w:type="pct"/>
            <w:vAlign w:val="center"/>
          </w:tcPr>
          <w:p w14:paraId="2594B318">
            <w:pPr>
              <w:autoSpaceDE w:val="0"/>
              <w:autoSpaceDN w:val="0"/>
              <w:adjustRightInd w:val="0"/>
              <w:snapToGrid w:val="0"/>
              <w:spacing w:line="240" w:lineRule="auto"/>
              <w:ind w:firstLine="0" w:firstLineChars="0"/>
              <w:jc w:val="center"/>
              <w:rPr>
                <w:sz w:val="21"/>
                <w:lang w:eastAsia="en-US"/>
              </w:rPr>
            </w:pPr>
            <w:r>
              <w:rPr>
                <w:sz w:val="21"/>
                <w:lang w:eastAsia="en-US"/>
              </w:rPr>
              <w:t>李纸坊</w:t>
            </w:r>
          </w:p>
        </w:tc>
        <w:tc>
          <w:tcPr>
            <w:tcW w:w="481" w:type="pct"/>
            <w:vAlign w:val="center"/>
          </w:tcPr>
          <w:p w14:paraId="54A76C5F">
            <w:pPr>
              <w:pStyle w:val="100"/>
              <w:adjustRightInd w:val="0"/>
              <w:snapToGrid w:val="0"/>
              <w:rPr>
                <w:sz w:val="21"/>
              </w:rPr>
            </w:pPr>
            <w:r>
              <w:rPr>
                <w:sz w:val="21"/>
              </w:rPr>
              <w:t>12.2</w:t>
            </w:r>
          </w:p>
        </w:tc>
        <w:tc>
          <w:tcPr>
            <w:tcW w:w="663" w:type="pct"/>
            <w:vAlign w:val="center"/>
          </w:tcPr>
          <w:p w14:paraId="35F54B62">
            <w:pPr>
              <w:pStyle w:val="100"/>
              <w:adjustRightInd w:val="0"/>
              <w:snapToGrid w:val="0"/>
              <w:rPr>
                <w:sz w:val="21"/>
              </w:rPr>
            </w:pPr>
            <w:r>
              <w:rPr>
                <w:sz w:val="21"/>
              </w:rPr>
              <w:t>4.3</w:t>
            </w:r>
          </w:p>
        </w:tc>
        <w:tc>
          <w:tcPr>
            <w:tcW w:w="764" w:type="pct"/>
            <w:vAlign w:val="center"/>
          </w:tcPr>
          <w:p w14:paraId="1E59C466">
            <w:pPr>
              <w:pStyle w:val="100"/>
              <w:adjustRightInd w:val="0"/>
              <w:snapToGrid w:val="0"/>
              <w:rPr>
                <w:sz w:val="21"/>
              </w:rPr>
            </w:pPr>
            <w:r>
              <w:rPr>
                <w:sz w:val="21"/>
              </w:rPr>
              <w:t>0.004</w:t>
            </w:r>
          </w:p>
        </w:tc>
        <w:tc>
          <w:tcPr>
            <w:tcW w:w="687" w:type="pct"/>
            <w:vAlign w:val="center"/>
          </w:tcPr>
          <w:p w14:paraId="74D02FB4">
            <w:pPr>
              <w:pStyle w:val="100"/>
              <w:adjustRightInd w:val="0"/>
              <w:snapToGrid w:val="0"/>
              <w:rPr>
                <w:sz w:val="21"/>
              </w:rPr>
            </w:pPr>
            <w:r>
              <w:rPr>
                <w:sz w:val="21"/>
              </w:rPr>
              <w:t>-0.019</w:t>
            </w:r>
          </w:p>
        </w:tc>
        <w:tc>
          <w:tcPr>
            <w:tcW w:w="805" w:type="pct"/>
            <w:vAlign w:val="center"/>
          </w:tcPr>
          <w:p w14:paraId="71C3047F">
            <w:pPr>
              <w:pStyle w:val="100"/>
              <w:adjustRightInd w:val="0"/>
              <w:snapToGrid w:val="0"/>
              <w:rPr>
                <w:sz w:val="21"/>
              </w:rPr>
            </w:pPr>
            <w:r>
              <w:rPr>
                <w:sz w:val="21"/>
              </w:rPr>
              <w:t>0.0006</w:t>
            </w:r>
          </w:p>
        </w:tc>
      </w:tr>
      <w:tr w14:paraId="0B473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1337CE84">
            <w:pPr>
              <w:pStyle w:val="100"/>
              <w:adjustRightInd w:val="0"/>
              <w:snapToGrid w:val="0"/>
              <w:rPr>
                <w:sz w:val="21"/>
              </w:rPr>
            </w:pPr>
            <w:r>
              <w:rPr>
                <w:sz w:val="21"/>
              </w:rPr>
              <w:t>JC9#</w:t>
            </w:r>
          </w:p>
        </w:tc>
        <w:tc>
          <w:tcPr>
            <w:tcW w:w="1141" w:type="pct"/>
            <w:vAlign w:val="center"/>
          </w:tcPr>
          <w:p w14:paraId="5EFA5E17">
            <w:pPr>
              <w:autoSpaceDE w:val="0"/>
              <w:autoSpaceDN w:val="0"/>
              <w:adjustRightInd w:val="0"/>
              <w:snapToGrid w:val="0"/>
              <w:spacing w:line="240" w:lineRule="auto"/>
              <w:ind w:firstLine="0" w:firstLineChars="0"/>
              <w:jc w:val="center"/>
              <w:rPr>
                <w:sz w:val="21"/>
                <w:lang w:eastAsia="en-US"/>
              </w:rPr>
            </w:pPr>
            <w:r>
              <w:rPr>
                <w:sz w:val="21"/>
                <w:lang w:eastAsia="en-US"/>
              </w:rPr>
              <w:t>西郭庄</w:t>
            </w:r>
          </w:p>
        </w:tc>
        <w:tc>
          <w:tcPr>
            <w:tcW w:w="481" w:type="pct"/>
            <w:vAlign w:val="center"/>
          </w:tcPr>
          <w:p w14:paraId="45F884C7">
            <w:pPr>
              <w:pStyle w:val="100"/>
              <w:adjustRightInd w:val="0"/>
              <w:snapToGrid w:val="0"/>
              <w:rPr>
                <w:sz w:val="21"/>
              </w:rPr>
            </w:pPr>
            <w:r>
              <w:rPr>
                <w:sz w:val="21"/>
              </w:rPr>
              <w:t>6.4</w:t>
            </w:r>
          </w:p>
        </w:tc>
        <w:tc>
          <w:tcPr>
            <w:tcW w:w="663" w:type="pct"/>
            <w:vAlign w:val="center"/>
          </w:tcPr>
          <w:p w14:paraId="6A0A99C3">
            <w:pPr>
              <w:pStyle w:val="100"/>
              <w:adjustRightInd w:val="0"/>
              <w:snapToGrid w:val="0"/>
              <w:rPr>
                <w:sz w:val="21"/>
              </w:rPr>
            </w:pPr>
            <w:r>
              <w:rPr>
                <w:sz w:val="21"/>
              </w:rPr>
              <w:t>1.7</w:t>
            </w:r>
          </w:p>
        </w:tc>
        <w:tc>
          <w:tcPr>
            <w:tcW w:w="764" w:type="pct"/>
            <w:vAlign w:val="center"/>
          </w:tcPr>
          <w:p w14:paraId="33B9B504">
            <w:pPr>
              <w:pStyle w:val="100"/>
              <w:adjustRightInd w:val="0"/>
              <w:snapToGrid w:val="0"/>
              <w:rPr>
                <w:sz w:val="21"/>
              </w:rPr>
            </w:pPr>
            <w:r>
              <w:rPr>
                <w:sz w:val="21"/>
              </w:rPr>
              <w:t>-0.003</w:t>
            </w:r>
          </w:p>
        </w:tc>
        <w:tc>
          <w:tcPr>
            <w:tcW w:w="687" w:type="pct"/>
            <w:vAlign w:val="center"/>
          </w:tcPr>
          <w:p w14:paraId="766238DC">
            <w:pPr>
              <w:pStyle w:val="100"/>
              <w:adjustRightInd w:val="0"/>
              <w:snapToGrid w:val="0"/>
              <w:rPr>
                <w:sz w:val="21"/>
              </w:rPr>
            </w:pPr>
            <w:r>
              <w:rPr>
                <w:sz w:val="21"/>
              </w:rPr>
              <w:t>0.018</w:t>
            </w:r>
          </w:p>
        </w:tc>
        <w:tc>
          <w:tcPr>
            <w:tcW w:w="805" w:type="pct"/>
            <w:vAlign w:val="center"/>
          </w:tcPr>
          <w:p w14:paraId="312C4B08">
            <w:pPr>
              <w:pStyle w:val="100"/>
              <w:adjustRightInd w:val="0"/>
              <w:snapToGrid w:val="0"/>
              <w:rPr>
                <w:sz w:val="21"/>
              </w:rPr>
            </w:pPr>
            <w:r>
              <w:rPr>
                <w:sz w:val="21"/>
              </w:rPr>
              <w:t>-2×10</w:t>
            </w:r>
            <w:r>
              <w:rPr>
                <w:position w:val="8"/>
                <w:sz w:val="14"/>
              </w:rPr>
              <w:t>-6</w:t>
            </w:r>
          </w:p>
        </w:tc>
      </w:tr>
      <w:tr w14:paraId="3196CA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59" w:type="pct"/>
            <w:vAlign w:val="center"/>
          </w:tcPr>
          <w:p w14:paraId="22C9AB3B">
            <w:pPr>
              <w:pStyle w:val="100"/>
              <w:adjustRightInd w:val="0"/>
              <w:snapToGrid w:val="0"/>
              <w:rPr>
                <w:sz w:val="21"/>
              </w:rPr>
            </w:pPr>
            <w:r>
              <w:rPr>
                <w:sz w:val="21"/>
              </w:rPr>
              <w:t>JC10#</w:t>
            </w:r>
          </w:p>
        </w:tc>
        <w:tc>
          <w:tcPr>
            <w:tcW w:w="1141" w:type="pct"/>
            <w:vAlign w:val="center"/>
          </w:tcPr>
          <w:p w14:paraId="2DBAB97F">
            <w:pPr>
              <w:pStyle w:val="100"/>
              <w:adjustRightInd w:val="0"/>
              <w:snapToGrid w:val="0"/>
              <w:rPr>
                <w:sz w:val="21"/>
              </w:rPr>
            </w:pPr>
            <w:r>
              <w:rPr>
                <w:rFonts w:hint="eastAsia" w:ascii="宋体" w:hAnsi="宋体" w:eastAsia="宋体" w:cs="宋体"/>
                <w:sz w:val="21"/>
              </w:rPr>
              <w:t>距离董梁高速</w:t>
            </w:r>
            <w:r>
              <w:rPr>
                <w:sz w:val="21"/>
              </w:rPr>
              <w:t xml:space="preserve">525m </w:t>
            </w:r>
            <w:r>
              <w:rPr>
                <w:rFonts w:hint="eastAsia" w:ascii="宋体" w:hAnsi="宋体" w:eastAsia="宋体" w:cs="宋体"/>
                <w:sz w:val="21"/>
              </w:rPr>
              <w:t>处</w:t>
            </w:r>
          </w:p>
        </w:tc>
        <w:tc>
          <w:tcPr>
            <w:tcW w:w="481" w:type="pct"/>
            <w:vAlign w:val="center"/>
          </w:tcPr>
          <w:p w14:paraId="6F6B066A">
            <w:pPr>
              <w:pStyle w:val="100"/>
              <w:adjustRightInd w:val="0"/>
              <w:snapToGrid w:val="0"/>
              <w:rPr>
                <w:sz w:val="21"/>
              </w:rPr>
            </w:pPr>
            <w:r>
              <w:rPr>
                <w:sz w:val="21"/>
              </w:rPr>
              <w:t>8.2</w:t>
            </w:r>
          </w:p>
        </w:tc>
        <w:tc>
          <w:tcPr>
            <w:tcW w:w="663" w:type="pct"/>
            <w:vAlign w:val="center"/>
          </w:tcPr>
          <w:p w14:paraId="77E20312">
            <w:pPr>
              <w:pStyle w:val="100"/>
              <w:adjustRightInd w:val="0"/>
              <w:snapToGrid w:val="0"/>
              <w:rPr>
                <w:sz w:val="21"/>
              </w:rPr>
            </w:pPr>
            <w:r>
              <w:rPr>
                <w:sz w:val="21"/>
              </w:rPr>
              <w:t>1.1</w:t>
            </w:r>
          </w:p>
        </w:tc>
        <w:tc>
          <w:tcPr>
            <w:tcW w:w="764" w:type="pct"/>
            <w:vAlign w:val="center"/>
          </w:tcPr>
          <w:p w14:paraId="349CBF67">
            <w:pPr>
              <w:pStyle w:val="100"/>
              <w:adjustRightInd w:val="0"/>
              <w:snapToGrid w:val="0"/>
              <w:rPr>
                <w:sz w:val="21"/>
              </w:rPr>
            </w:pPr>
            <w:r>
              <w:rPr>
                <w:sz w:val="21"/>
              </w:rPr>
              <w:t>-0.02</w:t>
            </w:r>
          </w:p>
        </w:tc>
        <w:tc>
          <w:tcPr>
            <w:tcW w:w="687" w:type="pct"/>
            <w:vAlign w:val="center"/>
          </w:tcPr>
          <w:p w14:paraId="7C67A19D">
            <w:pPr>
              <w:pStyle w:val="100"/>
              <w:adjustRightInd w:val="0"/>
              <w:snapToGrid w:val="0"/>
              <w:rPr>
                <w:sz w:val="21"/>
              </w:rPr>
            </w:pPr>
            <w:r>
              <w:rPr>
                <w:sz w:val="21"/>
              </w:rPr>
              <w:t>0.022</w:t>
            </w:r>
          </w:p>
        </w:tc>
        <w:tc>
          <w:tcPr>
            <w:tcW w:w="805" w:type="pct"/>
            <w:vAlign w:val="center"/>
          </w:tcPr>
          <w:p w14:paraId="2EB00404">
            <w:pPr>
              <w:pStyle w:val="100"/>
              <w:adjustRightInd w:val="0"/>
              <w:snapToGrid w:val="0"/>
              <w:rPr>
                <w:sz w:val="21"/>
              </w:rPr>
            </w:pPr>
            <w:r>
              <w:rPr>
                <w:sz w:val="21"/>
              </w:rPr>
              <w:t>0.0005</w:t>
            </w:r>
          </w:p>
        </w:tc>
      </w:tr>
    </w:tbl>
    <w:p w14:paraId="608A084D">
      <w:pPr>
        <w:adjustRightInd w:val="0"/>
        <w:snapToGrid w:val="0"/>
        <w:spacing w:line="360" w:lineRule="auto"/>
        <w:ind w:firstLine="560"/>
        <w:rPr>
          <w:rFonts w:asciiTheme="minorHAnsi" w:hAnsiTheme="minorHAnsi" w:cstheme="minorHAnsi"/>
          <w:kern w:val="0"/>
          <w:szCs w:val="28"/>
        </w:rPr>
      </w:pPr>
    </w:p>
    <w:p w14:paraId="4B9F266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 xml:space="preserve">将上表的三维有限元数值模拟定点的计算结果与允许变形值进行对比汇总，形成统计表 </w:t>
      </w:r>
      <w:r>
        <w:rPr>
          <w:rFonts w:asciiTheme="minorHAnsi" w:hAnsiTheme="minorHAnsi" w:cstheme="minorHAnsi"/>
          <w:kern w:val="0"/>
          <w:szCs w:val="28"/>
        </w:rPr>
        <w:t>3.1-6</w:t>
      </w:r>
      <w:r>
        <w:rPr>
          <w:rFonts w:hint="eastAsia" w:asciiTheme="minorHAnsi" w:hAnsiTheme="minorHAnsi" w:cstheme="minorHAnsi"/>
          <w:kern w:val="0"/>
          <w:szCs w:val="28"/>
        </w:rPr>
        <w:t>。</w:t>
      </w:r>
    </w:p>
    <w:p w14:paraId="3E1F11F2">
      <w:pPr>
        <w:adjustRightInd w:val="0"/>
        <w:snapToGrid w:val="0"/>
        <w:spacing w:line="360" w:lineRule="auto"/>
        <w:ind w:firstLine="560"/>
        <w:jc w:val="center"/>
        <w:rPr>
          <w:rFonts w:asciiTheme="minorHAnsi" w:hAnsiTheme="minorHAnsi" w:cstheme="minorHAnsi"/>
          <w:kern w:val="0"/>
          <w:szCs w:val="28"/>
        </w:rPr>
      </w:pPr>
      <w:r>
        <w:rPr>
          <w:rFonts w:hint="eastAsia" w:asciiTheme="minorHAnsi" w:hAnsiTheme="minorHAnsi" w:cstheme="minorHAnsi"/>
          <w:kern w:val="0"/>
          <w:szCs w:val="28"/>
        </w:rPr>
        <w:t xml:space="preserve">表 </w:t>
      </w:r>
      <w:r>
        <w:rPr>
          <w:rFonts w:asciiTheme="minorHAnsi" w:hAnsiTheme="minorHAnsi" w:cstheme="minorHAnsi"/>
          <w:kern w:val="0"/>
          <w:szCs w:val="28"/>
        </w:rPr>
        <w:t>3.1-6</w:t>
      </w:r>
      <w:r>
        <w:rPr>
          <w:rFonts w:hint="eastAsia" w:asciiTheme="minorHAnsi" w:hAnsiTheme="minorHAnsi" w:cstheme="minorHAnsi"/>
          <w:kern w:val="0"/>
          <w:szCs w:val="28"/>
        </w:rPr>
        <w:t xml:space="preserve"> 各测点结果与允许变形值对比表</w:t>
      </w:r>
    </w:p>
    <w:tbl>
      <w:tblPr>
        <w:tblStyle w:val="9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30"/>
        <w:gridCol w:w="2147"/>
        <w:gridCol w:w="1039"/>
        <w:gridCol w:w="1235"/>
        <w:gridCol w:w="1514"/>
        <w:gridCol w:w="1612"/>
        <w:gridCol w:w="931"/>
      </w:tblGrid>
      <w:tr w14:paraId="7263C2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exact"/>
        </w:trPr>
        <w:tc>
          <w:tcPr>
            <w:tcW w:w="446" w:type="pct"/>
            <w:vAlign w:val="center"/>
          </w:tcPr>
          <w:p w14:paraId="15F1B2FD">
            <w:pPr>
              <w:pStyle w:val="100"/>
              <w:adjustRightInd w:val="0"/>
              <w:snapToGrid w:val="0"/>
              <w:rPr>
                <w:rFonts w:eastAsia="宋体"/>
                <w:sz w:val="21"/>
              </w:rPr>
            </w:pPr>
            <w:r>
              <w:rPr>
                <w:rFonts w:eastAsia="宋体"/>
                <w:sz w:val="21"/>
              </w:rPr>
              <w:t>地表</w:t>
            </w:r>
          </w:p>
          <w:p w14:paraId="746C6042">
            <w:pPr>
              <w:pStyle w:val="100"/>
              <w:adjustRightInd w:val="0"/>
              <w:snapToGrid w:val="0"/>
              <w:rPr>
                <w:rFonts w:eastAsia="宋体"/>
                <w:sz w:val="21"/>
              </w:rPr>
            </w:pPr>
            <w:r>
              <w:rPr>
                <w:rFonts w:eastAsia="宋体"/>
                <w:sz w:val="21"/>
              </w:rPr>
              <w:t>测点编号</w:t>
            </w:r>
          </w:p>
        </w:tc>
        <w:tc>
          <w:tcPr>
            <w:tcW w:w="1153" w:type="pct"/>
            <w:vAlign w:val="center"/>
          </w:tcPr>
          <w:p w14:paraId="64BB0474">
            <w:pPr>
              <w:pStyle w:val="100"/>
              <w:adjustRightInd w:val="0"/>
              <w:snapToGrid w:val="0"/>
              <w:rPr>
                <w:rFonts w:eastAsia="宋体"/>
                <w:sz w:val="21"/>
              </w:rPr>
            </w:pPr>
            <w:r>
              <w:rPr>
                <w:rFonts w:eastAsia="宋体"/>
                <w:sz w:val="21"/>
              </w:rPr>
              <w:t>代表区域</w:t>
            </w:r>
          </w:p>
        </w:tc>
        <w:tc>
          <w:tcPr>
            <w:tcW w:w="558" w:type="pct"/>
            <w:vAlign w:val="center"/>
          </w:tcPr>
          <w:p w14:paraId="75A6BBAA">
            <w:pPr>
              <w:pStyle w:val="100"/>
              <w:adjustRightInd w:val="0"/>
              <w:snapToGrid w:val="0"/>
              <w:rPr>
                <w:rFonts w:eastAsia="宋体"/>
                <w:sz w:val="21"/>
              </w:rPr>
            </w:pPr>
            <w:r>
              <w:rPr>
                <w:rFonts w:eastAsia="宋体"/>
                <w:sz w:val="21"/>
              </w:rPr>
              <w:t>水平变形</w:t>
            </w:r>
          </w:p>
          <w:p w14:paraId="187A6DAF">
            <w:pPr>
              <w:pStyle w:val="100"/>
              <w:adjustRightInd w:val="0"/>
              <w:snapToGrid w:val="0"/>
              <w:rPr>
                <w:rFonts w:eastAsia="宋体"/>
                <w:sz w:val="21"/>
              </w:rPr>
            </w:pPr>
            <w:r>
              <w:rPr>
                <w:rFonts w:eastAsia="宋体"/>
                <w:sz w:val="21"/>
              </w:rPr>
              <w:t>（mm/m）</w:t>
            </w:r>
          </w:p>
        </w:tc>
        <w:tc>
          <w:tcPr>
            <w:tcW w:w="663" w:type="pct"/>
            <w:vAlign w:val="center"/>
          </w:tcPr>
          <w:p w14:paraId="2BCE8F0B">
            <w:pPr>
              <w:pStyle w:val="100"/>
              <w:adjustRightInd w:val="0"/>
              <w:snapToGrid w:val="0"/>
              <w:rPr>
                <w:rFonts w:eastAsia="宋体"/>
                <w:sz w:val="21"/>
              </w:rPr>
            </w:pPr>
            <w:r>
              <w:rPr>
                <w:rFonts w:eastAsia="宋体"/>
                <w:sz w:val="21"/>
              </w:rPr>
              <w:t>倾斜</w:t>
            </w:r>
          </w:p>
          <w:p w14:paraId="2E5262E0">
            <w:pPr>
              <w:pStyle w:val="100"/>
              <w:adjustRightInd w:val="0"/>
              <w:snapToGrid w:val="0"/>
              <w:rPr>
                <w:rFonts w:eastAsia="宋体"/>
                <w:sz w:val="21"/>
              </w:rPr>
            </w:pPr>
            <w:r>
              <w:rPr>
                <w:rFonts w:eastAsia="宋体"/>
                <w:sz w:val="21"/>
              </w:rPr>
              <w:t>（mm/m）</w:t>
            </w:r>
          </w:p>
        </w:tc>
        <w:tc>
          <w:tcPr>
            <w:tcW w:w="813" w:type="pct"/>
            <w:vAlign w:val="center"/>
          </w:tcPr>
          <w:p w14:paraId="2E6C9A30">
            <w:pPr>
              <w:pStyle w:val="100"/>
              <w:adjustRightInd w:val="0"/>
              <w:snapToGrid w:val="0"/>
              <w:rPr>
                <w:rFonts w:eastAsia="宋体"/>
                <w:sz w:val="21"/>
              </w:rPr>
            </w:pPr>
            <w:r>
              <w:rPr>
                <w:rFonts w:eastAsia="宋体"/>
                <w:sz w:val="21"/>
              </w:rPr>
              <w:t>曲率（10</w:t>
            </w:r>
            <w:r>
              <w:rPr>
                <w:rFonts w:eastAsia="宋体"/>
                <w:position w:val="8"/>
                <w:sz w:val="14"/>
              </w:rPr>
              <w:t>-3</w:t>
            </w:r>
            <w:r>
              <w:rPr>
                <w:rFonts w:eastAsia="宋体"/>
                <w:sz w:val="21"/>
              </w:rPr>
              <w:t>/m）</w:t>
            </w:r>
          </w:p>
        </w:tc>
        <w:tc>
          <w:tcPr>
            <w:tcW w:w="866" w:type="pct"/>
            <w:vAlign w:val="center"/>
          </w:tcPr>
          <w:p w14:paraId="1763EE98">
            <w:pPr>
              <w:pStyle w:val="100"/>
              <w:adjustRightInd w:val="0"/>
              <w:snapToGrid w:val="0"/>
              <w:rPr>
                <w:rFonts w:eastAsia="宋体"/>
                <w:sz w:val="21"/>
              </w:rPr>
            </w:pPr>
            <w:r>
              <w:rPr>
                <w:rFonts w:eastAsia="宋体"/>
                <w:sz w:val="21"/>
              </w:rPr>
              <w:t>允许变形值（</w:t>
            </w:r>
            <w:r>
              <w:rPr>
                <w:rFonts w:eastAsia="宋体"/>
                <w:spacing w:val="-1"/>
                <w:sz w:val="21"/>
              </w:rPr>
              <w:t>Ⅰ</w:t>
            </w:r>
            <w:r>
              <w:rPr>
                <w:rFonts w:eastAsia="宋体"/>
                <w:sz w:val="21"/>
              </w:rPr>
              <w:t>级）</w:t>
            </w:r>
          </w:p>
        </w:tc>
        <w:tc>
          <w:tcPr>
            <w:tcW w:w="500" w:type="pct"/>
            <w:vAlign w:val="center"/>
          </w:tcPr>
          <w:p w14:paraId="6FC4F7CF">
            <w:pPr>
              <w:pStyle w:val="100"/>
              <w:adjustRightInd w:val="0"/>
              <w:snapToGrid w:val="0"/>
              <w:rPr>
                <w:rFonts w:eastAsia="宋体"/>
                <w:sz w:val="21"/>
              </w:rPr>
            </w:pPr>
            <w:r>
              <w:rPr>
                <w:rFonts w:eastAsia="宋体"/>
                <w:sz w:val="21"/>
              </w:rPr>
              <w:t>是否超过允许值</w:t>
            </w:r>
          </w:p>
        </w:tc>
      </w:tr>
      <w:tr w14:paraId="13512E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exact"/>
        </w:trPr>
        <w:tc>
          <w:tcPr>
            <w:tcW w:w="446" w:type="pct"/>
            <w:vAlign w:val="center"/>
          </w:tcPr>
          <w:p w14:paraId="78183E51">
            <w:pPr>
              <w:pStyle w:val="100"/>
              <w:adjustRightInd w:val="0"/>
              <w:snapToGrid w:val="0"/>
              <w:rPr>
                <w:rFonts w:eastAsia="宋体"/>
                <w:sz w:val="21"/>
              </w:rPr>
            </w:pPr>
            <w:r>
              <w:rPr>
                <w:rFonts w:eastAsia="宋体"/>
                <w:sz w:val="21"/>
              </w:rPr>
              <w:t>JC1#</w:t>
            </w:r>
          </w:p>
        </w:tc>
        <w:tc>
          <w:tcPr>
            <w:tcW w:w="1153" w:type="pct"/>
            <w:vMerge w:val="restart"/>
            <w:vAlign w:val="center"/>
          </w:tcPr>
          <w:p w14:paraId="11F5EFDF">
            <w:pPr>
              <w:pStyle w:val="100"/>
              <w:adjustRightInd w:val="0"/>
              <w:snapToGrid w:val="0"/>
              <w:rPr>
                <w:rFonts w:eastAsia="宋体"/>
                <w:sz w:val="21"/>
              </w:rPr>
            </w:pPr>
            <w:r>
              <w:rPr>
                <w:rFonts w:eastAsia="宋体"/>
                <w:sz w:val="21"/>
              </w:rPr>
              <w:t>高压线塔基</w:t>
            </w:r>
          </w:p>
        </w:tc>
        <w:tc>
          <w:tcPr>
            <w:tcW w:w="558" w:type="pct"/>
            <w:vAlign w:val="center"/>
          </w:tcPr>
          <w:p w14:paraId="230009C4">
            <w:pPr>
              <w:pStyle w:val="100"/>
              <w:adjustRightInd w:val="0"/>
              <w:snapToGrid w:val="0"/>
              <w:rPr>
                <w:rFonts w:eastAsia="宋体"/>
                <w:sz w:val="21"/>
              </w:rPr>
            </w:pPr>
            <w:r>
              <w:rPr>
                <w:rFonts w:eastAsia="宋体"/>
                <w:sz w:val="21"/>
              </w:rPr>
              <w:t>-0.016</w:t>
            </w:r>
          </w:p>
        </w:tc>
        <w:tc>
          <w:tcPr>
            <w:tcW w:w="663" w:type="pct"/>
            <w:vAlign w:val="center"/>
          </w:tcPr>
          <w:p w14:paraId="5383702E">
            <w:pPr>
              <w:pStyle w:val="100"/>
              <w:adjustRightInd w:val="0"/>
              <w:snapToGrid w:val="0"/>
              <w:rPr>
                <w:rFonts w:eastAsia="宋体"/>
                <w:sz w:val="21"/>
              </w:rPr>
            </w:pPr>
            <w:r>
              <w:rPr>
                <w:rFonts w:eastAsia="宋体"/>
                <w:sz w:val="21"/>
              </w:rPr>
              <w:t>0.039</w:t>
            </w:r>
          </w:p>
        </w:tc>
        <w:tc>
          <w:tcPr>
            <w:tcW w:w="813" w:type="pct"/>
            <w:vAlign w:val="center"/>
          </w:tcPr>
          <w:p w14:paraId="74737597">
            <w:pPr>
              <w:pStyle w:val="100"/>
              <w:adjustRightInd w:val="0"/>
              <w:snapToGrid w:val="0"/>
              <w:rPr>
                <w:rFonts w:eastAsia="宋体"/>
                <w:sz w:val="21"/>
              </w:rPr>
            </w:pPr>
            <w:r>
              <w:rPr>
                <w:rFonts w:eastAsia="宋体"/>
                <w:sz w:val="21"/>
              </w:rPr>
              <w:t>-0.0013</w:t>
            </w:r>
          </w:p>
        </w:tc>
        <w:tc>
          <w:tcPr>
            <w:tcW w:w="866" w:type="pct"/>
            <w:vMerge w:val="restart"/>
            <w:vAlign w:val="center"/>
          </w:tcPr>
          <w:p w14:paraId="71C740D1">
            <w:pPr>
              <w:pStyle w:val="100"/>
              <w:adjustRightInd w:val="0"/>
              <w:snapToGrid w:val="0"/>
              <w:rPr>
                <w:rFonts w:eastAsia="宋体"/>
                <w:sz w:val="21"/>
                <w:lang w:eastAsia="zh-CN"/>
              </w:rPr>
            </w:pPr>
            <w:r>
              <w:rPr>
                <w:rFonts w:eastAsia="宋体"/>
                <w:sz w:val="21"/>
                <w:lang w:eastAsia="zh-CN"/>
              </w:rPr>
              <w:t>水平变形±2mm/m</w:t>
            </w:r>
          </w:p>
          <w:p w14:paraId="08D03832">
            <w:pPr>
              <w:pStyle w:val="100"/>
              <w:adjustRightInd w:val="0"/>
              <w:snapToGrid w:val="0"/>
              <w:rPr>
                <w:rFonts w:eastAsia="宋体"/>
                <w:sz w:val="21"/>
                <w:lang w:eastAsia="zh-CN"/>
              </w:rPr>
            </w:pPr>
            <w:r>
              <w:rPr>
                <w:rFonts w:eastAsia="宋体"/>
                <w:sz w:val="21"/>
                <w:lang w:eastAsia="zh-CN"/>
              </w:rPr>
              <w:t>倾斜±3mm/m</w:t>
            </w:r>
          </w:p>
          <w:p w14:paraId="1F59C2FA">
            <w:pPr>
              <w:pStyle w:val="100"/>
              <w:adjustRightInd w:val="0"/>
              <w:snapToGrid w:val="0"/>
              <w:rPr>
                <w:rFonts w:eastAsia="宋体"/>
                <w:sz w:val="21"/>
                <w:lang w:eastAsia="zh-CN"/>
              </w:rPr>
            </w:pPr>
            <w:r>
              <w:rPr>
                <w:rFonts w:eastAsia="宋体"/>
                <w:sz w:val="21"/>
                <w:lang w:eastAsia="zh-CN"/>
              </w:rPr>
              <w:t>曲率±0.2×10</w:t>
            </w:r>
            <w:r>
              <w:rPr>
                <w:rFonts w:eastAsia="宋体"/>
                <w:position w:val="8"/>
                <w:sz w:val="14"/>
                <w:lang w:eastAsia="zh-CN"/>
              </w:rPr>
              <w:t>-3</w:t>
            </w:r>
            <w:r>
              <w:rPr>
                <w:rFonts w:eastAsia="宋体"/>
                <w:sz w:val="21"/>
                <w:lang w:eastAsia="zh-CN"/>
              </w:rPr>
              <w:t>/m</w:t>
            </w:r>
          </w:p>
        </w:tc>
        <w:tc>
          <w:tcPr>
            <w:tcW w:w="500" w:type="pct"/>
            <w:vAlign w:val="center"/>
          </w:tcPr>
          <w:p w14:paraId="5199C617">
            <w:pPr>
              <w:pStyle w:val="100"/>
              <w:adjustRightInd w:val="0"/>
              <w:snapToGrid w:val="0"/>
              <w:rPr>
                <w:rFonts w:eastAsia="宋体"/>
                <w:b/>
                <w:sz w:val="21"/>
              </w:rPr>
            </w:pPr>
            <w:r>
              <w:rPr>
                <w:rFonts w:eastAsia="宋体"/>
                <w:b/>
                <w:w w:val="99"/>
                <w:sz w:val="21"/>
              </w:rPr>
              <w:t>否</w:t>
            </w:r>
          </w:p>
        </w:tc>
      </w:tr>
      <w:tr w14:paraId="202DE8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46" w:type="pct"/>
            <w:vAlign w:val="center"/>
          </w:tcPr>
          <w:p w14:paraId="2C83353C">
            <w:pPr>
              <w:pStyle w:val="100"/>
              <w:adjustRightInd w:val="0"/>
              <w:snapToGrid w:val="0"/>
              <w:rPr>
                <w:rFonts w:eastAsia="宋体"/>
                <w:sz w:val="21"/>
              </w:rPr>
            </w:pPr>
            <w:r>
              <w:rPr>
                <w:rFonts w:eastAsia="宋体"/>
                <w:sz w:val="21"/>
              </w:rPr>
              <w:t>JC2#</w:t>
            </w:r>
          </w:p>
        </w:tc>
        <w:tc>
          <w:tcPr>
            <w:tcW w:w="1153" w:type="pct"/>
            <w:vMerge w:val="continue"/>
            <w:vAlign w:val="center"/>
          </w:tcPr>
          <w:p w14:paraId="409E1C88">
            <w:pPr>
              <w:autoSpaceDE w:val="0"/>
              <w:autoSpaceDN w:val="0"/>
              <w:adjustRightInd w:val="0"/>
              <w:snapToGrid w:val="0"/>
              <w:spacing w:line="240" w:lineRule="auto"/>
              <w:ind w:firstLine="0" w:firstLineChars="0"/>
              <w:rPr>
                <w:rFonts w:cs="Times New Roman"/>
                <w:lang w:eastAsia="en-US"/>
              </w:rPr>
            </w:pPr>
          </w:p>
        </w:tc>
        <w:tc>
          <w:tcPr>
            <w:tcW w:w="558" w:type="pct"/>
            <w:vAlign w:val="center"/>
          </w:tcPr>
          <w:p w14:paraId="0CB9702A">
            <w:pPr>
              <w:pStyle w:val="100"/>
              <w:adjustRightInd w:val="0"/>
              <w:snapToGrid w:val="0"/>
              <w:rPr>
                <w:rFonts w:eastAsia="宋体"/>
                <w:sz w:val="21"/>
              </w:rPr>
            </w:pPr>
            <w:r>
              <w:rPr>
                <w:rFonts w:eastAsia="宋体"/>
                <w:sz w:val="21"/>
              </w:rPr>
              <w:t>-0.069</w:t>
            </w:r>
          </w:p>
        </w:tc>
        <w:tc>
          <w:tcPr>
            <w:tcW w:w="663" w:type="pct"/>
            <w:vAlign w:val="center"/>
          </w:tcPr>
          <w:p w14:paraId="4110BE2B">
            <w:pPr>
              <w:pStyle w:val="100"/>
              <w:adjustRightInd w:val="0"/>
              <w:snapToGrid w:val="0"/>
              <w:rPr>
                <w:rFonts w:eastAsia="宋体"/>
                <w:sz w:val="21"/>
              </w:rPr>
            </w:pPr>
            <w:r>
              <w:rPr>
                <w:rFonts w:eastAsia="宋体"/>
                <w:sz w:val="21"/>
              </w:rPr>
              <w:t>0.123</w:t>
            </w:r>
          </w:p>
        </w:tc>
        <w:tc>
          <w:tcPr>
            <w:tcW w:w="813" w:type="pct"/>
            <w:vAlign w:val="center"/>
          </w:tcPr>
          <w:p w14:paraId="3A5C5954">
            <w:pPr>
              <w:pStyle w:val="100"/>
              <w:adjustRightInd w:val="0"/>
              <w:snapToGrid w:val="0"/>
              <w:rPr>
                <w:rFonts w:eastAsia="宋体"/>
                <w:sz w:val="21"/>
              </w:rPr>
            </w:pPr>
            <w:r>
              <w:rPr>
                <w:rFonts w:eastAsia="宋体"/>
                <w:sz w:val="21"/>
              </w:rPr>
              <w:t>-0.0013</w:t>
            </w:r>
          </w:p>
        </w:tc>
        <w:tc>
          <w:tcPr>
            <w:tcW w:w="866" w:type="pct"/>
            <w:vMerge w:val="continue"/>
            <w:vAlign w:val="center"/>
          </w:tcPr>
          <w:p w14:paraId="03DBBFF7">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20600F0B">
            <w:pPr>
              <w:pStyle w:val="100"/>
              <w:adjustRightInd w:val="0"/>
              <w:snapToGrid w:val="0"/>
              <w:rPr>
                <w:rFonts w:eastAsia="宋体"/>
                <w:b/>
                <w:sz w:val="21"/>
              </w:rPr>
            </w:pPr>
            <w:r>
              <w:rPr>
                <w:rFonts w:eastAsia="宋体"/>
                <w:b/>
                <w:w w:val="99"/>
                <w:sz w:val="21"/>
              </w:rPr>
              <w:t>否</w:t>
            </w:r>
          </w:p>
        </w:tc>
      </w:tr>
      <w:tr w14:paraId="42B395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3" w:hRule="exact"/>
        </w:trPr>
        <w:tc>
          <w:tcPr>
            <w:tcW w:w="446" w:type="pct"/>
            <w:vAlign w:val="center"/>
          </w:tcPr>
          <w:p w14:paraId="1C319FC8">
            <w:pPr>
              <w:pStyle w:val="100"/>
              <w:adjustRightInd w:val="0"/>
              <w:snapToGrid w:val="0"/>
              <w:rPr>
                <w:rFonts w:eastAsia="宋体"/>
                <w:sz w:val="21"/>
              </w:rPr>
            </w:pPr>
            <w:r>
              <w:rPr>
                <w:rFonts w:eastAsia="宋体"/>
                <w:sz w:val="21"/>
              </w:rPr>
              <w:t>JC3#</w:t>
            </w:r>
          </w:p>
        </w:tc>
        <w:tc>
          <w:tcPr>
            <w:tcW w:w="1153" w:type="pct"/>
            <w:vMerge w:val="continue"/>
            <w:vAlign w:val="center"/>
          </w:tcPr>
          <w:p w14:paraId="36CB786D">
            <w:pPr>
              <w:autoSpaceDE w:val="0"/>
              <w:autoSpaceDN w:val="0"/>
              <w:adjustRightInd w:val="0"/>
              <w:snapToGrid w:val="0"/>
              <w:spacing w:line="240" w:lineRule="auto"/>
              <w:ind w:firstLine="0" w:firstLineChars="0"/>
              <w:rPr>
                <w:rFonts w:cs="Times New Roman"/>
                <w:lang w:eastAsia="en-US"/>
              </w:rPr>
            </w:pPr>
          </w:p>
        </w:tc>
        <w:tc>
          <w:tcPr>
            <w:tcW w:w="558" w:type="pct"/>
            <w:vAlign w:val="center"/>
          </w:tcPr>
          <w:p w14:paraId="36D7ACFD">
            <w:pPr>
              <w:pStyle w:val="100"/>
              <w:adjustRightInd w:val="0"/>
              <w:snapToGrid w:val="0"/>
              <w:rPr>
                <w:rFonts w:eastAsia="宋体"/>
                <w:sz w:val="21"/>
              </w:rPr>
            </w:pPr>
            <w:r>
              <w:rPr>
                <w:rFonts w:eastAsia="宋体"/>
                <w:sz w:val="21"/>
              </w:rPr>
              <w:t>-0.015</w:t>
            </w:r>
          </w:p>
        </w:tc>
        <w:tc>
          <w:tcPr>
            <w:tcW w:w="663" w:type="pct"/>
            <w:vAlign w:val="center"/>
          </w:tcPr>
          <w:p w14:paraId="0B143304">
            <w:pPr>
              <w:pStyle w:val="100"/>
              <w:adjustRightInd w:val="0"/>
              <w:snapToGrid w:val="0"/>
              <w:rPr>
                <w:rFonts w:eastAsia="宋体"/>
                <w:sz w:val="21"/>
              </w:rPr>
            </w:pPr>
            <w:r>
              <w:rPr>
                <w:rFonts w:eastAsia="宋体"/>
                <w:sz w:val="21"/>
              </w:rPr>
              <w:t>0.007</w:t>
            </w:r>
          </w:p>
        </w:tc>
        <w:tc>
          <w:tcPr>
            <w:tcW w:w="813" w:type="pct"/>
            <w:vAlign w:val="center"/>
          </w:tcPr>
          <w:p w14:paraId="20F5D069">
            <w:pPr>
              <w:pStyle w:val="100"/>
              <w:adjustRightInd w:val="0"/>
              <w:snapToGrid w:val="0"/>
              <w:rPr>
                <w:rFonts w:eastAsia="宋体"/>
                <w:sz w:val="21"/>
              </w:rPr>
            </w:pPr>
            <w:r>
              <w:rPr>
                <w:rFonts w:eastAsia="宋体"/>
                <w:sz w:val="21"/>
              </w:rPr>
              <w:t>0.0002</w:t>
            </w:r>
          </w:p>
        </w:tc>
        <w:tc>
          <w:tcPr>
            <w:tcW w:w="866" w:type="pct"/>
            <w:vMerge w:val="continue"/>
            <w:vAlign w:val="center"/>
          </w:tcPr>
          <w:p w14:paraId="11490937">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39F337E1">
            <w:pPr>
              <w:pStyle w:val="100"/>
              <w:adjustRightInd w:val="0"/>
              <w:snapToGrid w:val="0"/>
              <w:rPr>
                <w:rFonts w:eastAsia="宋体"/>
                <w:b/>
                <w:sz w:val="21"/>
              </w:rPr>
            </w:pPr>
            <w:r>
              <w:rPr>
                <w:rFonts w:eastAsia="宋体"/>
                <w:b/>
                <w:w w:val="99"/>
                <w:sz w:val="21"/>
              </w:rPr>
              <w:t>否</w:t>
            </w:r>
          </w:p>
        </w:tc>
      </w:tr>
      <w:tr w14:paraId="0FB2D3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46" w:type="pct"/>
            <w:vAlign w:val="center"/>
          </w:tcPr>
          <w:p w14:paraId="7E838BA8">
            <w:pPr>
              <w:pStyle w:val="100"/>
              <w:adjustRightInd w:val="0"/>
              <w:snapToGrid w:val="0"/>
              <w:rPr>
                <w:rFonts w:eastAsia="宋体"/>
                <w:sz w:val="21"/>
              </w:rPr>
            </w:pPr>
            <w:r>
              <w:rPr>
                <w:rFonts w:eastAsia="宋体"/>
                <w:sz w:val="21"/>
              </w:rPr>
              <w:t>JC4#</w:t>
            </w:r>
          </w:p>
        </w:tc>
        <w:tc>
          <w:tcPr>
            <w:tcW w:w="1153" w:type="pct"/>
            <w:vAlign w:val="center"/>
          </w:tcPr>
          <w:p w14:paraId="1791A7BE">
            <w:pPr>
              <w:pStyle w:val="100"/>
              <w:adjustRightInd w:val="0"/>
              <w:snapToGrid w:val="0"/>
              <w:rPr>
                <w:rFonts w:eastAsia="宋体"/>
                <w:sz w:val="21"/>
              </w:rPr>
            </w:pPr>
            <w:r>
              <w:rPr>
                <w:rFonts w:eastAsia="宋体"/>
                <w:sz w:val="21"/>
              </w:rPr>
              <w:t>进风井场地</w:t>
            </w:r>
          </w:p>
        </w:tc>
        <w:tc>
          <w:tcPr>
            <w:tcW w:w="558" w:type="pct"/>
            <w:vAlign w:val="center"/>
          </w:tcPr>
          <w:p w14:paraId="49DCD34E">
            <w:pPr>
              <w:pStyle w:val="100"/>
              <w:adjustRightInd w:val="0"/>
              <w:snapToGrid w:val="0"/>
              <w:rPr>
                <w:rFonts w:eastAsia="宋体"/>
                <w:sz w:val="14"/>
              </w:rPr>
            </w:pPr>
            <w:r>
              <w:rPr>
                <w:rFonts w:eastAsia="宋体"/>
                <w:sz w:val="21"/>
              </w:rPr>
              <w:t>-4.03×10</w:t>
            </w:r>
            <w:r>
              <w:rPr>
                <w:rFonts w:eastAsia="宋体"/>
                <w:position w:val="8"/>
                <w:sz w:val="14"/>
              </w:rPr>
              <w:t>-5</w:t>
            </w:r>
          </w:p>
        </w:tc>
        <w:tc>
          <w:tcPr>
            <w:tcW w:w="663" w:type="pct"/>
            <w:vAlign w:val="center"/>
          </w:tcPr>
          <w:p w14:paraId="37A3226A">
            <w:pPr>
              <w:pStyle w:val="100"/>
              <w:adjustRightInd w:val="0"/>
              <w:snapToGrid w:val="0"/>
              <w:rPr>
                <w:rFonts w:eastAsia="宋体"/>
                <w:sz w:val="14"/>
              </w:rPr>
            </w:pPr>
            <w:r>
              <w:rPr>
                <w:rFonts w:eastAsia="宋体"/>
                <w:sz w:val="21"/>
              </w:rPr>
              <w:t>-9×10</w:t>
            </w:r>
            <w:r>
              <w:rPr>
                <w:rFonts w:eastAsia="宋体"/>
                <w:position w:val="8"/>
                <w:sz w:val="14"/>
              </w:rPr>
              <w:t>-5</w:t>
            </w:r>
          </w:p>
        </w:tc>
        <w:tc>
          <w:tcPr>
            <w:tcW w:w="813" w:type="pct"/>
            <w:vAlign w:val="center"/>
          </w:tcPr>
          <w:p w14:paraId="086C1680">
            <w:pPr>
              <w:pStyle w:val="100"/>
              <w:adjustRightInd w:val="0"/>
              <w:snapToGrid w:val="0"/>
              <w:rPr>
                <w:rFonts w:eastAsia="宋体"/>
                <w:sz w:val="21"/>
              </w:rPr>
            </w:pPr>
            <w:r>
              <w:rPr>
                <w:rFonts w:eastAsia="宋体"/>
                <w:sz w:val="21"/>
              </w:rPr>
              <w:t>0.0006</w:t>
            </w:r>
          </w:p>
        </w:tc>
        <w:tc>
          <w:tcPr>
            <w:tcW w:w="866" w:type="pct"/>
            <w:vMerge w:val="continue"/>
            <w:vAlign w:val="center"/>
          </w:tcPr>
          <w:p w14:paraId="35A7E5BF">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0525A18A">
            <w:pPr>
              <w:pStyle w:val="100"/>
              <w:adjustRightInd w:val="0"/>
              <w:snapToGrid w:val="0"/>
              <w:rPr>
                <w:rFonts w:eastAsia="宋体"/>
                <w:b/>
                <w:sz w:val="21"/>
              </w:rPr>
            </w:pPr>
            <w:r>
              <w:rPr>
                <w:rFonts w:eastAsia="宋体"/>
                <w:b/>
                <w:w w:val="99"/>
                <w:sz w:val="21"/>
              </w:rPr>
              <w:t>否</w:t>
            </w:r>
          </w:p>
        </w:tc>
      </w:tr>
      <w:tr w14:paraId="34FA3B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46" w:type="pct"/>
            <w:vAlign w:val="center"/>
          </w:tcPr>
          <w:p w14:paraId="5A720B18">
            <w:pPr>
              <w:pStyle w:val="100"/>
              <w:adjustRightInd w:val="0"/>
              <w:snapToGrid w:val="0"/>
              <w:rPr>
                <w:rFonts w:eastAsia="宋体"/>
                <w:sz w:val="21"/>
              </w:rPr>
            </w:pPr>
            <w:r>
              <w:rPr>
                <w:rFonts w:eastAsia="宋体"/>
                <w:sz w:val="21"/>
              </w:rPr>
              <w:t>JC5#</w:t>
            </w:r>
          </w:p>
        </w:tc>
        <w:tc>
          <w:tcPr>
            <w:tcW w:w="1153" w:type="pct"/>
            <w:vAlign w:val="center"/>
          </w:tcPr>
          <w:p w14:paraId="64208736">
            <w:pPr>
              <w:pStyle w:val="100"/>
              <w:adjustRightInd w:val="0"/>
              <w:snapToGrid w:val="0"/>
              <w:rPr>
                <w:rFonts w:eastAsia="宋体"/>
                <w:sz w:val="21"/>
              </w:rPr>
            </w:pPr>
            <w:r>
              <w:rPr>
                <w:rFonts w:eastAsia="宋体"/>
                <w:sz w:val="21"/>
              </w:rPr>
              <w:t>1 号回风井场地</w:t>
            </w:r>
          </w:p>
        </w:tc>
        <w:tc>
          <w:tcPr>
            <w:tcW w:w="558" w:type="pct"/>
            <w:vAlign w:val="center"/>
          </w:tcPr>
          <w:p w14:paraId="4EF0073F">
            <w:pPr>
              <w:pStyle w:val="100"/>
              <w:adjustRightInd w:val="0"/>
              <w:snapToGrid w:val="0"/>
              <w:rPr>
                <w:rFonts w:eastAsia="宋体"/>
                <w:sz w:val="21"/>
              </w:rPr>
            </w:pPr>
            <w:r>
              <w:rPr>
                <w:rFonts w:eastAsia="宋体"/>
                <w:sz w:val="21"/>
              </w:rPr>
              <w:t>-0.002</w:t>
            </w:r>
          </w:p>
        </w:tc>
        <w:tc>
          <w:tcPr>
            <w:tcW w:w="663" w:type="pct"/>
            <w:vAlign w:val="center"/>
          </w:tcPr>
          <w:p w14:paraId="6952D38D">
            <w:pPr>
              <w:pStyle w:val="100"/>
              <w:adjustRightInd w:val="0"/>
              <w:snapToGrid w:val="0"/>
              <w:rPr>
                <w:rFonts w:eastAsia="宋体"/>
                <w:sz w:val="21"/>
              </w:rPr>
            </w:pPr>
            <w:r>
              <w:rPr>
                <w:rFonts w:eastAsia="宋体"/>
                <w:sz w:val="21"/>
              </w:rPr>
              <w:t>-0.016</w:t>
            </w:r>
          </w:p>
        </w:tc>
        <w:tc>
          <w:tcPr>
            <w:tcW w:w="813" w:type="pct"/>
            <w:vAlign w:val="center"/>
          </w:tcPr>
          <w:p w14:paraId="298AB5FF">
            <w:pPr>
              <w:pStyle w:val="100"/>
              <w:adjustRightInd w:val="0"/>
              <w:snapToGrid w:val="0"/>
              <w:rPr>
                <w:rFonts w:eastAsia="宋体"/>
                <w:sz w:val="21"/>
              </w:rPr>
            </w:pPr>
            <w:r>
              <w:rPr>
                <w:rFonts w:eastAsia="宋体"/>
                <w:sz w:val="21"/>
              </w:rPr>
              <w:t>0.0007</w:t>
            </w:r>
          </w:p>
        </w:tc>
        <w:tc>
          <w:tcPr>
            <w:tcW w:w="866" w:type="pct"/>
            <w:vMerge w:val="continue"/>
            <w:vAlign w:val="center"/>
          </w:tcPr>
          <w:p w14:paraId="4974AF15">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1C6DA25B">
            <w:pPr>
              <w:pStyle w:val="100"/>
              <w:adjustRightInd w:val="0"/>
              <w:snapToGrid w:val="0"/>
              <w:rPr>
                <w:rFonts w:eastAsia="宋体"/>
                <w:b/>
                <w:sz w:val="21"/>
              </w:rPr>
            </w:pPr>
            <w:r>
              <w:rPr>
                <w:rFonts w:eastAsia="宋体"/>
                <w:b/>
                <w:w w:val="99"/>
                <w:sz w:val="21"/>
              </w:rPr>
              <w:t>否</w:t>
            </w:r>
          </w:p>
        </w:tc>
      </w:tr>
      <w:tr w14:paraId="2DC36E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3" w:hRule="exact"/>
        </w:trPr>
        <w:tc>
          <w:tcPr>
            <w:tcW w:w="446" w:type="pct"/>
            <w:vAlign w:val="center"/>
          </w:tcPr>
          <w:p w14:paraId="7ED6D5E9">
            <w:pPr>
              <w:pStyle w:val="100"/>
              <w:adjustRightInd w:val="0"/>
              <w:snapToGrid w:val="0"/>
              <w:rPr>
                <w:rFonts w:eastAsia="宋体"/>
                <w:sz w:val="21"/>
              </w:rPr>
            </w:pPr>
            <w:r>
              <w:rPr>
                <w:rFonts w:eastAsia="宋体"/>
                <w:sz w:val="21"/>
              </w:rPr>
              <w:t>JC6#</w:t>
            </w:r>
          </w:p>
        </w:tc>
        <w:tc>
          <w:tcPr>
            <w:tcW w:w="1153" w:type="pct"/>
            <w:vAlign w:val="center"/>
          </w:tcPr>
          <w:p w14:paraId="12D942EF">
            <w:pPr>
              <w:pStyle w:val="100"/>
              <w:adjustRightInd w:val="0"/>
              <w:snapToGrid w:val="0"/>
              <w:rPr>
                <w:rFonts w:eastAsia="宋体"/>
                <w:sz w:val="21"/>
              </w:rPr>
            </w:pPr>
            <w:r>
              <w:rPr>
                <w:rFonts w:eastAsia="宋体"/>
                <w:sz w:val="21"/>
              </w:rPr>
              <w:t>龙宫河</w:t>
            </w:r>
          </w:p>
        </w:tc>
        <w:tc>
          <w:tcPr>
            <w:tcW w:w="558" w:type="pct"/>
            <w:vAlign w:val="center"/>
          </w:tcPr>
          <w:p w14:paraId="33E984E5">
            <w:pPr>
              <w:pStyle w:val="100"/>
              <w:adjustRightInd w:val="0"/>
              <w:snapToGrid w:val="0"/>
              <w:rPr>
                <w:rFonts w:eastAsia="宋体"/>
                <w:sz w:val="21"/>
              </w:rPr>
            </w:pPr>
            <w:r>
              <w:rPr>
                <w:rFonts w:eastAsia="宋体"/>
                <w:sz w:val="21"/>
              </w:rPr>
              <w:t>-0.019</w:t>
            </w:r>
          </w:p>
        </w:tc>
        <w:tc>
          <w:tcPr>
            <w:tcW w:w="663" w:type="pct"/>
            <w:vAlign w:val="center"/>
          </w:tcPr>
          <w:p w14:paraId="209C1644">
            <w:pPr>
              <w:pStyle w:val="100"/>
              <w:adjustRightInd w:val="0"/>
              <w:snapToGrid w:val="0"/>
              <w:rPr>
                <w:rFonts w:eastAsia="宋体"/>
                <w:sz w:val="21"/>
              </w:rPr>
            </w:pPr>
            <w:r>
              <w:rPr>
                <w:rFonts w:eastAsia="宋体"/>
                <w:sz w:val="21"/>
              </w:rPr>
              <w:t>0.018</w:t>
            </w:r>
          </w:p>
        </w:tc>
        <w:tc>
          <w:tcPr>
            <w:tcW w:w="813" w:type="pct"/>
            <w:vAlign w:val="center"/>
          </w:tcPr>
          <w:p w14:paraId="1F0EF6B6">
            <w:pPr>
              <w:pStyle w:val="100"/>
              <w:adjustRightInd w:val="0"/>
              <w:snapToGrid w:val="0"/>
              <w:rPr>
                <w:rFonts w:eastAsia="宋体"/>
                <w:sz w:val="21"/>
              </w:rPr>
            </w:pPr>
            <w:r>
              <w:rPr>
                <w:rFonts w:eastAsia="宋体"/>
                <w:sz w:val="21"/>
              </w:rPr>
              <w:t>-0.0008</w:t>
            </w:r>
          </w:p>
        </w:tc>
        <w:tc>
          <w:tcPr>
            <w:tcW w:w="866" w:type="pct"/>
            <w:vMerge w:val="continue"/>
            <w:vAlign w:val="center"/>
          </w:tcPr>
          <w:p w14:paraId="1C1B6CF3">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632F6F08">
            <w:pPr>
              <w:pStyle w:val="100"/>
              <w:adjustRightInd w:val="0"/>
              <w:snapToGrid w:val="0"/>
              <w:rPr>
                <w:rFonts w:eastAsia="宋体"/>
                <w:b/>
                <w:sz w:val="21"/>
              </w:rPr>
            </w:pPr>
            <w:r>
              <w:rPr>
                <w:rFonts w:eastAsia="宋体"/>
                <w:b/>
                <w:w w:val="99"/>
                <w:sz w:val="21"/>
              </w:rPr>
              <w:t>否</w:t>
            </w:r>
          </w:p>
        </w:tc>
      </w:tr>
      <w:tr w14:paraId="2D0A6E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46" w:type="pct"/>
            <w:vAlign w:val="center"/>
          </w:tcPr>
          <w:p w14:paraId="3D61FB5C">
            <w:pPr>
              <w:pStyle w:val="100"/>
              <w:adjustRightInd w:val="0"/>
              <w:snapToGrid w:val="0"/>
              <w:rPr>
                <w:rFonts w:eastAsia="宋体"/>
                <w:sz w:val="21"/>
              </w:rPr>
            </w:pPr>
            <w:r>
              <w:rPr>
                <w:rFonts w:eastAsia="宋体"/>
                <w:sz w:val="21"/>
              </w:rPr>
              <w:t>JC7#</w:t>
            </w:r>
          </w:p>
        </w:tc>
        <w:tc>
          <w:tcPr>
            <w:tcW w:w="1153" w:type="pct"/>
            <w:vAlign w:val="center"/>
          </w:tcPr>
          <w:p w14:paraId="72F4BDF4">
            <w:pPr>
              <w:pStyle w:val="100"/>
              <w:adjustRightInd w:val="0"/>
              <w:snapToGrid w:val="0"/>
              <w:rPr>
                <w:rFonts w:eastAsia="宋体"/>
                <w:sz w:val="21"/>
              </w:rPr>
            </w:pPr>
            <w:r>
              <w:rPr>
                <w:rFonts w:eastAsia="宋体"/>
                <w:sz w:val="21"/>
              </w:rPr>
              <w:t>东李庄</w:t>
            </w:r>
          </w:p>
        </w:tc>
        <w:tc>
          <w:tcPr>
            <w:tcW w:w="558" w:type="pct"/>
            <w:vAlign w:val="center"/>
          </w:tcPr>
          <w:p w14:paraId="3228290F">
            <w:pPr>
              <w:pStyle w:val="100"/>
              <w:adjustRightInd w:val="0"/>
              <w:snapToGrid w:val="0"/>
              <w:rPr>
                <w:rFonts w:eastAsia="宋体"/>
                <w:sz w:val="21"/>
              </w:rPr>
            </w:pPr>
            <w:r>
              <w:rPr>
                <w:rFonts w:eastAsia="宋体"/>
                <w:sz w:val="21"/>
              </w:rPr>
              <w:t>-0.022</w:t>
            </w:r>
          </w:p>
        </w:tc>
        <w:tc>
          <w:tcPr>
            <w:tcW w:w="663" w:type="pct"/>
            <w:vAlign w:val="center"/>
          </w:tcPr>
          <w:p w14:paraId="49BC022F">
            <w:pPr>
              <w:pStyle w:val="100"/>
              <w:adjustRightInd w:val="0"/>
              <w:snapToGrid w:val="0"/>
              <w:rPr>
                <w:rFonts w:eastAsia="宋体"/>
                <w:sz w:val="21"/>
              </w:rPr>
            </w:pPr>
            <w:r>
              <w:rPr>
                <w:rFonts w:eastAsia="宋体"/>
                <w:sz w:val="21"/>
              </w:rPr>
              <w:t>-0.019</w:t>
            </w:r>
          </w:p>
        </w:tc>
        <w:tc>
          <w:tcPr>
            <w:tcW w:w="813" w:type="pct"/>
            <w:vAlign w:val="center"/>
          </w:tcPr>
          <w:p w14:paraId="4CACA7D4">
            <w:pPr>
              <w:pStyle w:val="100"/>
              <w:adjustRightInd w:val="0"/>
              <w:snapToGrid w:val="0"/>
              <w:rPr>
                <w:rFonts w:eastAsia="宋体"/>
                <w:sz w:val="21"/>
              </w:rPr>
            </w:pPr>
            <w:r>
              <w:rPr>
                <w:rFonts w:eastAsia="宋体"/>
                <w:sz w:val="21"/>
              </w:rPr>
              <w:t>0.0006</w:t>
            </w:r>
          </w:p>
        </w:tc>
        <w:tc>
          <w:tcPr>
            <w:tcW w:w="866" w:type="pct"/>
            <w:vMerge w:val="continue"/>
            <w:vAlign w:val="center"/>
          </w:tcPr>
          <w:p w14:paraId="16AF594B">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60014D96">
            <w:pPr>
              <w:pStyle w:val="100"/>
              <w:adjustRightInd w:val="0"/>
              <w:snapToGrid w:val="0"/>
              <w:rPr>
                <w:rFonts w:eastAsia="宋体"/>
                <w:b/>
                <w:sz w:val="21"/>
              </w:rPr>
            </w:pPr>
            <w:r>
              <w:rPr>
                <w:rFonts w:eastAsia="宋体"/>
                <w:b/>
                <w:w w:val="99"/>
                <w:sz w:val="21"/>
              </w:rPr>
              <w:t>否</w:t>
            </w:r>
          </w:p>
        </w:tc>
      </w:tr>
      <w:tr w14:paraId="7FFD15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exact"/>
        </w:trPr>
        <w:tc>
          <w:tcPr>
            <w:tcW w:w="446" w:type="pct"/>
            <w:vAlign w:val="center"/>
          </w:tcPr>
          <w:p w14:paraId="04364EA7">
            <w:pPr>
              <w:pStyle w:val="100"/>
              <w:adjustRightInd w:val="0"/>
              <w:snapToGrid w:val="0"/>
              <w:rPr>
                <w:rFonts w:eastAsia="宋体"/>
                <w:sz w:val="21"/>
              </w:rPr>
            </w:pPr>
            <w:r>
              <w:rPr>
                <w:rFonts w:eastAsia="宋体"/>
                <w:sz w:val="21"/>
              </w:rPr>
              <w:t>JC8#</w:t>
            </w:r>
          </w:p>
        </w:tc>
        <w:tc>
          <w:tcPr>
            <w:tcW w:w="1153" w:type="pct"/>
            <w:vAlign w:val="center"/>
          </w:tcPr>
          <w:p w14:paraId="32740581">
            <w:pPr>
              <w:pStyle w:val="100"/>
              <w:adjustRightInd w:val="0"/>
              <w:snapToGrid w:val="0"/>
              <w:rPr>
                <w:rFonts w:eastAsia="宋体"/>
                <w:sz w:val="21"/>
              </w:rPr>
            </w:pPr>
            <w:r>
              <w:rPr>
                <w:rFonts w:eastAsia="宋体"/>
                <w:sz w:val="21"/>
              </w:rPr>
              <w:t>李纸坊</w:t>
            </w:r>
          </w:p>
        </w:tc>
        <w:tc>
          <w:tcPr>
            <w:tcW w:w="558" w:type="pct"/>
            <w:vAlign w:val="center"/>
          </w:tcPr>
          <w:p w14:paraId="2803FF7B">
            <w:pPr>
              <w:pStyle w:val="100"/>
              <w:adjustRightInd w:val="0"/>
              <w:snapToGrid w:val="0"/>
              <w:rPr>
                <w:rFonts w:eastAsia="宋体"/>
                <w:sz w:val="21"/>
              </w:rPr>
            </w:pPr>
            <w:r>
              <w:rPr>
                <w:rFonts w:eastAsia="宋体"/>
                <w:sz w:val="21"/>
              </w:rPr>
              <w:t>0.004</w:t>
            </w:r>
          </w:p>
        </w:tc>
        <w:tc>
          <w:tcPr>
            <w:tcW w:w="663" w:type="pct"/>
            <w:vAlign w:val="center"/>
          </w:tcPr>
          <w:p w14:paraId="3C6CCE73">
            <w:pPr>
              <w:pStyle w:val="100"/>
              <w:adjustRightInd w:val="0"/>
              <w:snapToGrid w:val="0"/>
              <w:rPr>
                <w:rFonts w:eastAsia="宋体"/>
                <w:sz w:val="21"/>
              </w:rPr>
            </w:pPr>
            <w:r>
              <w:rPr>
                <w:rFonts w:eastAsia="宋体"/>
                <w:sz w:val="21"/>
              </w:rPr>
              <w:t>-0.019</w:t>
            </w:r>
          </w:p>
        </w:tc>
        <w:tc>
          <w:tcPr>
            <w:tcW w:w="813" w:type="pct"/>
            <w:vAlign w:val="center"/>
          </w:tcPr>
          <w:p w14:paraId="3538F788">
            <w:pPr>
              <w:pStyle w:val="100"/>
              <w:adjustRightInd w:val="0"/>
              <w:snapToGrid w:val="0"/>
              <w:rPr>
                <w:rFonts w:eastAsia="宋体"/>
                <w:sz w:val="21"/>
              </w:rPr>
            </w:pPr>
            <w:r>
              <w:rPr>
                <w:rFonts w:eastAsia="宋体"/>
                <w:sz w:val="21"/>
              </w:rPr>
              <w:t>0.0006</w:t>
            </w:r>
          </w:p>
        </w:tc>
        <w:tc>
          <w:tcPr>
            <w:tcW w:w="866" w:type="pct"/>
            <w:vMerge w:val="continue"/>
            <w:vAlign w:val="center"/>
          </w:tcPr>
          <w:p w14:paraId="657CE981">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0416F68C">
            <w:pPr>
              <w:pStyle w:val="100"/>
              <w:adjustRightInd w:val="0"/>
              <w:snapToGrid w:val="0"/>
              <w:rPr>
                <w:rFonts w:eastAsia="宋体"/>
                <w:b/>
                <w:sz w:val="21"/>
              </w:rPr>
            </w:pPr>
            <w:r>
              <w:rPr>
                <w:rFonts w:eastAsia="宋体"/>
                <w:b/>
                <w:w w:val="99"/>
                <w:sz w:val="21"/>
              </w:rPr>
              <w:t>否</w:t>
            </w:r>
          </w:p>
        </w:tc>
      </w:tr>
      <w:tr w14:paraId="471A7C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3" w:hRule="exact"/>
        </w:trPr>
        <w:tc>
          <w:tcPr>
            <w:tcW w:w="446" w:type="pct"/>
            <w:vAlign w:val="center"/>
          </w:tcPr>
          <w:p w14:paraId="2B3F005D">
            <w:pPr>
              <w:pStyle w:val="100"/>
              <w:adjustRightInd w:val="0"/>
              <w:snapToGrid w:val="0"/>
              <w:rPr>
                <w:rFonts w:eastAsia="宋体"/>
                <w:sz w:val="21"/>
              </w:rPr>
            </w:pPr>
            <w:r>
              <w:rPr>
                <w:rFonts w:eastAsia="宋体"/>
                <w:sz w:val="21"/>
              </w:rPr>
              <w:t>JC9#</w:t>
            </w:r>
          </w:p>
        </w:tc>
        <w:tc>
          <w:tcPr>
            <w:tcW w:w="1153" w:type="pct"/>
            <w:vAlign w:val="center"/>
          </w:tcPr>
          <w:p w14:paraId="2AFDAC8E">
            <w:pPr>
              <w:pStyle w:val="100"/>
              <w:adjustRightInd w:val="0"/>
              <w:snapToGrid w:val="0"/>
              <w:rPr>
                <w:rFonts w:eastAsia="宋体"/>
                <w:sz w:val="21"/>
              </w:rPr>
            </w:pPr>
            <w:r>
              <w:rPr>
                <w:rFonts w:eastAsia="宋体"/>
                <w:sz w:val="21"/>
              </w:rPr>
              <w:t>西郭庄</w:t>
            </w:r>
          </w:p>
        </w:tc>
        <w:tc>
          <w:tcPr>
            <w:tcW w:w="558" w:type="pct"/>
            <w:vAlign w:val="center"/>
          </w:tcPr>
          <w:p w14:paraId="60D182F9">
            <w:pPr>
              <w:pStyle w:val="100"/>
              <w:adjustRightInd w:val="0"/>
              <w:snapToGrid w:val="0"/>
              <w:rPr>
                <w:rFonts w:eastAsia="宋体"/>
                <w:sz w:val="21"/>
              </w:rPr>
            </w:pPr>
            <w:r>
              <w:rPr>
                <w:rFonts w:eastAsia="宋体"/>
                <w:sz w:val="21"/>
              </w:rPr>
              <w:t>-0.003</w:t>
            </w:r>
          </w:p>
        </w:tc>
        <w:tc>
          <w:tcPr>
            <w:tcW w:w="663" w:type="pct"/>
            <w:vAlign w:val="center"/>
          </w:tcPr>
          <w:p w14:paraId="609A7DEB">
            <w:pPr>
              <w:pStyle w:val="100"/>
              <w:adjustRightInd w:val="0"/>
              <w:snapToGrid w:val="0"/>
              <w:rPr>
                <w:rFonts w:eastAsia="宋体"/>
                <w:sz w:val="21"/>
              </w:rPr>
            </w:pPr>
            <w:r>
              <w:rPr>
                <w:rFonts w:eastAsia="宋体"/>
                <w:sz w:val="21"/>
              </w:rPr>
              <w:t>0.018</w:t>
            </w:r>
          </w:p>
        </w:tc>
        <w:tc>
          <w:tcPr>
            <w:tcW w:w="813" w:type="pct"/>
            <w:vAlign w:val="center"/>
          </w:tcPr>
          <w:p w14:paraId="21DD9D0E">
            <w:pPr>
              <w:pStyle w:val="100"/>
              <w:adjustRightInd w:val="0"/>
              <w:snapToGrid w:val="0"/>
              <w:rPr>
                <w:rFonts w:eastAsia="宋体"/>
                <w:sz w:val="14"/>
              </w:rPr>
            </w:pPr>
            <w:r>
              <w:rPr>
                <w:rFonts w:eastAsia="宋体"/>
                <w:sz w:val="21"/>
              </w:rPr>
              <w:t>-2×10</w:t>
            </w:r>
            <w:r>
              <w:rPr>
                <w:rFonts w:eastAsia="宋体"/>
                <w:position w:val="8"/>
                <w:sz w:val="14"/>
              </w:rPr>
              <w:t>-6</w:t>
            </w:r>
          </w:p>
        </w:tc>
        <w:tc>
          <w:tcPr>
            <w:tcW w:w="866" w:type="pct"/>
            <w:vMerge w:val="continue"/>
            <w:vAlign w:val="center"/>
          </w:tcPr>
          <w:p w14:paraId="4DDEDF27">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7A23B66D">
            <w:pPr>
              <w:pStyle w:val="100"/>
              <w:adjustRightInd w:val="0"/>
              <w:snapToGrid w:val="0"/>
              <w:rPr>
                <w:rFonts w:eastAsia="宋体"/>
                <w:b/>
                <w:sz w:val="21"/>
              </w:rPr>
            </w:pPr>
            <w:r>
              <w:rPr>
                <w:rFonts w:eastAsia="宋体"/>
                <w:b/>
                <w:w w:val="99"/>
                <w:sz w:val="21"/>
              </w:rPr>
              <w:t>否</w:t>
            </w:r>
          </w:p>
        </w:tc>
      </w:tr>
      <w:tr w14:paraId="4FB79E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exact"/>
        </w:trPr>
        <w:tc>
          <w:tcPr>
            <w:tcW w:w="446" w:type="pct"/>
            <w:vAlign w:val="center"/>
          </w:tcPr>
          <w:p w14:paraId="5E380171">
            <w:pPr>
              <w:pStyle w:val="100"/>
              <w:adjustRightInd w:val="0"/>
              <w:snapToGrid w:val="0"/>
              <w:rPr>
                <w:rFonts w:eastAsia="宋体"/>
                <w:sz w:val="21"/>
              </w:rPr>
            </w:pPr>
            <w:r>
              <w:rPr>
                <w:rFonts w:eastAsia="宋体"/>
                <w:sz w:val="21"/>
              </w:rPr>
              <w:t>JC10#</w:t>
            </w:r>
          </w:p>
        </w:tc>
        <w:tc>
          <w:tcPr>
            <w:tcW w:w="1153" w:type="pct"/>
            <w:vAlign w:val="center"/>
          </w:tcPr>
          <w:p w14:paraId="72C5493B">
            <w:pPr>
              <w:pStyle w:val="100"/>
              <w:adjustRightInd w:val="0"/>
              <w:snapToGrid w:val="0"/>
              <w:rPr>
                <w:rFonts w:eastAsia="宋体"/>
                <w:sz w:val="21"/>
              </w:rPr>
            </w:pPr>
            <w:r>
              <w:rPr>
                <w:rFonts w:eastAsia="宋体"/>
                <w:sz w:val="21"/>
              </w:rPr>
              <w:t>距离董梁高速525m 处</w:t>
            </w:r>
          </w:p>
        </w:tc>
        <w:tc>
          <w:tcPr>
            <w:tcW w:w="558" w:type="pct"/>
            <w:vAlign w:val="center"/>
          </w:tcPr>
          <w:p w14:paraId="15974749">
            <w:pPr>
              <w:pStyle w:val="100"/>
              <w:adjustRightInd w:val="0"/>
              <w:snapToGrid w:val="0"/>
              <w:rPr>
                <w:rFonts w:eastAsia="宋体"/>
                <w:sz w:val="21"/>
              </w:rPr>
            </w:pPr>
            <w:r>
              <w:rPr>
                <w:rFonts w:eastAsia="宋体"/>
                <w:sz w:val="21"/>
              </w:rPr>
              <w:t>-0.02</w:t>
            </w:r>
          </w:p>
        </w:tc>
        <w:tc>
          <w:tcPr>
            <w:tcW w:w="663" w:type="pct"/>
            <w:vAlign w:val="center"/>
          </w:tcPr>
          <w:p w14:paraId="67966FE4">
            <w:pPr>
              <w:pStyle w:val="100"/>
              <w:adjustRightInd w:val="0"/>
              <w:snapToGrid w:val="0"/>
              <w:rPr>
                <w:rFonts w:eastAsia="宋体"/>
                <w:sz w:val="21"/>
              </w:rPr>
            </w:pPr>
            <w:r>
              <w:rPr>
                <w:rFonts w:eastAsia="宋体"/>
                <w:sz w:val="21"/>
              </w:rPr>
              <w:t>0.022</w:t>
            </w:r>
          </w:p>
        </w:tc>
        <w:tc>
          <w:tcPr>
            <w:tcW w:w="813" w:type="pct"/>
            <w:vAlign w:val="center"/>
          </w:tcPr>
          <w:p w14:paraId="114F7CC3">
            <w:pPr>
              <w:pStyle w:val="100"/>
              <w:adjustRightInd w:val="0"/>
              <w:snapToGrid w:val="0"/>
              <w:rPr>
                <w:rFonts w:eastAsia="宋体"/>
                <w:sz w:val="21"/>
              </w:rPr>
            </w:pPr>
            <w:r>
              <w:rPr>
                <w:rFonts w:eastAsia="宋体"/>
                <w:sz w:val="21"/>
              </w:rPr>
              <w:t>0.0005</w:t>
            </w:r>
          </w:p>
        </w:tc>
        <w:tc>
          <w:tcPr>
            <w:tcW w:w="866" w:type="pct"/>
            <w:vMerge w:val="continue"/>
            <w:vAlign w:val="center"/>
          </w:tcPr>
          <w:p w14:paraId="3171ECC7">
            <w:pPr>
              <w:autoSpaceDE w:val="0"/>
              <w:autoSpaceDN w:val="0"/>
              <w:adjustRightInd w:val="0"/>
              <w:snapToGrid w:val="0"/>
              <w:spacing w:line="240" w:lineRule="auto"/>
              <w:ind w:firstLine="0" w:firstLineChars="0"/>
              <w:rPr>
                <w:rFonts w:cs="Times New Roman"/>
                <w:lang w:eastAsia="en-US"/>
              </w:rPr>
            </w:pPr>
          </w:p>
        </w:tc>
        <w:tc>
          <w:tcPr>
            <w:tcW w:w="500" w:type="pct"/>
            <w:vAlign w:val="center"/>
          </w:tcPr>
          <w:p w14:paraId="7A956103">
            <w:pPr>
              <w:pStyle w:val="100"/>
              <w:adjustRightInd w:val="0"/>
              <w:snapToGrid w:val="0"/>
              <w:rPr>
                <w:rFonts w:eastAsia="宋体"/>
                <w:b/>
                <w:sz w:val="21"/>
              </w:rPr>
            </w:pPr>
            <w:r>
              <w:rPr>
                <w:rFonts w:eastAsia="宋体"/>
                <w:b/>
                <w:w w:val="99"/>
                <w:sz w:val="21"/>
              </w:rPr>
              <w:t>否</w:t>
            </w:r>
          </w:p>
        </w:tc>
      </w:tr>
    </w:tbl>
    <w:p w14:paraId="1A9F7443">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通过上表对比，可以看出三维有限元数值模拟所选择的区域不仅极具代表性，同时在结果上要比规范Ⅰ级保护对象的允许值小若干个数量级。高压线塔基沿线的地表沉降变形最大值分别为：水平变形-0.069mm/m、倾斜 0.123mm/m、曲率-0.0013×10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/m；地表各个村庄的地表沉降变形最大值分别为：水平变形-0.022mm/m、倾斜-0.019mm/m、曲率 0.006×10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/m，远小于规范规定Ⅰ级保护对象的地表允许值：水平变形±2mm/m、倾斜±3mm/m、曲率±0.2×10</w:t>
      </w:r>
      <w:r>
        <w:rPr>
          <w:rFonts w:hint="eastAsia" w:asciiTheme="minorHAnsi" w:hAnsiTheme="minorHAnsi" w:cstheme="minorHAnsi"/>
          <w:kern w:val="0"/>
          <w:szCs w:val="28"/>
          <w:vertAlign w:val="superscript"/>
        </w:rPr>
        <w:t>-3</w:t>
      </w:r>
      <w:r>
        <w:rPr>
          <w:rFonts w:hint="eastAsia" w:asciiTheme="minorHAnsi" w:hAnsiTheme="minorHAnsi" w:cstheme="minorHAnsi"/>
          <w:kern w:val="0"/>
          <w:szCs w:val="28"/>
        </w:rPr>
        <w:t>/m。</w:t>
      </w:r>
    </w:p>
    <w:p w14:paraId="29665520">
      <w:pPr>
        <w:adjustRightInd w:val="0"/>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综合三维有限元数值建模的计算结果，当彭集铁矿地下主要矿体进行开采时，地表高压线塔、村庄民房、国道、高速公路等重要建（构）筑物受到的影响微弱以致不存在影响。</w:t>
      </w:r>
    </w:p>
    <w:p w14:paraId="38B63A9B">
      <w:pPr>
        <w:adjustRightInd w:val="0"/>
        <w:snapToGrid w:val="0"/>
        <w:spacing w:line="500" w:lineRule="exact"/>
        <w:ind w:firstLine="0" w:firstLineChars="0"/>
        <w:outlineLvl w:val="2"/>
        <w:rPr>
          <w:rFonts w:asciiTheme="minorHAnsi" w:hAnsiTheme="minorHAnsi" w:cstheme="minorHAnsi"/>
          <w:b/>
          <w:szCs w:val="28"/>
        </w:rPr>
      </w:pPr>
      <w:r>
        <w:rPr>
          <w:rFonts w:asciiTheme="minorHAnsi" w:hAnsiTheme="minorHAnsi" w:cstheme="minorHAnsi"/>
          <w:b/>
          <w:szCs w:val="28"/>
        </w:rPr>
        <w:t>3.1.2安全检查表法</w:t>
      </w:r>
    </w:p>
    <w:p w14:paraId="41F32CAB">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表3.1-7总平面布置安全检查表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4179"/>
        <w:gridCol w:w="2268"/>
        <w:gridCol w:w="1909"/>
        <w:gridCol w:w="660"/>
      </w:tblGrid>
      <w:tr w14:paraId="538B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2" w:type="pct"/>
            <w:tcBorders>
              <w:top w:val="single" w:color="auto" w:sz="4" w:space="0"/>
              <w:left w:val="single" w:color="auto" w:sz="4" w:space="0"/>
              <w:bottom w:val="single" w:color="auto" w:sz="4" w:space="0"/>
              <w:right w:val="single" w:color="auto" w:sz="4" w:space="0"/>
            </w:tcBorders>
            <w:vAlign w:val="center"/>
          </w:tcPr>
          <w:p w14:paraId="2905663A">
            <w:pPr>
              <w:spacing w:line="320" w:lineRule="exact"/>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2196" w:type="pct"/>
            <w:tcBorders>
              <w:top w:val="single" w:color="auto" w:sz="4" w:space="0"/>
              <w:left w:val="single" w:color="auto" w:sz="4" w:space="0"/>
              <w:bottom w:val="single" w:color="auto" w:sz="4" w:space="0"/>
              <w:right w:val="single" w:color="auto" w:sz="4" w:space="0"/>
            </w:tcBorders>
            <w:vAlign w:val="center"/>
          </w:tcPr>
          <w:p w14:paraId="4F2F8B32">
            <w:pPr>
              <w:spacing w:line="320" w:lineRule="exact"/>
              <w:ind w:firstLine="0" w:firstLineChars="0"/>
              <w:jc w:val="center"/>
              <w:rPr>
                <w:rFonts w:asciiTheme="minorHAnsi" w:hAnsiTheme="minorHAnsi" w:cstheme="minorHAnsi"/>
                <w:b/>
                <w:sz w:val="21"/>
                <w:szCs w:val="28"/>
              </w:rPr>
            </w:pPr>
            <w:r>
              <w:rPr>
                <w:rFonts w:asciiTheme="minorHAnsi" w:hAnsiTheme="minorHAnsi" w:cstheme="minorHAnsi"/>
                <w:b/>
                <w:sz w:val="21"/>
                <w:szCs w:val="21"/>
              </w:rPr>
              <w:t>检查项目</w:t>
            </w:r>
          </w:p>
        </w:tc>
        <w:tc>
          <w:tcPr>
            <w:tcW w:w="1192" w:type="pct"/>
            <w:tcBorders>
              <w:top w:val="single" w:color="auto" w:sz="4" w:space="0"/>
              <w:left w:val="single" w:color="auto" w:sz="4" w:space="0"/>
              <w:bottom w:val="single" w:color="auto" w:sz="4" w:space="0"/>
              <w:right w:val="single" w:color="auto" w:sz="4" w:space="0"/>
            </w:tcBorders>
            <w:vAlign w:val="center"/>
          </w:tcPr>
          <w:p w14:paraId="6DFBEBFB">
            <w:pPr>
              <w:spacing w:line="320" w:lineRule="exact"/>
              <w:ind w:firstLine="0" w:firstLineChars="0"/>
              <w:jc w:val="center"/>
              <w:rPr>
                <w:rFonts w:asciiTheme="minorHAnsi" w:hAnsiTheme="minorHAnsi" w:cstheme="minorHAnsi"/>
                <w:b/>
                <w:sz w:val="21"/>
                <w:szCs w:val="28"/>
              </w:rPr>
            </w:pPr>
            <w:r>
              <w:rPr>
                <w:rFonts w:asciiTheme="minorHAnsi" w:hAnsiTheme="minorHAnsi" w:cstheme="minorHAnsi"/>
                <w:b/>
                <w:sz w:val="21"/>
                <w:szCs w:val="21"/>
              </w:rPr>
              <w:t>检查依据</w:t>
            </w:r>
          </w:p>
        </w:tc>
        <w:tc>
          <w:tcPr>
            <w:tcW w:w="1003" w:type="pct"/>
            <w:tcBorders>
              <w:top w:val="single" w:color="auto" w:sz="4" w:space="0"/>
              <w:left w:val="single" w:color="auto" w:sz="4" w:space="0"/>
              <w:bottom w:val="single" w:color="auto" w:sz="4" w:space="0"/>
              <w:right w:val="single" w:color="auto" w:sz="4" w:space="0"/>
            </w:tcBorders>
            <w:vAlign w:val="center"/>
          </w:tcPr>
          <w:p w14:paraId="7498EED2">
            <w:pPr>
              <w:spacing w:line="320" w:lineRule="exact"/>
              <w:ind w:firstLine="0" w:firstLineChars="0"/>
              <w:jc w:val="center"/>
              <w:rPr>
                <w:rFonts w:asciiTheme="minorHAnsi" w:hAnsiTheme="minorHAnsi" w:cstheme="minorHAnsi"/>
                <w:b/>
                <w:sz w:val="21"/>
                <w:szCs w:val="28"/>
              </w:rPr>
            </w:pPr>
            <w:r>
              <w:rPr>
                <w:rFonts w:asciiTheme="minorHAnsi" w:hAnsiTheme="minorHAnsi" w:cstheme="minorHAnsi"/>
                <w:b/>
                <w:sz w:val="21"/>
                <w:szCs w:val="28"/>
              </w:rPr>
              <w:t>可研情况说明</w:t>
            </w:r>
          </w:p>
        </w:tc>
        <w:tc>
          <w:tcPr>
            <w:tcW w:w="347" w:type="pct"/>
            <w:tcBorders>
              <w:top w:val="single" w:color="auto" w:sz="4" w:space="0"/>
              <w:left w:val="single" w:color="auto" w:sz="4" w:space="0"/>
              <w:bottom w:val="single" w:color="auto" w:sz="4" w:space="0"/>
              <w:right w:val="single" w:color="auto" w:sz="4" w:space="0"/>
            </w:tcBorders>
            <w:vAlign w:val="center"/>
          </w:tcPr>
          <w:p w14:paraId="2A0EEB32">
            <w:pPr>
              <w:spacing w:line="320" w:lineRule="exact"/>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1961AF37">
            <w:pPr>
              <w:spacing w:line="320" w:lineRule="exact"/>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4194F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29CCF508">
            <w:pPr>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1</w:t>
            </w:r>
          </w:p>
        </w:tc>
        <w:tc>
          <w:tcPr>
            <w:tcW w:w="2196" w:type="pct"/>
            <w:tcBorders>
              <w:top w:val="single" w:color="auto" w:sz="4" w:space="0"/>
              <w:left w:val="single" w:color="auto" w:sz="4" w:space="0"/>
              <w:bottom w:val="single" w:color="auto" w:sz="4" w:space="0"/>
              <w:right w:val="single" w:color="auto" w:sz="4" w:space="0"/>
            </w:tcBorders>
            <w:vAlign w:val="center"/>
          </w:tcPr>
          <w:p w14:paraId="36E10188">
            <w:pPr>
              <w:spacing w:line="320" w:lineRule="exact"/>
              <w:ind w:firstLine="0" w:firstLineChars="0"/>
              <w:rPr>
                <w:rFonts w:asciiTheme="minorHAnsi" w:hAnsiTheme="minorHAnsi" w:cstheme="minorHAnsi"/>
                <w:sz w:val="21"/>
                <w:szCs w:val="21"/>
              </w:rPr>
            </w:pPr>
            <w:r>
              <w:rPr>
                <w:sz w:val="21"/>
                <w:szCs w:val="21"/>
              </w:rPr>
              <w:t>1个采矿权范围内原则上只能设置1个生产系统。</w:t>
            </w:r>
          </w:p>
        </w:tc>
        <w:tc>
          <w:tcPr>
            <w:tcW w:w="1192" w:type="pct"/>
            <w:tcBorders>
              <w:top w:val="single" w:color="auto" w:sz="4" w:space="0"/>
              <w:left w:val="single" w:color="auto" w:sz="4" w:space="0"/>
              <w:bottom w:val="single" w:color="auto" w:sz="4" w:space="0"/>
              <w:right w:val="single" w:color="auto" w:sz="4" w:space="0"/>
            </w:tcBorders>
            <w:vAlign w:val="center"/>
          </w:tcPr>
          <w:p w14:paraId="71049F23">
            <w:pPr>
              <w:spacing w:line="320" w:lineRule="exact"/>
              <w:ind w:firstLine="0" w:firstLineChars="0"/>
              <w:jc w:val="center"/>
              <w:rPr>
                <w:rFonts w:asciiTheme="minorHAnsi" w:hAnsiTheme="minorHAnsi" w:cstheme="minorHAnsi"/>
                <w:sz w:val="21"/>
                <w:szCs w:val="21"/>
              </w:rPr>
            </w:pPr>
            <w:r>
              <w:rPr>
                <w:sz w:val="21"/>
                <w:szCs w:val="21"/>
              </w:rPr>
              <w:t>《中共中央办公厅国务院办公厅关于进一步加强矿山安全生产工作的意见》</w:t>
            </w:r>
          </w:p>
        </w:tc>
        <w:tc>
          <w:tcPr>
            <w:tcW w:w="1003" w:type="pct"/>
            <w:tcBorders>
              <w:top w:val="single" w:color="auto" w:sz="4" w:space="0"/>
              <w:left w:val="single" w:color="auto" w:sz="4" w:space="0"/>
              <w:bottom w:val="single" w:color="auto" w:sz="4" w:space="0"/>
              <w:right w:val="single" w:color="auto" w:sz="4" w:space="0"/>
            </w:tcBorders>
            <w:vAlign w:val="center"/>
          </w:tcPr>
          <w:p w14:paraId="5959EEA9">
            <w:pPr>
              <w:spacing w:line="320" w:lineRule="exact"/>
              <w:ind w:firstLine="0" w:firstLineChars="0"/>
              <w:rPr>
                <w:rFonts w:asciiTheme="minorHAnsi" w:hAnsiTheme="minorHAnsi" w:cstheme="minorHAnsi"/>
                <w:sz w:val="21"/>
                <w:szCs w:val="21"/>
              </w:rPr>
            </w:pPr>
            <w:r>
              <w:rPr>
                <w:rFonts w:hint="eastAsia" w:cs="Times New Roman"/>
                <w:sz w:val="21"/>
                <w:szCs w:val="21"/>
              </w:rPr>
              <w:t>冯家庄矿段位于彭集矿段东侧2800m处，两矿体距离较远，设计彭集矿段和冯家庄矿段设置1个生产系统。</w:t>
            </w:r>
          </w:p>
        </w:tc>
        <w:tc>
          <w:tcPr>
            <w:tcW w:w="347" w:type="pct"/>
            <w:tcBorders>
              <w:top w:val="single" w:color="auto" w:sz="4" w:space="0"/>
              <w:left w:val="single" w:color="auto" w:sz="4" w:space="0"/>
              <w:bottom w:val="single" w:color="auto" w:sz="4" w:space="0"/>
              <w:right w:val="single" w:color="auto" w:sz="4" w:space="0"/>
            </w:tcBorders>
            <w:vAlign w:val="center"/>
          </w:tcPr>
          <w:p w14:paraId="6A25A76D">
            <w:pPr>
              <w:spacing w:line="320" w:lineRule="exact"/>
              <w:ind w:firstLine="0" w:firstLineChars="0"/>
              <w:jc w:val="center"/>
              <w:rPr>
                <w:rFonts w:asciiTheme="minorHAnsi" w:hAnsiTheme="minorHAnsi" w:cstheme="minorHAnsi"/>
                <w:sz w:val="21"/>
                <w:szCs w:val="21"/>
              </w:rPr>
            </w:pPr>
            <w:r>
              <w:rPr>
                <w:rFonts w:hint="eastAsia" w:cs="Times New Roman"/>
                <w:sz w:val="21"/>
                <w:szCs w:val="21"/>
              </w:rPr>
              <w:t>符合要求</w:t>
            </w:r>
          </w:p>
        </w:tc>
      </w:tr>
      <w:tr w14:paraId="0013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0C102CDD">
            <w:pPr>
              <w:spacing w:line="320" w:lineRule="exact"/>
              <w:ind w:firstLine="0" w:firstLineChars="0"/>
              <w:jc w:val="center"/>
              <w:rPr>
                <w:rFonts w:asciiTheme="minorHAnsi" w:hAnsiTheme="minorHAnsi" w:cstheme="minorHAnsi"/>
                <w:bCs/>
                <w:sz w:val="21"/>
                <w:szCs w:val="21"/>
              </w:rPr>
            </w:pPr>
            <w:r>
              <w:rPr>
                <w:rFonts w:hint="eastAsia" w:asciiTheme="minorHAnsi" w:hAnsiTheme="minorHAnsi" w:cstheme="minorHAnsi"/>
                <w:bCs/>
                <w:sz w:val="21"/>
                <w:szCs w:val="21"/>
              </w:rPr>
              <w:t>2</w:t>
            </w:r>
          </w:p>
        </w:tc>
        <w:tc>
          <w:tcPr>
            <w:tcW w:w="2196" w:type="pct"/>
            <w:tcBorders>
              <w:top w:val="single" w:color="auto" w:sz="4" w:space="0"/>
              <w:left w:val="single" w:color="auto" w:sz="4" w:space="0"/>
              <w:bottom w:val="single" w:color="auto" w:sz="4" w:space="0"/>
              <w:right w:val="single" w:color="auto" w:sz="4" w:space="0"/>
            </w:tcBorders>
            <w:vAlign w:val="center"/>
          </w:tcPr>
          <w:p w14:paraId="6395D720">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下列地段和地区不应选为厂址：发震断层和抗震设防烈度为9度及高于9度的地震区；有严重放射性物质污染影响区；生活居住区、文教区、水源保护区、名胜古迹、风景游览区、温泉、疗养区、自然保护区和其它需要特别保护的区域；对飞机起落、电台通讯、电视转播、雷达导航和重要的天文、气象、地震观察以及军事设施等规定有影响的范围内；很严重的自重湿陷性黄土地段，厚度大的新近堆积黄土地段和高压缩性的饱和黄土地段等地质条件恶劣地段；具有开采价值的矿藏区；受海啸或湖涌危害的地区。</w:t>
            </w:r>
          </w:p>
        </w:tc>
        <w:tc>
          <w:tcPr>
            <w:tcW w:w="1192" w:type="pct"/>
            <w:tcBorders>
              <w:top w:val="single" w:color="auto" w:sz="4" w:space="0"/>
              <w:left w:val="single" w:color="auto" w:sz="4" w:space="0"/>
              <w:bottom w:val="single" w:color="auto" w:sz="4" w:space="0"/>
              <w:right w:val="single" w:color="auto" w:sz="4" w:space="0"/>
            </w:tcBorders>
            <w:vAlign w:val="center"/>
          </w:tcPr>
          <w:p w14:paraId="066AD35A">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《工业企业总平面设计规范》</w:t>
            </w:r>
          </w:p>
          <w:p w14:paraId="4B3AC650">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（GB50187-2012）</w:t>
            </w:r>
          </w:p>
          <w:p w14:paraId="28D6C1C2">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第</w:t>
            </w:r>
            <w:r>
              <w:rPr>
                <w:rFonts w:asciiTheme="minorHAnsi" w:hAnsiTheme="minorHAnsi" w:cstheme="minorHAnsi"/>
                <w:sz w:val="21"/>
                <w:szCs w:val="28"/>
              </w:rPr>
              <w:t>3.0.14条</w:t>
            </w:r>
          </w:p>
        </w:tc>
        <w:tc>
          <w:tcPr>
            <w:tcW w:w="1003" w:type="pct"/>
            <w:tcBorders>
              <w:top w:val="single" w:color="auto" w:sz="4" w:space="0"/>
              <w:left w:val="single" w:color="auto" w:sz="4" w:space="0"/>
              <w:bottom w:val="single" w:color="auto" w:sz="4" w:space="0"/>
              <w:right w:val="single" w:color="auto" w:sz="4" w:space="0"/>
            </w:tcBorders>
            <w:vAlign w:val="center"/>
          </w:tcPr>
          <w:p w14:paraId="51D3E905">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地震烈度6度区，</w:t>
            </w:r>
            <w:r>
              <w:rPr>
                <w:rFonts w:hint="eastAsia" w:asciiTheme="minorHAnsi" w:hAnsiTheme="minorHAnsi" w:cstheme="minorHAnsi"/>
                <w:sz w:val="21"/>
                <w:szCs w:val="28"/>
              </w:rPr>
              <w:t>工业场地附近</w:t>
            </w:r>
            <w:r>
              <w:rPr>
                <w:rFonts w:asciiTheme="minorHAnsi" w:hAnsiTheme="minorHAnsi" w:cstheme="minorHAnsi"/>
                <w:sz w:val="21"/>
                <w:szCs w:val="28"/>
              </w:rPr>
              <w:t>无风景名胜区、自然保护区和其它地形地貌景观和地质遗迹。</w:t>
            </w:r>
          </w:p>
        </w:tc>
        <w:tc>
          <w:tcPr>
            <w:tcW w:w="347" w:type="pct"/>
            <w:tcBorders>
              <w:top w:val="single" w:color="auto" w:sz="4" w:space="0"/>
              <w:left w:val="single" w:color="auto" w:sz="4" w:space="0"/>
              <w:bottom w:val="single" w:color="auto" w:sz="4" w:space="0"/>
              <w:right w:val="single" w:color="auto" w:sz="4" w:space="0"/>
            </w:tcBorders>
            <w:vAlign w:val="center"/>
          </w:tcPr>
          <w:p w14:paraId="499F51D6">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23514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02E0AACB">
            <w:pPr>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2</w:t>
            </w:r>
          </w:p>
        </w:tc>
        <w:tc>
          <w:tcPr>
            <w:tcW w:w="2196" w:type="pct"/>
            <w:tcBorders>
              <w:top w:val="single" w:color="auto" w:sz="4" w:space="0"/>
              <w:left w:val="single" w:color="auto" w:sz="4" w:space="0"/>
              <w:bottom w:val="single" w:color="auto" w:sz="4" w:space="0"/>
              <w:right w:val="single" w:color="auto" w:sz="4" w:space="0"/>
            </w:tcBorders>
            <w:vAlign w:val="center"/>
          </w:tcPr>
          <w:p w14:paraId="0004E8CC">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总平面布置应节约集约用地，提高土地利用率。布置时并应符合下列要求：</w:t>
            </w:r>
          </w:p>
          <w:p w14:paraId="576379F9">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1在符合生产流程、操作要求和使用功能的前提下，建筑物、构筑物等设施，应采用联合、集中、多层布置；</w:t>
            </w:r>
          </w:p>
          <w:p w14:paraId="1E4B1F05">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2应按企业规模和功能分区，合理地确定通道宽度；</w:t>
            </w:r>
          </w:p>
          <w:p w14:paraId="42F1BE9C">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3厂区功能分区及建筑物、构筑物的外形宜规整；</w:t>
            </w:r>
          </w:p>
          <w:p w14:paraId="4F2A3E90">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4功能分区内各项设施的布置，应紧凑、合理。</w:t>
            </w:r>
          </w:p>
        </w:tc>
        <w:tc>
          <w:tcPr>
            <w:tcW w:w="1192" w:type="pct"/>
            <w:tcBorders>
              <w:top w:val="single" w:color="auto" w:sz="4" w:space="0"/>
              <w:left w:val="single" w:color="auto" w:sz="4" w:space="0"/>
              <w:bottom w:val="single" w:color="auto" w:sz="4" w:space="0"/>
              <w:right w:val="single" w:color="auto" w:sz="4" w:space="0"/>
            </w:tcBorders>
            <w:vAlign w:val="center"/>
          </w:tcPr>
          <w:p w14:paraId="22AEF6A0">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《工业企业总平面设计规范》</w:t>
            </w:r>
          </w:p>
          <w:p w14:paraId="2D382993">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（GB50187-2012）</w:t>
            </w:r>
          </w:p>
          <w:p w14:paraId="5E9FB0E3">
            <w:pPr>
              <w:spacing w:line="320" w:lineRule="exact"/>
              <w:ind w:firstLine="0" w:firstLineChars="0"/>
              <w:jc w:val="center"/>
              <w:rPr>
                <w:rFonts w:asciiTheme="minorHAnsi" w:hAnsiTheme="minorHAnsi" w:cstheme="minorHAnsi"/>
                <w:sz w:val="21"/>
                <w:szCs w:val="28"/>
              </w:rPr>
            </w:pPr>
            <w:r>
              <w:rPr>
                <w:rFonts w:asciiTheme="minorHAnsi" w:hAnsiTheme="minorHAnsi" w:cstheme="minorHAnsi"/>
                <w:sz w:val="21"/>
                <w:szCs w:val="21"/>
              </w:rPr>
              <w:t>第</w:t>
            </w:r>
            <w:r>
              <w:rPr>
                <w:rFonts w:asciiTheme="minorHAnsi" w:hAnsiTheme="minorHAnsi" w:cstheme="minorHAnsi"/>
                <w:sz w:val="21"/>
                <w:szCs w:val="28"/>
              </w:rPr>
              <w:t>5.1.2条</w:t>
            </w:r>
          </w:p>
        </w:tc>
        <w:tc>
          <w:tcPr>
            <w:tcW w:w="1003" w:type="pct"/>
            <w:tcBorders>
              <w:top w:val="single" w:color="auto" w:sz="4" w:space="0"/>
              <w:left w:val="single" w:color="auto" w:sz="4" w:space="0"/>
              <w:bottom w:val="single" w:color="auto" w:sz="4" w:space="0"/>
              <w:right w:val="single" w:color="auto" w:sz="4" w:space="0"/>
            </w:tcBorders>
            <w:vAlign w:val="center"/>
          </w:tcPr>
          <w:p w14:paraId="2F51CF0E">
            <w:pPr>
              <w:spacing w:line="320" w:lineRule="exact"/>
              <w:ind w:firstLine="0" w:firstLineChars="0"/>
              <w:rPr>
                <w:rFonts w:asciiTheme="minorHAnsi" w:hAnsiTheme="minorHAnsi" w:cstheme="minorHAnsi"/>
                <w:sz w:val="21"/>
                <w:szCs w:val="28"/>
              </w:rPr>
            </w:pPr>
            <w:r>
              <w:rPr>
                <w:rFonts w:asciiTheme="minorHAnsi" w:hAnsiTheme="minorHAnsi" w:cstheme="minorHAnsi"/>
                <w:sz w:val="21"/>
                <w:szCs w:val="28"/>
              </w:rPr>
              <w:t>可研报告中按要求进行了设计。</w:t>
            </w:r>
          </w:p>
        </w:tc>
        <w:tc>
          <w:tcPr>
            <w:tcW w:w="347" w:type="pct"/>
            <w:tcBorders>
              <w:top w:val="single" w:color="auto" w:sz="4" w:space="0"/>
              <w:left w:val="single" w:color="auto" w:sz="4" w:space="0"/>
              <w:bottom w:val="single" w:color="auto" w:sz="4" w:space="0"/>
              <w:right w:val="single" w:color="auto" w:sz="4" w:space="0"/>
            </w:tcBorders>
            <w:vAlign w:val="center"/>
          </w:tcPr>
          <w:p w14:paraId="708116B6">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7E7BE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7F385539">
            <w:pPr>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3</w:t>
            </w:r>
          </w:p>
        </w:tc>
        <w:tc>
          <w:tcPr>
            <w:tcW w:w="2196" w:type="pct"/>
            <w:tcBorders>
              <w:top w:val="single" w:color="auto" w:sz="4" w:space="0"/>
              <w:left w:val="single" w:color="auto" w:sz="4" w:space="0"/>
              <w:bottom w:val="single" w:color="auto" w:sz="4" w:space="0"/>
              <w:right w:val="single" w:color="auto" w:sz="4" w:space="0"/>
            </w:tcBorders>
            <w:vAlign w:val="center"/>
          </w:tcPr>
          <w:p w14:paraId="2F2A67F1">
            <w:pPr>
              <w:adjustRightInd w:val="0"/>
              <w:snapToGrid w:val="0"/>
              <w:spacing w:before="190" w:beforeLines="50" w:after="190" w:afterLines="50" w:line="360" w:lineRule="exact"/>
              <w:ind w:firstLine="0" w:firstLineChars="0"/>
              <w:rPr>
                <w:rFonts w:asciiTheme="minorHAnsi" w:hAnsiTheme="minorHAnsi" w:cstheme="minorHAnsi"/>
                <w:sz w:val="21"/>
                <w:szCs w:val="28"/>
              </w:rPr>
            </w:pPr>
            <w:r>
              <w:rPr>
                <w:rFonts w:asciiTheme="minorHAnsi" w:hAnsiTheme="minorHAnsi" w:cstheme="minorHAnsi"/>
                <w:sz w:val="21"/>
                <w:szCs w:val="28"/>
              </w:rPr>
              <w:t>矿井（竖井、斜井、平硐等）井口的标高应高于当地历史最高洪水位1m以上。工业场地的地面标高应高于当地历史最高洪水位。</w:t>
            </w:r>
          </w:p>
        </w:tc>
        <w:tc>
          <w:tcPr>
            <w:tcW w:w="1192" w:type="pct"/>
            <w:tcBorders>
              <w:top w:val="single" w:color="auto" w:sz="4" w:space="0"/>
              <w:left w:val="single" w:color="auto" w:sz="4" w:space="0"/>
              <w:bottom w:val="single" w:color="auto" w:sz="4" w:space="0"/>
              <w:right w:val="single" w:color="auto" w:sz="4" w:space="0"/>
            </w:tcBorders>
            <w:vAlign w:val="center"/>
          </w:tcPr>
          <w:p w14:paraId="08E24253">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6B171F59">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711A982F">
            <w:pPr>
              <w:spacing w:line="320" w:lineRule="exact"/>
              <w:ind w:firstLine="0" w:firstLineChars="0"/>
              <w:jc w:val="center"/>
              <w:rPr>
                <w:rFonts w:asciiTheme="minorHAnsi" w:hAnsiTheme="minorHAnsi" w:cstheme="minorHAnsi"/>
                <w:sz w:val="21"/>
                <w:szCs w:val="28"/>
              </w:rPr>
            </w:pPr>
            <w:r>
              <w:rPr>
                <w:rFonts w:asciiTheme="minorHAnsi" w:hAnsiTheme="minorHAnsi" w:cstheme="minorHAnsi"/>
                <w:sz w:val="21"/>
                <w:szCs w:val="21"/>
              </w:rPr>
              <w:t>第</w:t>
            </w:r>
            <w:r>
              <w:rPr>
                <w:rFonts w:asciiTheme="minorHAnsi" w:hAnsiTheme="minorHAnsi" w:cstheme="minorHAnsi"/>
                <w:sz w:val="21"/>
                <w:szCs w:val="28"/>
              </w:rPr>
              <w:t>6.8.2.3条</w:t>
            </w:r>
          </w:p>
        </w:tc>
        <w:tc>
          <w:tcPr>
            <w:tcW w:w="1003" w:type="pct"/>
            <w:tcBorders>
              <w:top w:val="single" w:color="auto" w:sz="4" w:space="0"/>
              <w:left w:val="single" w:color="auto" w:sz="4" w:space="0"/>
              <w:bottom w:val="single" w:color="auto" w:sz="4" w:space="0"/>
              <w:right w:val="single" w:color="auto" w:sz="4" w:space="0"/>
            </w:tcBorders>
            <w:vAlign w:val="center"/>
          </w:tcPr>
          <w:p w14:paraId="244D30D9">
            <w:pPr>
              <w:adjustRightInd w:val="0"/>
              <w:snapToGrid w:val="0"/>
              <w:spacing w:line="240" w:lineRule="auto"/>
              <w:ind w:firstLine="0" w:firstLineChars="0"/>
              <w:rPr>
                <w:rFonts w:asciiTheme="minorHAnsi" w:hAnsiTheme="minorHAnsi" w:cstheme="minorHAnsi"/>
                <w:sz w:val="21"/>
                <w:szCs w:val="28"/>
              </w:rPr>
            </w:pPr>
            <w:r>
              <w:rPr>
                <w:rFonts w:hint="eastAsia" w:asciiTheme="minorHAnsi" w:hAnsiTheme="minorHAnsi" w:cstheme="minorHAnsi"/>
                <w:sz w:val="21"/>
                <w:szCs w:val="28"/>
              </w:rPr>
              <w:t>当地历史最高洪水位为</w:t>
            </w:r>
            <w:r>
              <w:rPr>
                <w:rFonts w:asciiTheme="minorHAnsi" w:hAnsiTheme="minorHAnsi" w:cstheme="minorHAnsi"/>
                <w:sz w:val="21"/>
                <w:szCs w:val="28"/>
              </w:rPr>
              <w:t>4</w:t>
            </w:r>
            <w:r>
              <w:rPr>
                <w:rFonts w:hint="eastAsia" w:asciiTheme="minorHAnsi" w:hAnsiTheme="minorHAnsi" w:cstheme="minorHAnsi"/>
                <w:sz w:val="21"/>
                <w:szCs w:val="28"/>
              </w:rPr>
              <w:t>5.5m，主井、副井、1号回风井、进风井井口标高为4</w:t>
            </w:r>
            <w:r>
              <w:rPr>
                <w:rFonts w:asciiTheme="minorHAnsi" w:hAnsiTheme="minorHAnsi" w:cstheme="minorHAnsi"/>
                <w:sz w:val="21"/>
                <w:szCs w:val="28"/>
              </w:rPr>
              <w:t>7</w:t>
            </w:r>
            <w:r>
              <w:rPr>
                <w:rFonts w:hint="eastAsia" w:asciiTheme="minorHAnsi" w:hAnsiTheme="minorHAnsi" w:cstheme="minorHAnsi"/>
                <w:sz w:val="21"/>
                <w:szCs w:val="28"/>
              </w:rPr>
              <w:t>m，2号回风井、冯家庄副井、冯家庄回风井井口标高4</w:t>
            </w:r>
            <w:r>
              <w:rPr>
                <w:rFonts w:asciiTheme="minorHAnsi" w:hAnsiTheme="minorHAnsi" w:cstheme="minorHAnsi"/>
                <w:sz w:val="21"/>
                <w:szCs w:val="28"/>
              </w:rPr>
              <w:t>8</w:t>
            </w:r>
            <w:r>
              <w:rPr>
                <w:rFonts w:hint="eastAsia" w:asciiTheme="minorHAnsi" w:hAnsiTheme="minorHAnsi" w:cstheme="minorHAnsi"/>
                <w:sz w:val="21"/>
                <w:szCs w:val="28"/>
              </w:rPr>
              <w:t>m，均高于历史最高洪水位1m以上，受地表洪水淹没的危险性较小</w:t>
            </w:r>
            <w:r>
              <w:rPr>
                <w:rFonts w:asciiTheme="minorHAnsi" w:hAnsiTheme="minorHAnsi" w:cstheme="minorHAnsi"/>
                <w:sz w:val="21"/>
                <w:szCs w:val="28"/>
              </w:rPr>
              <w:t>。</w:t>
            </w:r>
          </w:p>
        </w:tc>
        <w:tc>
          <w:tcPr>
            <w:tcW w:w="347" w:type="pct"/>
            <w:tcBorders>
              <w:top w:val="single" w:color="auto" w:sz="4" w:space="0"/>
              <w:left w:val="single" w:color="auto" w:sz="4" w:space="0"/>
              <w:bottom w:val="single" w:color="auto" w:sz="4" w:space="0"/>
              <w:right w:val="single" w:color="auto" w:sz="4" w:space="0"/>
            </w:tcBorders>
            <w:vAlign w:val="center"/>
          </w:tcPr>
          <w:p w14:paraId="4057AC5B">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7B397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72B55BFF">
            <w:pPr>
              <w:snapToGrid w:val="0"/>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4</w:t>
            </w:r>
          </w:p>
        </w:tc>
        <w:tc>
          <w:tcPr>
            <w:tcW w:w="2196" w:type="pct"/>
            <w:tcBorders>
              <w:top w:val="single" w:color="auto" w:sz="4" w:space="0"/>
              <w:left w:val="single" w:color="auto" w:sz="4" w:space="0"/>
              <w:bottom w:val="single" w:color="auto" w:sz="4" w:space="0"/>
              <w:right w:val="single" w:color="auto" w:sz="4" w:space="0"/>
            </w:tcBorders>
            <w:vAlign w:val="center"/>
          </w:tcPr>
          <w:p w14:paraId="3297282B">
            <w:pPr>
              <w:adjustRightInd w:val="0"/>
              <w:snapToGrid w:val="0"/>
              <w:spacing w:line="240" w:lineRule="auto"/>
              <w:ind w:firstLine="0" w:firstLineChars="0"/>
              <w:rPr>
                <w:rFonts w:asciiTheme="minorHAnsi" w:hAnsiTheme="minorHAnsi" w:cstheme="minorHAnsi"/>
                <w:sz w:val="21"/>
                <w:szCs w:val="28"/>
              </w:rPr>
            </w:pPr>
            <w:r>
              <w:rPr>
                <w:rFonts w:asciiTheme="minorHAnsi" w:hAnsiTheme="minorHAnsi" w:cstheme="minorHAnsi"/>
                <w:sz w:val="21"/>
                <w:szCs w:val="28"/>
              </w:rPr>
              <w:t>厂址应具有满足建设工程需要的工程地质条件和水文地质条件。</w:t>
            </w:r>
          </w:p>
        </w:tc>
        <w:tc>
          <w:tcPr>
            <w:tcW w:w="1192" w:type="pct"/>
            <w:tcBorders>
              <w:top w:val="single" w:color="auto" w:sz="4" w:space="0"/>
              <w:left w:val="single" w:color="auto" w:sz="4" w:space="0"/>
              <w:bottom w:val="single" w:color="auto" w:sz="4" w:space="0"/>
              <w:right w:val="single" w:color="auto" w:sz="4" w:space="0"/>
            </w:tcBorders>
            <w:vAlign w:val="center"/>
          </w:tcPr>
          <w:p w14:paraId="6BECCE10">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《工业企业总平面设计规范》</w:t>
            </w:r>
          </w:p>
          <w:p w14:paraId="76AA30D9">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（GB50187-2012）</w:t>
            </w:r>
          </w:p>
          <w:p w14:paraId="7A20EA8B">
            <w:pPr>
              <w:adjustRightInd w:val="0"/>
              <w:snapToGrid w:val="0"/>
              <w:spacing w:line="240" w:lineRule="auto"/>
              <w:ind w:firstLine="0" w:firstLineChars="0"/>
              <w:jc w:val="center"/>
              <w:rPr>
                <w:rFonts w:asciiTheme="minorHAnsi" w:hAnsiTheme="minorHAnsi" w:cstheme="minorHAnsi"/>
                <w:sz w:val="21"/>
                <w:szCs w:val="28"/>
              </w:rPr>
            </w:pPr>
            <w:r>
              <w:rPr>
                <w:rFonts w:asciiTheme="minorHAnsi" w:hAnsiTheme="minorHAnsi" w:cstheme="minorHAnsi"/>
                <w:sz w:val="21"/>
                <w:szCs w:val="21"/>
              </w:rPr>
              <w:t>第</w:t>
            </w:r>
            <w:r>
              <w:rPr>
                <w:rFonts w:asciiTheme="minorHAnsi" w:hAnsiTheme="minorHAnsi" w:cstheme="minorHAnsi"/>
                <w:sz w:val="21"/>
                <w:szCs w:val="28"/>
              </w:rPr>
              <w:t>3.0.8条</w:t>
            </w:r>
          </w:p>
        </w:tc>
        <w:tc>
          <w:tcPr>
            <w:tcW w:w="1003" w:type="pct"/>
            <w:tcBorders>
              <w:top w:val="single" w:color="auto" w:sz="4" w:space="0"/>
              <w:left w:val="single" w:color="auto" w:sz="4" w:space="0"/>
              <w:bottom w:val="single" w:color="auto" w:sz="4" w:space="0"/>
              <w:right w:val="single" w:color="auto" w:sz="4" w:space="0"/>
            </w:tcBorders>
            <w:vAlign w:val="center"/>
          </w:tcPr>
          <w:p w14:paraId="5BD2BE1F">
            <w:pPr>
              <w:adjustRightInd w:val="0"/>
              <w:snapToGrid w:val="0"/>
              <w:spacing w:line="240" w:lineRule="auto"/>
              <w:ind w:firstLine="0" w:firstLineChars="0"/>
              <w:rPr>
                <w:rFonts w:asciiTheme="minorHAnsi" w:hAnsiTheme="minorHAnsi" w:cstheme="minorHAnsi"/>
                <w:sz w:val="21"/>
                <w:szCs w:val="28"/>
              </w:rPr>
            </w:pPr>
            <w:r>
              <w:rPr>
                <w:rFonts w:asciiTheme="minorHAnsi" w:hAnsiTheme="minorHAnsi" w:cstheme="minorHAnsi"/>
                <w:sz w:val="21"/>
                <w:szCs w:val="28"/>
              </w:rPr>
              <w:t>该项目</w:t>
            </w:r>
            <w:r>
              <w:rPr>
                <w:rFonts w:hint="eastAsia" w:cs="Times New Roman"/>
                <w:sz w:val="21"/>
                <w:szCs w:val="21"/>
              </w:rPr>
              <w:t>为新建工程，</w:t>
            </w:r>
            <w:r>
              <w:rPr>
                <w:rFonts w:asciiTheme="minorHAnsi" w:hAnsiTheme="minorHAnsi" w:cstheme="minorHAnsi"/>
                <w:sz w:val="21"/>
                <w:szCs w:val="28"/>
              </w:rPr>
              <w:t>厂址具有满足建设工程需要的工程地质条件和水文地质条件。</w:t>
            </w:r>
          </w:p>
        </w:tc>
        <w:tc>
          <w:tcPr>
            <w:tcW w:w="347" w:type="pct"/>
            <w:tcBorders>
              <w:top w:val="single" w:color="auto" w:sz="4" w:space="0"/>
              <w:left w:val="single" w:color="auto" w:sz="4" w:space="0"/>
              <w:bottom w:val="single" w:color="auto" w:sz="4" w:space="0"/>
              <w:right w:val="single" w:color="auto" w:sz="4" w:space="0"/>
            </w:tcBorders>
            <w:vAlign w:val="center"/>
          </w:tcPr>
          <w:p w14:paraId="3ED48D32">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7C57C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670FEC7A">
            <w:pPr>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5</w:t>
            </w:r>
          </w:p>
        </w:tc>
        <w:tc>
          <w:tcPr>
            <w:tcW w:w="2196" w:type="pct"/>
            <w:tcBorders>
              <w:top w:val="single" w:color="auto" w:sz="4" w:space="0"/>
              <w:left w:val="single" w:color="auto" w:sz="4" w:space="0"/>
              <w:bottom w:val="single" w:color="auto" w:sz="4" w:space="0"/>
              <w:right w:val="single" w:color="auto" w:sz="4" w:space="0"/>
            </w:tcBorders>
            <w:vAlign w:val="center"/>
          </w:tcPr>
          <w:p w14:paraId="68EFFB14">
            <w:pPr>
              <w:adjustRightInd w:val="0"/>
              <w:snapToGrid w:val="0"/>
              <w:spacing w:line="360" w:lineRule="exact"/>
              <w:ind w:firstLine="0" w:firstLineChars="0"/>
              <w:rPr>
                <w:rFonts w:asciiTheme="minorHAnsi" w:hAnsiTheme="minorHAnsi" w:cstheme="minorHAnsi"/>
                <w:sz w:val="21"/>
                <w:szCs w:val="21"/>
              </w:rPr>
            </w:pPr>
            <w:r>
              <w:rPr>
                <w:rFonts w:hint="eastAsia"/>
                <w:sz w:val="21"/>
                <w:szCs w:val="21"/>
              </w:rPr>
              <w:t>厂址应具有满足生产、生活及发展所必需的水源和电源。水源和电源与厂址之间的管线连接应尽量短捷，且用水、用电量（特别）大的工业企业宜靠近水源及电源地。</w:t>
            </w:r>
          </w:p>
        </w:tc>
        <w:tc>
          <w:tcPr>
            <w:tcW w:w="1192" w:type="pct"/>
            <w:tcBorders>
              <w:top w:val="single" w:color="auto" w:sz="4" w:space="0"/>
              <w:left w:val="single" w:color="auto" w:sz="4" w:space="0"/>
              <w:bottom w:val="single" w:color="auto" w:sz="4" w:space="0"/>
              <w:right w:val="single" w:color="auto" w:sz="4" w:space="0"/>
            </w:tcBorders>
            <w:vAlign w:val="center"/>
          </w:tcPr>
          <w:p w14:paraId="59802AA5">
            <w:pPr>
              <w:pStyle w:val="67"/>
              <w:ind w:left="-56" w:right="-56"/>
              <w:rPr>
                <w:szCs w:val="21"/>
              </w:rPr>
            </w:pPr>
            <w:r>
              <w:rPr>
                <w:rFonts w:hint="eastAsia"/>
                <w:szCs w:val="21"/>
              </w:rPr>
              <w:t>《工业企业总平面设计规范》</w:t>
            </w:r>
          </w:p>
          <w:p w14:paraId="24F0E9DD">
            <w:pPr>
              <w:pStyle w:val="67"/>
              <w:ind w:left="-56" w:right="-56"/>
              <w:rPr>
                <w:szCs w:val="21"/>
              </w:rPr>
            </w:pPr>
            <w:r>
              <w:rPr>
                <w:szCs w:val="21"/>
              </w:rPr>
              <w:t>GB50187-2012</w:t>
            </w:r>
          </w:p>
          <w:p w14:paraId="494888AB">
            <w:pPr>
              <w:adjustRightInd w:val="0"/>
              <w:snapToGrid w:val="0"/>
              <w:spacing w:line="360" w:lineRule="exact"/>
              <w:ind w:firstLine="0" w:firstLineChars="0"/>
              <w:jc w:val="center"/>
              <w:rPr>
                <w:rFonts w:asciiTheme="minorHAnsi" w:hAnsiTheme="minorHAnsi" w:cstheme="minorHAnsi"/>
                <w:sz w:val="21"/>
                <w:szCs w:val="21"/>
              </w:rPr>
            </w:pPr>
            <w:r>
              <w:rPr>
                <w:rFonts w:hint="eastAsia"/>
                <w:bCs/>
                <w:sz w:val="21"/>
                <w:szCs w:val="21"/>
              </w:rPr>
              <w:t>第</w:t>
            </w:r>
            <w:r>
              <w:rPr>
                <w:sz w:val="21"/>
                <w:szCs w:val="21"/>
              </w:rPr>
              <w:t>3.0.6</w:t>
            </w:r>
            <w:r>
              <w:rPr>
                <w:rFonts w:hint="eastAsia"/>
                <w:bCs/>
                <w:sz w:val="21"/>
                <w:szCs w:val="21"/>
              </w:rPr>
              <w:t>条</w:t>
            </w:r>
          </w:p>
        </w:tc>
        <w:tc>
          <w:tcPr>
            <w:tcW w:w="1003" w:type="pct"/>
            <w:tcBorders>
              <w:top w:val="single" w:color="auto" w:sz="4" w:space="0"/>
              <w:left w:val="single" w:color="auto" w:sz="4" w:space="0"/>
              <w:bottom w:val="single" w:color="auto" w:sz="4" w:space="0"/>
              <w:right w:val="single" w:color="auto" w:sz="4" w:space="0"/>
            </w:tcBorders>
            <w:vAlign w:val="center"/>
          </w:tcPr>
          <w:p w14:paraId="7EAFE999">
            <w:pPr>
              <w:adjustRightInd w:val="0"/>
              <w:snapToGrid w:val="0"/>
              <w:spacing w:line="360" w:lineRule="exact"/>
              <w:ind w:firstLine="0" w:firstLineChars="0"/>
              <w:rPr>
                <w:rFonts w:asciiTheme="minorHAnsi" w:hAnsiTheme="minorHAnsi" w:cstheme="minorHAnsi"/>
                <w:sz w:val="21"/>
                <w:szCs w:val="21"/>
              </w:rPr>
            </w:pPr>
            <w:r>
              <w:rPr>
                <w:rFonts w:hint="eastAsia" w:cs="Times New Roman"/>
                <w:sz w:val="21"/>
                <w:szCs w:val="21"/>
              </w:rPr>
              <w:t>厂址满足要求。</w:t>
            </w:r>
          </w:p>
        </w:tc>
        <w:tc>
          <w:tcPr>
            <w:tcW w:w="347" w:type="pct"/>
            <w:tcBorders>
              <w:top w:val="single" w:color="auto" w:sz="4" w:space="0"/>
              <w:left w:val="single" w:color="auto" w:sz="4" w:space="0"/>
              <w:bottom w:val="single" w:color="auto" w:sz="4" w:space="0"/>
              <w:right w:val="single" w:color="auto" w:sz="4" w:space="0"/>
            </w:tcBorders>
            <w:vAlign w:val="center"/>
          </w:tcPr>
          <w:p w14:paraId="3DA19ED9">
            <w:pPr>
              <w:adjustRightInd w:val="0"/>
              <w:snapToGrid w:val="0"/>
              <w:spacing w:line="320" w:lineRule="exact"/>
              <w:ind w:firstLine="0" w:firstLineChars="0"/>
              <w:jc w:val="center"/>
              <w:rPr>
                <w:rFonts w:asciiTheme="minorHAnsi" w:hAnsiTheme="minorHAnsi" w:cstheme="minorHAnsi"/>
                <w:sz w:val="21"/>
                <w:szCs w:val="21"/>
              </w:rPr>
            </w:pPr>
            <w:r>
              <w:rPr>
                <w:rFonts w:hint="eastAsia" w:cs="Times New Roman"/>
                <w:sz w:val="21"/>
                <w:szCs w:val="21"/>
              </w:rPr>
              <w:t>符合要求</w:t>
            </w:r>
          </w:p>
        </w:tc>
      </w:tr>
      <w:tr w14:paraId="5EF27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4E4ECA16">
            <w:pPr>
              <w:snapToGrid w:val="0"/>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6</w:t>
            </w:r>
          </w:p>
        </w:tc>
        <w:tc>
          <w:tcPr>
            <w:tcW w:w="2196" w:type="pct"/>
            <w:tcBorders>
              <w:top w:val="single" w:color="auto" w:sz="4" w:space="0"/>
              <w:left w:val="single" w:color="auto" w:sz="4" w:space="0"/>
              <w:bottom w:val="single" w:color="auto" w:sz="4" w:space="0"/>
              <w:right w:val="single" w:color="auto" w:sz="4" w:space="0"/>
            </w:tcBorders>
            <w:vAlign w:val="center"/>
          </w:tcPr>
          <w:p w14:paraId="3FAB9252">
            <w:pPr>
              <w:adjustRightInd w:val="0"/>
              <w:snapToGrid w:val="0"/>
              <w:spacing w:line="240" w:lineRule="auto"/>
              <w:ind w:firstLine="0" w:firstLineChars="0"/>
              <w:rPr>
                <w:rFonts w:asciiTheme="minorHAnsi" w:hAnsiTheme="minorHAnsi" w:cstheme="minorHAnsi"/>
                <w:sz w:val="21"/>
                <w:szCs w:val="21"/>
              </w:rPr>
            </w:pPr>
            <w:r>
              <w:rPr>
                <w:rFonts w:hint="eastAsia"/>
                <w:sz w:val="21"/>
                <w:szCs w:val="21"/>
              </w:rPr>
              <w:t>厂址应位于不受洪水、潮水或内涝威胁的地带；当不可避免时，心须具有可靠的防洪、排涝措施。</w:t>
            </w:r>
          </w:p>
        </w:tc>
        <w:tc>
          <w:tcPr>
            <w:tcW w:w="1192" w:type="pct"/>
            <w:tcBorders>
              <w:top w:val="single" w:color="auto" w:sz="4" w:space="0"/>
              <w:left w:val="single" w:color="auto" w:sz="4" w:space="0"/>
              <w:bottom w:val="single" w:color="auto" w:sz="4" w:space="0"/>
              <w:right w:val="single" w:color="auto" w:sz="4" w:space="0"/>
            </w:tcBorders>
            <w:vAlign w:val="center"/>
          </w:tcPr>
          <w:p w14:paraId="341935F2">
            <w:pPr>
              <w:pStyle w:val="67"/>
              <w:snapToGrid w:val="0"/>
              <w:spacing w:line="240" w:lineRule="auto"/>
              <w:ind w:left="-56" w:right="-56"/>
              <w:rPr>
                <w:szCs w:val="21"/>
              </w:rPr>
            </w:pPr>
            <w:r>
              <w:rPr>
                <w:rFonts w:hint="eastAsia"/>
                <w:szCs w:val="21"/>
              </w:rPr>
              <w:t>《工业企业总平面设计规范》</w:t>
            </w:r>
          </w:p>
          <w:p w14:paraId="46375CCE">
            <w:pPr>
              <w:pStyle w:val="67"/>
              <w:snapToGrid w:val="0"/>
              <w:spacing w:line="240" w:lineRule="auto"/>
              <w:ind w:left="-56" w:right="-56"/>
              <w:rPr>
                <w:szCs w:val="21"/>
              </w:rPr>
            </w:pPr>
            <w:r>
              <w:rPr>
                <w:szCs w:val="21"/>
              </w:rPr>
              <w:t>GB50187-2012</w:t>
            </w:r>
          </w:p>
          <w:p w14:paraId="54F02726">
            <w:pPr>
              <w:adjustRightInd w:val="0"/>
              <w:snapToGrid w:val="0"/>
              <w:spacing w:line="240" w:lineRule="auto"/>
              <w:ind w:firstLine="0" w:firstLineChars="0"/>
              <w:jc w:val="center"/>
              <w:rPr>
                <w:rFonts w:asciiTheme="minorHAnsi" w:hAnsiTheme="minorHAnsi" w:cstheme="minorHAnsi"/>
                <w:sz w:val="21"/>
                <w:szCs w:val="21"/>
              </w:rPr>
            </w:pPr>
            <w:r>
              <w:rPr>
                <w:rFonts w:hint="eastAsia"/>
                <w:bCs/>
                <w:sz w:val="21"/>
                <w:szCs w:val="21"/>
              </w:rPr>
              <w:t>第</w:t>
            </w:r>
            <w:r>
              <w:rPr>
                <w:sz w:val="21"/>
                <w:szCs w:val="21"/>
              </w:rPr>
              <w:t>3.0.12</w:t>
            </w:r>
            <w:r>
              <w:rPr>
                <w:rFonts w:hint="eastAsia"/>
                <w:bCs/>
                <w:sz w:val="21"/>
                <w:szCs w:val="21"/>
              </w:rPr>
              <w:t>条</w:t>
            </w:r>
          </w:p>
        </w:tc>
        <w:tc>
          <w:tcPr>
            <w:tcW w:w="1003" w:type="pct"/>
            <w:tcBorders>
              <w:top w:val="single" w:color="auto" w:sz="4" w:space="0"/>
              <w:left w:val="single" w:color="auto" w:sz="4" w:space="0"/>
              <w:bottom w:val="single" w:color="auto" w:sz="4" w:space="0"/>
              <w:right w:val="single" w:color="auto" w:sz="4" w:space="0"/>
            </w:tcBorders>
            <w:vAlign w:val="center"/>
          </w:tcPr>
          <w:p w14:paraId="1C1AAE41">
            <w:pPr>
              <w:adjustRightInd w:val="0"/>
              <w:snapToGrid w:val="0"/>
              <w:spacing w:line="240" w:lineRule="auto"/>
              <w:ind w:firstLine="0" w:firstLineChars="0"/>
              <w:rPr>
                <w:rFonts w:asciiTheme="minorHAnsi" w:hAnsiTheme="minorHAnsi" w:cstheme="minorHAnsi"/>
                <w:sz w:val="21"/>
                <w:szCs w:val="21"/>
              </w:rPr>
            </w:pPr>
            <w:r>
              <w:rPr>
                <w:rFonts w:hint="eastAsia" w:cs="Times New Roman"/>
                <w:sz w:val="21"/>
                <w:szCs w:val="21"/>
              </w:rPr>
              <w:t>工业场地内相关建筑物不受洪水、 潮水或内涝威胁。</w:t>
            </w:r>
          </w:p>
        </w:tc>
        <w:tc>
          <w:tcPr>
            <w:tcW w:w="347" w:type="pct"/>
            <w:tcBorders>
              <w:top w:val="single" w:color="auto" w:sz="4" w:space="0"/>
              <w:left w:val="single" w:color="auto" w:sz="4" w:space="0"/>
              <w:bottom w:val="single" w:color="auto" w:sz="4" w:space="0"/>
              <w:right w:val="single" w:color="auto" w:sz="4" w:space="0"/>
            </w:tcBorders>
            <w:vAlign w:val="center"/>
          </w:tcPr>
          <w:p w14:paraId="469BB819">
            <w:pPr>
              <w:adjustRightInd w:val="0"/>
              <w:snapToGrid w:val="0"/>
              <w:spacing w:line="240" w:lineRule="auto"/>
              <w:ind w:firstLine="0" w:firstLineChars="0"/>
              <w:jc w:val="center"/>
              <w:rPr>
                <w:rFonts w:asciiTheme="minorHAnsi" w:hAnsiTheme="minorHAnsi" w:cstheme="minorHAnsi"/>
                <w:sz w:val="21"/>
                <w:szCs w:val="21"/>
              </w:rPr>
            </w:pPr>
            <w:r>
              <w:rPr>
                <w:rFonts w:hint="eastAsia" w:cs="Times New Roman"/>
                <w:sz w:val="21"/>
                <w:szCs w:val="21"/>
              </w:rPr>
              <w:t>符合要求</w:t>
            </w:r>
          </w:p>
        </w:tc>
      </w:tr>
      <w:tr w14:paraId="7D77E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15FF9E1E">
            <w:pPr>
              <w:snapToGrid w:val="0"/>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7</w:t>
            </w:r>
          </w:p>
        </w:tc>
        <w:tc>
          <w:tcPr>
            <w:tcW w:w="2196" w:type="pct"/>
            <w:tcBorders>
              <w:top w:val="single" w:color="auto" w:sz="4" w:space="0"/>
              <w:left w:val="single" w:color="auto" w:sz="4" w:space="0"/>
              <w:bottom w:val="single" w:color="auto" w:sz="4" w:space="0"/>
              <w:right w:val="single" w:color="auto" w:sz="4" w:space="0"/>
            </w:tcBorders>
            <w:vAlign w:val="center"/>
          </w:tcPr>
          <w:p w14:paraId="0A619515">
            <w:pPr>
              <w:adjustRightInd w:val="0"/>
              <w:snapToGrid w:val="0"/>
              <w:spacing w:before="190" w:beforeLines="50" w:after="190" w:afterLines="50" w:line="240" w:lineRule="auto"/>
              <w:ind w:firstLine="0" w:firstLineChars="0"/>
              <w:rPr>
                <w:rFonts w:asciiTheme="minorHAnsi" w:hAnsiTheme="minorHAnsi" w:cstheme="minorHAnsi"/>
                <w:sz w:val="21"/>
                <w:szCs w:val="21"/>
              </w:rPr>
            </w:pPr>
            <w:r>
              <w:rPr>
                <w:rFonts w:hint="eastAsia" w:cs="Times New Roman"/>
                <w:sz w:val="21"/>
                <w:szCs w:val="21"/>
              </w:rPr>
              <w:t>矿山企业的办公区、生活区、工业场地、地面建筑等，不应设在危崖、塌陷区、崩落区，不应设在受尘毒、污风影响区域内，不应受洪水、泥石流、爆破威胁。</w:t>
            </w:r>
          </w:p>
        </w:tc>
        <w:tc>
          <w:tcPr>
            <w:tcW w:w="1192" w:type="pct"/>
            <w:tcBorders>
              <w:top w:val="single" w:color="auto" w:sz="4" w:space="0"/>
              <w:left w:val="single" w:color="auto" w:sz="4" w:space="0"/>
              <w:bottom w:val="single" w:color="auto" w:sz="4" w:space="0"/>
              <w:right w:val="single" w:color="auto" w:sz="4" w:space="0"/>
            </w:tcBorders>
            <w:vAlign w:val="center"/>
          </w:tcPr>
          <w:p w14:paraId="5CA0F23C">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2579DD10">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4F226C8E">
            <w:pPr>
              <w:adjustRightInd w:val="0"/>
              <w:snapToGrid w:val="0"/>
              <w:spacing w:before="190" w:beforeLines="50" w:after="190" w:afterLines="50" w:line="240" w:lineRule="auto"/>
              <w:ind w:firstLine="0" w:firstLineChars="0"/>
              <w:jc w:val="center"/>
              <w:rPr>
                <w:rFonts w:asciiTheme="minorHAnsi" w:hAnsiTheme="minorHAnsi" w:cstheme="minorHAnsi"/>
                <w:sz w:val="21"/>
                <w:szCs w:val="21"/>
              </w:rPr>
            </w:pPr>
            <w:r>
              <w:rPr>
                <w:rFonts w:cs="Times New Roman"/>
                <w:sz w:val="21"/>
                <w:szCs w:val="21"/>
              </w:rPr>
              <w:t>第4.6.1条</w:t>
            </w:r>
          </w:p>
        </w:tc>
        <w:tc>
          <w:tcPr>
            <w:tcW w:w="1003" w:type="pct"/>
            <w:tcBorders>
              <w:top w:val="single" w:color="auto" w:sz="4" w:space="0"/>
              <w:left w:val="single" w:color="auto" w:sz="4" w:space="0"/>
              <w:bottom w:val="single" w:color="auto" w:sz="4" w:space="0"/>
              <w:right w:val="single" w:color="auto" w:sz="4" w:space="0"/>
            </w:tcBorders>
            <w:vAlign w:val="center"/>
          </w:tcPr>
          <w:p w14:paraId="76AB50D6">
            <w:pPr>
              <w:adjustRightInd w:val="0"/>
              <w:snapToGrid w:val="0"/>
              <w:spacing w:before="190" w:beforeLines="50" w:after="190" w:afterLines="50" w:line="240" w:lineRule="auto"/>
              <w:ind w:firstLine="0" w:firstLineChars="0"/>
              <w:rPr>
                <w:rFonts w:asciiTheme="minorHAnsi" w:hAnsiTheme="minorHAnsi" w:cstheme="minorHAnsi"/>
                <w:sz w:val="21"/>
                <w:szCs w:val="21"/>
              </w:rPr>
            </w:pPr>
            <w:r>
              <w:rPr>
                <w:rFonts w:hint="eastAsia" w:cs="Times New Roman"/>
                <w:sz w:val="21"/>
                <w:szCs w:val="21"/>
              </w:rPr>
              <w:t>办公区、生活区、工业场地等选址满足要求。</w:t>
            </w:r>
          </w:p>
        </w:tc>
        <w:tc>
          <w:tcPr>
            <w:tcW w:w="347" w:type="pct"/>
            <w:tcBorders>
              <w:top w:val="single" w:color="auto" w:sz="4" w:space="0"/>
              <w:left w:val="single" w:color="auto" w:sz="4" w:space="0"/>
              <w:bottom w:val="single" w:color="auto" w:sz="4" w:space="0"/>
              <w:right w:val="single" w:color="auto" w:sz="4" w:space="0"/>
            </w:tcBorders>
            <w:vAlign w:val="center"/>
          </w:tcPr>
          <w:p w14:paraId="25490600">
            <w:pPr>
              <w:snapToGrid w:val="0"/>
              <w:spacing w:line="240" w:lineRule="auto"/>
              <w:ind w:firstLine="0" w:firstLineChars="0"/>
              <w:jc w:val="center"/>
              <w:rPr>
                <w:rFonts w:asciiTheme="minorHAnsi" w:hAnsiTheme="minorHAnsi" w:cstheme="minorHAnsi"/>
                <w:sz w:val="21"/>
                <w:szCs w:val="21"/>
              </w:rPr>
            </w:pPr>
            <w:r>
              <w:rPr>
                <w:rFonts w:hint="eastAsia" w:cs="Times New Roman"/>
                <w:sz w:val="21"/>
                <w:szCs w:val="21"/>
              </w:rPr>
              <w:t>符合要求</w:t>
            </w:r>
          </w:p>
        </w:tc>
      </w:tr>
      <w:tr w14:paraId="4BEA3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7B4B5467">
            <w:pPr>
              <w:snapToGrid w:val="0"/>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8</w:t>
            </w:r>
          </w:p>
        </w:tc>
        <w:tc>
          <w:tcPr>
            <w:tcW w:w="2196" w:type="pct"/>
            <w:tcBorders>
              <w:top w:val="single" w:color="auto" w:sz="4" w:space="0"/>
              <w:left w:val="single" w:color="auto" w:sz="4" w:space="0"/>
              <w:bottom w:val="single" w:color="auto" w:sz="4" w:space="0"/>
              <w:right w:val="single" w:color="auto" w:sz="4" w:space="0"/>
            </w:tcBorders>
            <w:vAlign w:val="center"/>
          </w:tcPr>
          <w:p w14:paraId="13F1EDA1">
            <w:pPr>
              <w:adjustRightInd w:val="0"/>
              <w:snapToGrid w:val="0"/>
              <w:spacing w:before="190" w:beforeLines="50" w:after="190" w:afterLines="50" w:line="240" w:lineRule="auto"/>
              <w:ind w:firstLine="0" w:firstLineChars="0"/>
              <w:rPr>
                <w:rFonts w:asciiTheme="minorHAnsi" w:hAnsiTheme="minorHAnsi" w:cstheme="minorHAnsi"/>
                <w:sz w:val="21"/>
                <w:szCs w:val="21"/>
              </w:rPr>
            </w:pPr>
            <w:r>
              <w:rPr>
                <w:rFonts w:hint="eastAsia" w:cs="Times New Roman"/>
                <w:sz w:val="21"/>
                <w:szCs w:val="21"/>
              </w:rPr>
              <w:t>地下开采时，应圈定岩体移动范围或岩体移动监测范围；地表主要建构筑物、主要井筒应布置在地表岩体移动范围之外，或者留保安矿柱消除其影响。</w:t>
            </w:r>
          </w:p>
        </w:tc>
        <w:tc>
          <w:tcPr>
            <w:tcW w:w="1192" w:type="pct"/>
            <w:tcBorders>
              <w:top w:val="single" w:color="auto" w:sz="4" w:space="0"/>
              <w:left w:val="single" w:color="auto" w:sz="4" w:space="0"/>
              <w:bottom w:val="single" w:color="auto" w:sz="4" w:space="0"/>
              <w:right w:val="single" w:color="auto" w:sz="4" w:space="0"/>
            </w:tcBorders>
            <w:vAlign w:val="center"/>
          </w:tcPr>
          <w:p w14:paraId="4335F6D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084C005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6B58F5F">
            <w:pPr>
              <w:adjustRightInd w:val="0"/>
              <w:snapToGrid w:val="0"/>
              <w:spacing w:before="190" w:beforeLines="50" w:after="190" w:afterLines="50" w:line="240" w:lineRule="auto"/>
              <w:ind w:firstLine="0" w:firstLineChars="0"/>
              <w:jc w:val="center"/>
              <w:rPr>
                <w:rFonts w:asciiTheme="minorHAnsi" w:hAnsiTheme="minorHAnsi" w:cstheme="minorHAnsi"/>
                <w:sz w:val="21"/>
                <w:szCs w:val="21"/>
              </w:rPr>
            </w:pPr>
            <w:r>
              <w:rPr>
                <w:rFonts w:cs="Times New Roman"/>
                <w:sz w:val="21"/>
                <w:szCs w:val="21"/>
              </w:rPr>
              <w:t>第6.3.1.2条</w:t>
            </w:r>
          </w:p>
        </w:tc>
        <w:tc>
          <w:tcPr>
            <w:tcW w:w="1003" w:type="pct"/>
            <w:tcBorders>
              <w:top w:val="single" w:color="auto" w:sz="4" w:space="0"/>
              <w:left w:val="single" w:color="auto" w:sz="4" w:space="0"/>
              <w:bottom w:val="single" w:color="auto" w:sz="4" w:space="0"/>
              <w:right w:val="single" w:color="auto" w:sz="4" w:space="0"/>
            </w:tcBorders>
            <w:vAlign w:val="center"/>
          </w:tcPr>
          <w:p w14:paraId="5E4A2F30">
            <w:pPr>
              <w:adjustRightInd w:val="0"/>
              <w:snapToGrid w:val="0"/>
              <w:spacing w:before="190" w:beforeLines="50" w:after="190" w:afterLines="50" w:line="240" w:lineRule="auto"/>
              <w:ind w:firstLine="0" w:firstLineChars="0"/>
              <w:rPr>
                <w:rFonts w:asciiTheme="minorHAnsi" w:hAnsiTheme="minorHAnsi" w:cstheme="minorHAnsi"/>
                <w:sz w:val="21"/>
                <w:szCs w:val="21"/>
              </w:rPr>
            </w:pPr>
            <w:r>
              <w:rPr>
                <w:rFonts w:hint="eastAsia" w:cs="Times New Roman"/>
                <w:sz w:val="21"/>
                <w:szCs w:val="21"/>
              </w:rPr>
              <w:t>矿区圈定了岩石移动范围，地表主要建构筑物、主要井筒布置在岩石移动范围之外。</w:t>
            </w:r>
          </w:p>
        </w:tc>
        <w:tc>
          <w:tcPr>
            <w:tcW w:w="347" w:type="pct"/>
            <w:tcBorders>
              <w:top w:val="single" w:color="auto" w:sz="4" w:space="0"/>
              <w:left w:val="single" w:color="auto" w:sz="4" w:space="0"/>
              <w:bottom w:val="single" w:color="auto" w:sz="4" w:space="0"/>
              <w:right w:val="single" w:color="auto" w:sz="4" w:space="0"/>
            </w:tcBorders>
            <w:vAlign w:val="center"/>
          </w:tcPr>
          <w:p w14:paraId="5F01320E">
            <w:pPr>
              <w:snapToGrid w:val="0"/>
              <w:spacing w:line="240" w:lineRule="auto"/>
              <w:ind w:firstLine="0" w:firstLineChars="0"/>
              <w:jc w:val="center"/>
              <w:rPr>
                <w:rFonts w:asciiTheme="minorHAnsi" w:hAnsiTheme="minorHAnsi" w:cstheme="minorHAnsi"/>
                <w:sz w:val="21"/>
                <w:szCs w:val="21"/>
              </w:rPr>
            </w:pPr>
            <w:r>
              <w:rPr>
                <w:rFonts w:hint="eastAsia" w:cs="Times New Roman"/>
                <w:sz w:val="21"/>
                <w:szCs w:val="21"/>
              </w:rPr>
              <w:t>符合要求</w:t>
            </w:r>
          </w:p>
        </w:tc>
      </w:tr>
      <w:tr w14:paraId="079C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73A5F0C1">
            <w:pPr>
              <w:snapToGrid w:val="0"/>
              <w:spacing w:line="240" w:lineRule="auto"/>
              <w:ind w:firstLine="0" w:firstLineChars="0"/>
              <w:jc w:val="center"/>
              <w:rPr>
                <w:rFonts w:asciiTheme="minorHAnsi" w:hAnsiTheme="minorHAnsi" w:cstheme="minorHAnsi"/>
                <w:bCs/>
                <w:sz w:val="21"/>
                <w:szCs w:val="21"/>
              </w:rPr>
            </w:pPr>
            <w:r>
              <w:rPr>
                <w:rFonts w:hint="eastAsia" w:asciiTheme="minorHAnsi" w:hAnsiTheme="minorHAnsi" w:cstheme="minorHAnsi"/>
                <w:bCs/>
                <w:sz w:val="21"/>
                <w:szCs w:val="21"/>
              </w:rPr>
              <w:t>9</w:t>
            </w:r>
          </w:p>
        </w:tc>
        <w:tc>
          <w:tcPr>
            <w:tcW w:w="2196" w:type="pct"/>
            <w:tcBorders>
              <w:top w:val="single" w:color="auto" w:sz="4" w:space="0"/>
              <w:left w:val="single" w:color="auto" w:sz="4" w:space="0"/>
              <w:bottom w:val="single" w:color="auto" w:sz="4" w:space="0"/>
              <w:right w:val="single" w:color="auto" w:sz="4" w:space="0"/>
            </w:tcBorders>
            <w:vAlign w:val="center"/>
          </w:tcPr>
          <w:p w14:paraId="40120084">
            <w:pPr>
              <w:adjustRightInd w:val="0"/>
              <w:snapToGrid w:val="0"/>
              <w:spacing w:before="190" w:beforeLines="50" w:after="190" w:afterLines="50" w:line="240" w:lineRule="auto"/>
              <w:ind w:firstLine="0" w:firstLineChars="0"/>
              <w:rPr>
                <w:rFonts w:cs="Times New Roman"/>
                <w:sz w:val="21"/>
                <w:szCs w:val="21"/>
              </w:rPr>
            </w:pPr>
            <w:r>
              <w:rPr>
                <w:rFonts w:hint="eastAsia" w:cs="Times New Roman"/>
                <w:sz w:val="21"/>
                <w:szCs w:val="21"/>
              </w:rPr>
              <w:t>地表主要建构筑物、主要开拓工程入口应布置在不受地表滑坡、滚石、泥石流、雪崩等危险因素影响的安全地带，无法避开时，应采取可靠的安全措施。</w:t>
            </w:r>
          </w:p>
        </w:tc>
        <w:tc>
          <w:tcPr>
            <w:tcW w:w="1192" w:type="pct"/>
            <w:tcBorders>
              <w:top w:val="single" w:color="auto" w:sz="4" w:space="0"/>
              <w:left w:val="single" w:color="auto" w:sz="4" w:space="0"/>
              <w:bottom w:val="single" w:color="auto" w:sz="4" w:space="0"/>
              <w:right w:val="single" w:color="auto" w:sz="4" w:space="0"/>
            </w:tcBorders>
            <w:vAlign w:val="center"/>
          </w:tcPr>
          <w:p w14:paraId="0DAAB115">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68582009">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7D1D5F5">
            <w:pPr>
              <w:adjustRightInd w:val="0"/>
              <w:snapToGrid w:val="0"/>
              <w:spacing w:line="240" w:lineRule="auto"/>
              <w:ind w:firstLine="0" w:firstLineChars="0"/>
              <w:jc w:val="center"/>
              <w:rPr>
                <w:rFonts w:cs="Times New Roman"/>
                <w:sz w:val="21"/>
                <w:szCs w:val="21"/>
              </w:rPr>
            </w:pPr>
            <w:r>
              <w:rPr>
                <w:rFonts w:cs="Times New Roman"/>
                <w:sz w:val="21"/>
                <w:szCs w:val="21"/>
              </w:rPr>
              <w:t>第6.3.1.3条</w:t>
            </w:r>
          </w:p>
        </w:tc>
        <w:tc>
          <w:tcPr>
            <w:tcW w:w="1003" w:type="pct"/>
            <w:tcBorders>
              <w:top w:val="single" w:color="auto" w:sz="4" w:space="0"/>
              <w:left w:val="single" w:color="auto" w:sz="4" w:space="0"/>
              <w:bottom w:val="single" w:color="auto" w:sz="4" w:space="0"/>
              <w:right w:val="single" w:color="auto" w:sz="4" w:space="0"/>
            </w:tcBorders>
            <w:vAlign w:val="center"/>
          </w:tcPr>
          <w:p w14:paraId="6809E5ED">
            <w:pPr>
              <w:adjustRightInd w:val="0"/>
              <w:snapToGrid w:val="0"/>
              <w:spacing w:before="190" w:beforeLines="50" w:after="190" w:afterLines="50" w:line="240" w:lineRule="auto"/>
              <w:ind w:firstLine="0" w:firstLineChars="0"/>
              <w:rPr>
                <w:rFonts w:cs="Times New Roman"/>
                <w:sz w:val="21"/>
                <w:szCs w:val="21"/>
              </w:rPr>
            </w:pPr>
            <w:r>
              <w:rPr>
                <w:rFonts w:hint="eastAsia" w:cs="Times New Roman"/>
                <w:sz w:val="21"/>
                <w:szCs w:val="21"/>
              </w:rPr>
              <w:t>地表主要建构筑物、主要开拓工程入口未布置在相关危险区域。</w:t>
            </w:r>
          </w:p>
        </w:tc>
        <w:tc>
          <w:tcPr>
            <w:tcW w:w="347" w:type="pct"/>
            <w:tcBorders>
              <w:top w:val="single" w:color="auto" w:sz="4" w:space="0"/>
              <w:left w:val="single" w:color="auto" w:sz="4" w:space="0"/>
              <w:bottom w:val="single" w:color="auto" w:sz="4" w:space="0"/>
              <w:right w:val="single" w:color="auto" w:sz="4" w:space="0"/>
            </w:tcBorders>
            <w:vAlign w:val="center"/>
          </w:tcPr>
          <w:p w14:paraId="5EC6B1B4">
            <w:pPr>
              <w:snapToGrid w:val="0"/>
              <w:spacing w:line="240" w:lineRule="auto"/>
              <w:ind w:firstLine="0" w:firstLineChars="0"/>
              <w:jc w:val="center"/>
              <w:rPr>
                <w:rFonts w:cs="Times New Roman"/>
                <w:sz w:val="21"/>
                <w:szCs w:val="21"/>
              </w:rPr>
            </w:pPr>
            <w:r>
              <w:rPr>
                <w:rFonts w:hint="eastAsia" w:cs="Times New Roman"/>
                <w:sz w:val="21"/>
                <w:szCs w:val="21"/>
              </w:rPr>
              <w:t>符合要求</w:t>
            </w:r>
          </w:p>
        </w:tc>
      </w:tr>
      <w:tr w14:paraId="20A33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2" w:type="pct"/>
            <w:tcBorders>
              <w:top w:val="single" w:color="auto" w:sz="4" w:space="0"/>
              <w:left w:val="single" w:color="auto" w:sz="4" w:space="0"/>
              <w:bottom w:val="single" w:color="auto" w:sz="4" w:space="0"/>
              <w:right w:val="single" w:color="auto" w:sz="4" w:space="0"/>
            </w:tcBorders>
            <w:vAlign w:val="center"/>
          </w:tcPr>
          <w:p w14:paraId="0BF1E495">
            <w:pPr>
              <w:snapToGrid w:val="0"/>
              <w:spacing w:line="240" w:lineRule="auto"/>
              <w:ind w:firstLine="0" w:firstLineChars="0"/>
              <w:jc w:val="center"/>
              <w:rPr>
                <w:rFonts w:asciiTheme="minorHAnsi" w:hAnsiTheme="minorHAnsi" w:cstheme="minorHAnsi"/>
                <w:bCs/>
                <w:sz w:val="21"/>
                <w:szCs w:val="21"/>
              </w:rPr>
            </w:pPr>
            <w:r>
              <w:rPr>
                <w:rFonts w:hint="eastAsia" w:asciiTheme="minorHAnsi" w:hAnsiTheme="minorHAnsi" w:cstheme="minorHAnsi"/>
                <w:bCs/>
                <w:sz w:val="21"/>
                <w:szCs w:val="21"/>
              </w:rPr>
              <w:t>1</w:t>
            </w:r>
            <w:r>
              <w:rPr>
                <w:rFonts w:asciiTheme="minorHAnsi" w:hAnsiTheme="minorHAnsi" w:cstheme="minorHAnsi"/>
                <w:bCs/>
                <w:sz w:val="21"/>
                <w:szCs w:val="21"/>
              </w:rPr>
              <w:t>0</w:t>
            </w:r>
          </w:p>
        </w:tc>
        <w:tc>
          <w:tcPr>
            <w:tcW w:w="2196" w:type="pct"/>
            <w:tcBorders>
              <w:top w:val="single" w:color="auto" w:sz="4" w:space="0"/>
              <w:left w:val="single" w:color="auto" w:sz="4" w:space="0"/>
              <w:bottom w:val="single" w:color="auto" w:sz="4" w:space="0"/>
              <w:right w:val="single" w:color="auto" w:sz="4" w:space="0"/>
            </w:tcBorders>
            <w:vAlign w:val="center"/>
          </w:tcPr>
          <w:p w14:paraId="59DAE45F">
            <w:pPr>
              <w:adjustRightInd w:val="0"/>
              <w:snapToGrid w:val="0"/>
              <w:spacing w:before="190" w:beforeLines="50" w:after="190" w:afterLines="50" w:line="240" w:lineRule="auto"/>
              <w:ind w:firstLine="0" w:firstLineChars="0"/>
              <w:rPr>
                <w:rFonts w:cs="Times New Roman"/>
                <w:sz w:val="21"/>
                <w:szCs w:val="21"/>
              </w:rPr>
            </w:pPr>
            <w:r>
              <w:rPr>
                <w:rFonts w:hint="eastAsia" w:cs="Times New Roman"/>
                <w:sz w:val="21"/>
                <w:szCs w:val="21"/>
              </w:rPr>
              <w:t>采矿设计应提出矿柱回采和采空区处理方案，并制定专门的安全措施。</w:t>
            </w:r>
          </w:p>
        </w:tc>
        <w:tc>
          <w:tcPr>
            <w:tcW w:w="1192" w:type="pct"/>
            <w:tcBorders>
              <w:top w:val="single" w:color="auto" w:sz="4" w:space="0"/>
              <w:left w:val="single" w:color="auto" w:sz="4" w:space="0"/>
              <w:bottom w:val="single" w:color="auto" w:sz="4" w:space="0"/>
              <w:right w:val="single" w:color="auto" w:sz="4" w:space="0"/>
            </w:tcBorders>
            <w:vAlign w:val="center"/>
          </w:tcPr>
          <w:p w14:paraId="3D77EBDA">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C9FCDC8">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9A6455A">
            <w:pPr>
              <w:adjustRightInd w:val="0"/>
              <w:snapToGrid w:val="0"/>
              <w:spacing w:line="240" w:lineRule="auto"/>
              <w:ind w:firstLine="0" w:firstLineChars="0"/>
              <w:jc w:val="center"/>
              <w:rPr>
                <w:rFonts w:cs="Times New Roman"/>
                <w:sz w:val="21"/>
                <w:szCs w:val="21"/>
              </w:rPr>
            </w:pPr>
            <w:r>
              <w:rPr>
                <w:rFonts w:cs="Times New Roman"/>
                <w:sz w:val="21"/>
                <w:szCs w:val="21"/>
              </w:rPr>
              <w:t>第6.3.1.5条</w:t>
            </w:r>
          </w:p>
        </w:tc>
        <w:tc>
          <w:tcPr>
            <w:tcW w:w="1003" w:type="pct"/>
            <w:tcBorders>
              <w:top w:val="single" w:color="auto" w:sz="4" w:space="0"/>
              <w:left w:val="single" w:color="auto" w:sz="4" w:space="0"/>
              <w:bottom w:val="single" w:color="auto" w:sz="4" w:space="0"/>
              <w:right w:val="single" w:color="auto" w:sz="4" w:space="0"/>
            </w:tcBorders>
            <w:vAlign w:val="center"/>
          </w:tcPr>
          <w:p w14:paraId="5ABF6369">
            <w:pPr>
              <w:adjustRightInd w:val="0"/>
              <w:snapToGrid w:val="0"/>
              <w:spacing w:before="190" w:beforeLines="50" w:after="190" w:afterLines="50" w:line="240" w:lineRule="auto"/>
              <w:ind w:firstLine="0" w:firstLineChars="0"/>
              <w:rPr>
                <w:rFonts w:cs="Times New Roman"/>
                <w:sz w:val="21"/>
                <w:szCs w:val="21"/>
              </w:rPr>
            </w:pPr>
            <w:r>
              <w:rPr>
                <w:rFonts w:hint="eastAsia" w:cs="Times New Roman"/>
                <w:sz w:val="21"/>
                <w:szCs w:val="21"/>
              </w:rPr>
              <w:t>设计提出董梁高速和G</w:t>
            </w:r>
            <w:r>
              <w:rPr>
                <w:rFonts w:cs="Times New Roman"/>
                <w:sz w:val="21"/>
                <w:szCs w:val="21"/>
              </w:rPr>
              <w:t>105</w:t>
            </w:r>
            <w:r>
              <w:rPr>
                <w:rFonts w:hint="eastAsia" w:cs="Times New Roman"/>
                <w:sz w:val="21"/>
                <w:szCs w:val="21"/>
              </w:rPr>
              <w:t>国道保安矿柱作为永久矿柱，不再回采；在-475m~-505m之间矿体留设30m厚的水平隔离矿柱暂不开采；冯家庄矿段-100m以上作为护顶矿柱暂不开采。</w:t>
            </w:r>
          </w:p>
        </w:tc>
        <w:tc>
          <w:tcPr>
            <w:tcW w:w="347" w:type="pct"/>
            <w:tcBorders>
              <w:top w:val="single" w:color="auto" w:sz="4" w:space="0"/>
              <w:left w:val="single" w:color="auto" w:sz="4" w:space="0"/>
              <w:bottom w:val="single" w:color="auto" w:sz="4" w:space="0"/>
              <w:right w:val="single" w:color="auto" w:sz="4" w:space="0"/>
            </w:tcBorders>
            <w:vAlign w:val="center"/>
          </w:tcPr>
          <w:p w14:paraId="7B55AB8D">
            <w:pPr>
              <w:snapToGrid w:val="0"/>
              <w:spacing w:line="240" w:lineRule="auto"/>
              <w:ind w:firstLine="0" w:firstLineChars="0"/>
              <w:jc w:val="center"/>
              <w:rPr>
                <w:rFonts w:cs="Times New Roman"/>
                <w:sz w:val="21"/>
                <w:szCs w:val="21"/>
              </w:rPr>
            </w:pPr>
            <w:r>
              <w:rPr>
                <w:rFonts w:hint="eastAsia" w:cs="Times New Roman"/>
                <w:sz w:val="21"/>
                <w:szCs w:val="21"/>
              </w:rPr>
              <w:t>符合要求</w:t>
            </w:r>
          </w:p>
        </w:tc>
      </w:tr>
    </w:tbl>
    <w:p w14:paraId="31530E46">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3.1.3评价小结</w:t>
      </w:r>
    </w:p>
    <w:p w14:paraId="6749DEC3">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该项目总平面布置中应加以重视的问题有：</w:t>
      </w:r>
    </w:p>
    <w:p w14:paraId="162F984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（1）安全设施设计在总平面布置图中补全该矿岩石移动界线涉及的全部范围及周边环境的标注，并将重要地点在文本中列出与岩石移动界线之间的安全距离。</w:t>
      </w:r>
    </w:p>
    <w:p w14:paraId="3AF1DC8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（2）建议安全设施设计地下开采对岩石移动范围内涉及的所有建构筑物可能造成的影响程度进行详细论证，并就是否需要搬迁给出结论。</w:t>
      </w:r>
    </w:p>
    <w:p w14:paraId="6BA5B66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（3）岩石移动界线范围内有部分小汶河的河段，建议安全设施设计对地下开采是否可能连通小汶河，并造成井下涌水量增加进行专门论述。</w:t>
      </w:r>
    </w:p>
    <w:p w14:paraId="5043AFC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（4）对高速公路、105国道等位置的留设保安矿柱安全性开展必要的论证工作。</w:t>
      </w:r>
    </w:p>
    <w:p w14:paraId="7FA0CCE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）矿区地表有需要保护的农田、村庄、高压线路、高速公路和1</w:t>
      </w:r>
      <w:r>
        <w:rPr>
          <w:rFonts w:asciiTheme="minorHAnsi" w:hAnsiTheme="minorHAnsi" w:cstheme="minorHAnsi"/>
          <w:szCs w:val="28"/>
        </w:rPr>
        <w:t>05</w:t>
      </w:r>
      <w:r>
        <w:rPr>
          <w:rFonts w:hint="eastAsia" w:asciiTheme="minorHAnsi" w:hAnsiTheme="minorHAnsi" w:cstheme="minorHAnsi"/>
          <w:szCs w:val="28"/>
        </w:rPr>
        <w:t>国道，</w:t>
      </w:r>
      <w:r>
        <w:rPr>
          <w:rFonts w:hint="eastAsia"/>
        </w:rPr>
        <w:t>应开展地下开采对地表建构筑物的安全影响研究，</w:t>
      </w:r>
      <w:r>
        <w:rPr>
          <w:rFonts w:hint="eastAsia" w:asciiTheme="minorHAnsi" w:hAnsiTheme="minorHAnsi" w:cstheme="minorHAnsi"/>
          <w:szCs w:val="28"/>
        </w:rPr>
        <w:t>矿山应加强日常生产过程中地表建构筑物的安全稳定监测工作，加强地表变形研究，根据地表变形范围研究结论，及时调整监测点布置。</w:t>
      </w:r>
    </w:p>
    <w:p w14:paraId="56E0C747">
      <w:pPr>
        <w:pStyle w:val="4"/>
        <w:spacing w:before="190" w:after="190" w:line="360" w:lineRule="exact"/>
        <w:rPr>
          <w:rFonts w:asciiTheme="minorHAnsi" w:hAnsiTheme="minorHAnsi" w:cstheme="minorHAnsi"/>
        </w:rPr>
      </w:pPr>
      <w:bookmarkStart w:id="90" w:name="_Toc199426938"/>
      <w:r>
        <w:rPr>
          <w:rFonts w:asciiTheme="minorHAnsi" w:hAnsiTheme="minorHAnsi" w:cstheme="minorHAnsi"/>
        </w:rPr>
        <w:t>3.2开拓单元</w:t>
      </w:r>
      <w:bookmarkEnd w:id="90"/>
    </w:p>
    <w:p w14:paraId="0849CC3B">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3.2.1危险、有害因素辨识与分析</w:t>
      </w:r>
    </w:p>
    <w:p w14:paraId="122CBA52">
      <w:pPr>
        <w:adjustRightInd w:val="0"/>
        <w:snapToGrid w:val="0"/>
        <w:spacing w:line="360" w:lineRule="auto"/>
        <w:ind w:firstLine="560"/>
        <w:rPr>
          <w:rFonts w:asciiTheme="minorHAnsi" w:hAnsiTheme="minorHAnsi" w:cstheme="minorHAnsi"/>
          <w:bCs/>
          <w:szCs w:val="24"/>
        </w:rPr>
      </w:pPr>
      <w:r>
        <w:rPr>
          <w:rFonts w:asciiTheme="minorHAnsi" w:hAnsiTheme="minorHAnsi" w:cstheme="minorHAnsi"/>
          <w:bCs/>
          <w:szCs w:val="24"/>
        </w:rPr>
        <w:t>开拓系统主要存在的危险、有害因素有：</w:t>
      </w:r>
    </w:p>
    <w:p w14:paraId="58F488D2">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（1）</w:t>
      </w:r>
      <w:r>
        <w:rPr>
          <w:rFonts w:asciiTheme="minorHAnsi" w:hAnsiTheme="minorHAnsi" w:cstheme="minorHAnsi"/>
          <w:bCs/>
          <w:szCs w:val="24"/>
        </w:rPr>
        <w:t>井巷工程施工过程中，凿岩、爆破后由于振动，顶板和帮壁会产生危石，如果岩层破碎、断层裂隙发育、支护不及时可能产生顶板冒落或片帮，未事先处理顶板和两帮的浮石，均可造成人员伤亡。</w:t>
      </w:r>
    </w:p>
    <w:p w14:paraId="3831C07F">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（2）</w:t>
      </w:r>
      <w:r>
        <w:rPr>
          <w:rFonts w:asciiTheme="minorHAnsi" w:hAnsiTheme="minorHAnsi" w:cstheme="minorHAnsi"/>
          <w:bCs/>
          <w:szCs w:val="24"/>
        </w:rPr>
        <w:t>井巷工程施工过程中若与含水层贯通可能引发透水事故。</w:t>
      </w:r>
    </w:p>
    <w:p w14:paraId="67B2AAAA">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（3）</w:t>
      </w:r>
      <w:r>
        <w:rPr>
          <w:rFonts w:asciiTheme="minorHAnsi" w:hAnsiTheme="minorHAnsi" w:cstheme="minorHAnsi"/>
          <w:bCs/>
          <w:szCs w:val="24"/>
        </w:rPr>
        <w:t>若一次爆破药量较大，爆破冲击波、爆破飞石对人员、井巷、设备产生危害；处理盲炮、残炮方法不当，造成放炮事故。</w:t>
      </w:r>
    </w:p>
    <w:p w14:paraId="4C4A367D">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（4）</w:t>
      </w:r>
      <w:r>
        <w:rPr>
          <w:rFonts w:asciiTheme="minorHAnsi" w:hAnsiTheme="minorHAnsi" w:cstheme="minorHAnsi"/>
          <w:bCs/>
          <w:szCs w:val="24"/>
        </w:rPr>
        <w:t>井巷工程施工过程中采取安全防护措施不当，可能导致高处坠落事故。</w:t>
      </w:r>
    </w:p>
    <w:p w14:paraId="5619477B">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（5）</w:t>
      </w:r>
      <w:r>
        <w:rPr>
          <w:rFonts w:asciiTheme="minorHAnsi" w:hAnsiTheme="minorHAnsi" w:cstheme="minorHAnsi"/>
          <w:bCs/>
          <w:szCs w:val="24"/>
        </w:rPr>
        <w:t>顶板及两帮的浮石未及时处理或处理不干净，浮石坠落；施工过程中物料、设备、工具等坠落物均可能产生物体打击。</w:t>
      </w:r>
    </w:p>
    <w:p w14:paraId="22D80D02">
      <w:pPr>
        <w:adjustRightInd w:val="0"/>
        <w:snapToGrid w:val="0"/>
        <w:spacing w:line="360" w:lineRule="auto"/>
        <w:ind w:firstLine="560"/>
        <w:rPr>
          <w:rFonts w:asciiTheme="minorHAnsi" w:hAnsiTheme="minorHAnsi" w:cstheme="minorHAnsi"/>
          <w:bCs/>
          <w:szCs w:val="24"/>
        </w:rPr>
      </w:pPr>
      <w:r>
        <w:rPr>
          <w:rFonts w:hint="eastAsia" w:asciiTheme="minorHAnsi" w:hAnsiTheme="minorHAnsi" w:cstheme="minorHAnsi"/>
          <w:bCs/>
          <w:szCs w:val="24"/>
        </w:rPr>
        <w:t>（6）</w:t>
      </w:r>
      <w:r>
        <w:rPr>
          <w:rFonts w:asciiTheme="minorHAnsi" w:hAnsiTheme="minorHAnsi" w:cstheme="minorHAnsi"/>
          <w:bCs/>
          <w:szCs w:val="24"/>
        </w:rPr>
        <w:t>井巷工程施工和使用过程中通风措施不当、安全管理不善，容易发生炮烟中毒窒息事故，造成人员伤亡。</w:t>
      </w:r>
    </w:p>
    <w:p w14:paraId="5577B89A">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3.2.2预先危险性分析</w:t>
      </w:r>
    </w:p>
    <w:p w14:paraId="6CF1D298">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表3.2-1开拓系统预先危险性分析表</w:t>
      </w:r>
    </w:p>
    <w:tbl>
      <w:tblPr>
        <w:tblStyle w:val="54"/>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06"/>
        <w:gridCol w:w="3543"/>
        <w:gridCol w:w="805"/>
        <w:gridCol w:w="712"/>
        <w:gridCol w:w="3648"/>
      </w:tblGrid>
      <w:tr w14:paraId="55739C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424" w:type="pct"/>
            <w:vAlign w:val="center"/>
          </w:tcPr>
          <w:p w14:paraId="14290B94">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危险因素</w:t>
            </w:r>
          </w:p>
        </w:tc>
        <w:tc>
          <w:tcPr>
            <w:tcW w:w="1862" w:type="pct"/>
            <w:vAlign w:val="center"/>
          </w:tcPr>
          <w:p w14:paraId="05ADF813">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423" w:type="pct"/>
            <w:vAlign w:val="center"/>
          </w:tcPr>
          <w:p w14:paraId="7E129311">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374" w:type="pct"/>
            <w:vAlign w:val="center"/>
          </w:tcPr>
          <w:p w14:paraId="29A0ECC9">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1DA8AD5E">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917" w:type="pct"/>
            <w:vAlign w:val="center"/>
          </w:tcPr>
          <w:p w14:paraId="6B0FBA86">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4C2335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4F494FB2">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冒顶片帮</w:t>
            </w:r>
          </w:p>
          <w:p w14:paraId="4A833947">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井巷坍塌</w:t>
            </w:r>
          </w:p>
        </w:tc>
        <w:tc>
          <w:tcPr>
            <w:tcW w:w="1862" w:type="pct"/>
            <w:vAlign w:val="center"/>
          </w:tcPr>
          <w:p w14:paraId="27393BED">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掘进顺序、凿岩爆破等操作不当；施工过程中未按设计进行；围岩松软不稳固的掘进工作面没有及时采取支护措施、支护质量不合格；未及时处理浮石或处理浮石操作不当；井巷工程维护不当。</w:t>
            </w:r>
          </w:p>
        </w:tc>
        <w:tc>
          <w:tcPr>
            <w:tcW w:w="423" w:type="pct"/>
            <w:vAlign w:val="center"/>
          </w:tcPr>
          <w:p w14:paraId="59BCB27C">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p w14:paraId="37183283">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设备损坏</w:t>
            </w:r>
          </w:p>
        </w:tc>
        <w:tc>
          <w:tcPr>
            <w:tcW w:w="374" w:type="pct"/>
            <w:vAlign w:val="center"/>
          </w:tcPr>
          <w:p w14:paraId="3656A1E8">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917" w:type="pct"/>
            <w:vAlign w:val="center"/>
          </w:tcPr>
          <w:p w14:paraId="348E24B6">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掘进顺序、凿岩爆破、井巷支护等应按设计、规定等进行；施工过程中应进行安全防护、及时对井筒进行砌护；并保证支护质量；事先处理顶板和两帮的浮石；处理浮石应正确操作。</w:t>
            </w:r>
          </w:p>
        </w:tc>
      </w:tr>
      <w:tr w14:paraId="2BBF58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7DC3AD37">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透水</w:t>
            </w:r>
          </w:p>
        </w:tc>
        <w:tc>
          <w:tcPr>
            <w:tcW w:w="1862" w:type="pct"/>
            <w:vAlign w:val="center"/>
          </w:tcPr>
          <w:p w14:paraId="56D91529">
            <w:pPr>
              <w:tabs>
                <w:tab w:val="left" w:pos="1260"/>
                <w:tab w:val="left" w:leader="middleDot" w:pos="7560"/>
              </w:tabs>
              <w:spacing w:before="190" w:beforeLines="50" w:after="190" w:afterLines="50" w:line="320" w:lineRule="exact"/>
              <w:ind w:firstLine="0" w:firstLineChars="0"/>
              <w:rPr>
                <w:rFonts w:asciiTheme="minorHAnsi" w:hAnsiTheme="minorHAnsi" w:cstheme="minorHAnsi"/>
                <w:bCs/>
                <w:sz w:val="21"/>
                <w:szCs w:val="24"/>
              </w:rPr>
            </w:pPr>
            <w:r>
              <w:rPr>
                <w:rFonts w:asciiTheme="minorHAnsi" w:hAnsiTheme="minorHAnsi" w:cstheme="minorHAnsi"/>
                <w:bCs/>
                <w:sz w:val="21"/>
                <w:szCs w:val="24"/>
              </w:rPr>
              <w:t>遇含水层时未采取超前探水措施与含水层贯通；地表防洪工程不合格，井下排水设施不健全；应急系统不完善。</w:t>
            </w:r>
          </w:p>
        </w:tc>
        <w:tc>
          <w:tcPr>
            <w:tcW w:w="423" w:type="pct"/>
            <w:vAlign w:val="center"/>
          </w:tcPr>
          <w:p w14:paraId="610D9B3C">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w:t>
            </w:r>
          </w:p>
          <w:p w14:paraId="620948BA">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伤亡</w:t>
            </w:r>
          </w:p>
          <w:p w14:paraId="1937F20C">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设备</w:t>
            </w:r>
          </w:p>
          <w:p w14:paraId="124D6E1C">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损坏</w:t>
            </w:r>
          </w:p>
        </w:tc>
        <w:tc>
          <w:tcPr>
            <w:tcW w:w="374" w:type="pct"/>
            <w:vAlign w:val="center"/>
          </w:tcPr>
          <w:p w14:paraId="3F85E10B">
            <w:pPr>
              <w:spacing w:before="190" w:beforeLines="50" w:after="190" w:afterLines="50"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917" w:type="pct"/>
            <w:vAlign w:val="center"/>
          </w:tcPr>
          <w:p w14:paraId="0E1737AB">
            <w:pPr>
              <w:tabs>
                <w:tab w:val="left" w:pos="1260"/>
                <w:tab w:val="left" w:leader="middleDot" w:pos="7560"/>
              </w:tabs>
              <w:spacing w:before="190" w:beforeLines="50" w:after="190" w:afterLines="50" w:line="320" w:lineRule="exact"/>
              <w:ind w:firstLine="0" w:firstLineChars="0"/>
              <w:rPr>
                <w:rFonts w:asciiTheme="minorHAnsi" w:hAnsiTheme="minorHAnsi" w:cstheme="minorHAnsi"/>
                <w:bCs/>
                <w:sz w:val="21"/>
                <w:szCs w:val="24"/>
              </w:rPr>
            </w:pPr>
            <w:r>
              <w:rPr>
                <w:rFonts w:asciiTheme="minorHAnsi" w:hAnsiTheme="minorHAnsi" w:cstheme="minorHAnsi"/>
                <w:sz w:val="21"/>
                <w:szCs w:val="21"/>
              </w:rPr>
              <w:t>井巷掘进时，采取超前探水措施，尽量避开地质构造带；合理设计防排水设施；建立预警机制并有效实施。</w:t>
            </w:r>
          </w:p>
        </w:tc>
      </w:tr>
      <w:tr w14:paraId="6558A6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66ACC471">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放炮</w:t>
            </w:r>
          </w:p>
        </w:tc>
        <w:tc>
          <w:tcPr>
            <w:tcW w:w="1862" w:type="pct"/>
            <w:vAlign w:val="center"/>
          </w:tcPr>
          <w:p w14:paraId="0CF8FDCB">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一次爆破药量较大，爆破冲击波、爆破飞石对人员、井巷、设备产生危害；处理盲炮、残炮方法不当。</w:t>
            </w:r>
          </w:p>
        </w:tc>
        <w:tc>
          <w:tcPr>
            <w:tcW w:w="423" w:type="pct"/>
            <w:vAlign w:val="center"/>
          </w:tcPr>
          <w:p w14:paraId="472D06F3">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p w14:paraId="25706694">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设备损坏</w:t>
            </w:r>
          </w:p>
        </w:tc>
        <w:tc>
          <w:tcPr>
            <w:tcW w:w="374" w:type="pct"/>
            <w:vAlign w:val="center"/>
          </w:tcPr>
          <w:p w14:paraId="641C0E7C">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917" w:type="pct"/>
            <w:vAlign w:val="center"/>
          </w:tcPr>
          <w:p w14:paraId="23649945">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合理设计爆破作业；控制装药数量；爆破时及时发出警戒信号；爆破前留出足够的时间，使人员及时躲避，人员和设备应在安全距离之外；正确处理盲炮、残炮。</w:t>
            </w:r>
          </w:p>
        </w:tc>
      </w:tr>
      <w:tr w14:paraId="130108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1509FC5E">
            <w:pPr>
              <w:spacing w:line="40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炸药爆炸</w:t>
            </w:r>
          </w:p>
        </w:tc>
        <w:tc>
          <w:tcPr>
            <w:tcW w:w="1862" w:type="pct"/>
            <w:vAlign w:val="center"/>
          </w:tcPr>
          <w:p w14:paraId="3B236330">
            <w:pPr>
              <w:spacing w:line="400" w:lineRule="exact"/>
              <w:ind w:firstLine="0" w:firstLineChars="0"/>
              <w:rPr>
                <w:rFonts w:asciiTheme="minorHAnsi" w:hAnsiTheme="minorHAnsi" w:cstheme="minorHAnsi"/>
                <w:sz w:val="21"/>
                <w:szCs w:val="21"/>
              </w:rPr>
            </w:pPr>
            <w:r>
              <w:rPr>
                <w:rFonts w:asciiTheme="minorHAnsi" w:hAnsiTheme="minorHAnsi" w:cstheme="minorHAnsi"/>
                <w:sz w:val="21"/>
                <w:szCs w:val="21"/>
              </w:rPr>
              <w:t>未按要求储存起爆器材；未配备防灭火设施。</w:t>
            </w:r>
          </w:p>
        </w:tc>
        <w:tc>
          <w:tcPr>
            <w:tcW w:w="423" w:type="pct"/>
            <w:vAlign w:val="center"/>
          </w:tcPr>
          <w:p w14:paraId="57A0F563">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p w14:paraId="54F2C5B5">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设备损坏</w:t>
            </w:r>
          </w:p>
        </w:tc>
        <w:tc>
          <w:tcPr>
            <w:tcW w:w="374" w:type="pct"/>
            <w:vAlign w:val="center"/>
          </w:tcPr>
          <w:p w14:paraId="00979C6E">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917" w:type="pct"/>
            <w:vAlign w:val="center"/>
          </w:tcPr>
          <w:p w14:paraId="5358DC1C">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合理选择发放站位置；根据爆破器材性质按要求分类储存；严禁存在吸烟等外界火源；配备必要的灭火器材。</w:t>
            </w:r>
          </w:p>
        </w:tc>
      </w:tr>
      <w:tr w14:paraId="2C9CCE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29A44C4B">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中毒窒息</w:t>
            </w:r>
          </w:p>
        </w:tc>
        <w:tc>
          <w:tcPr>
            <w:tcW w:w="1862" w:type="pct"/>
            <w:vAlign w:val="center"/>
          </w:tcPr>
          <w:p w14:paraId="1F0FA2D4">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独头掘进时未采取有效的通风措施。</w:t>
            </w:r>
          </w:p>
        </w:tc>
        <w:tc>
          <w:tcPr>
            <w:tcW w:w="423" w:type="pct"/>
            <w:vAlign w:val="center"/>
          </w:tcPr>
          <w:p w14:paraId="35E660BB">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tc>
        <w:tc>
          <w:tcPr>
            <w:tcW w:w="374" w:type="pct"/>
            <w:vAlign w:val="center"/>
          </w:tcPr>
          <w:p w14:paraId="6219A4DF">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917" w:type="pct"/>
            <w:vAlign w:val="center"/>
          </w:tcPr>
          <w:p w14:paraId="0CD6EF08">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井巷施工过程中应设置足够的通风设施。</w:t>
            </w:r>
          </w:p>
        </w:tc>
      </w:tr>
      <w:tr w14:paraId="559B2E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16AE31AD">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高处坠落</w:t>
            </w:r>
          </w:p>
        </w:tc>
        <w:tc>
          <w:tcPr>
            <w:tcW w:w="1862" w:type="pct"/>
            <w:vAlign w:val="center"/>
          </w:tcPr>
          <w:p w14:paraId="33B483E1">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人员从井口坠落；高处作业时坠落。</w:t>
            </w:r>
          </w:p>
        </w:tc>
        <w:tc>
          <w:tcPr>
            <w:tcW w:w="423" w:type="pct"/>
            <w:vAlign w:val="center"/>
          </w:tcPr>
          <w:p w14:paraId="2F3413E6">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tc>
        <w:tc>
          <w:tcPr>
            <w:tcW w:w="374" w:type="pct"/>
            <w:vAlign w:val="center"/>
          </w:tcPr>
          <w:p w14:paraId="7BEC2B21">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917" w:type="pct"/>
            <w:vAlign w:val="center"/>
          </w:tcPr>
          <w:p w14:paraId="2E3F8341">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井口采取适当的防护措施，如设置防护栏和警示标志等；安全出口应按要求设置梯子间等；高处作业应采取安全防护措施，如设置安全平台、佩戴安全带等。</w:t>
            </w:r>
          </w:p>
        </w:tc>
      </w:tr>
      <w:tr w14:paraId="15668C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4" w:type="pct"/>
            <w:vAlign w:val="center"/>
          </w:tcPr>
          <w:p w14:paraId="3D57A98E">
            <w:pPr>
              <w:spacing w:line="320" w:lineRule="exact"/>
              <w:ind w:firstLine="0" w:firstLineChars="0"/>
              <w:jc w:val="center"/>
              <w:rPr>
                <w:rFonts w:asciiTheme="minorHAnsi" w:hAnsiTheme="minorHAnsi" w:cstheme="minorHAnsi"/>
                <w:bCs/>
                <w:sz w:val="21"/>
                <w:szCs w:val="24"/>
              </w:rPr>
            </w:pPr>
            <w:r>
              <w:rPr>
                <w:rFonts w:asciiTheme="minorHAnsi" w:hAnsiTheme="minorHAnsi" w:cstheme="minorHAnsi"/>
                <w:bCs/>
                <w:sz w:val="21"/>
                <w:szCs w:val="24"/>
              </w:rPr>
              <w:t>物体打击</w:t>
            </w:r>
          </w:p>
        </w:tc>
        <w:tc>
          <w:tcPr>
            <w:tcW w:w="1862" w:type="pct"/>
            <w:vAlign w:val="center"/>
          </w:tcPr>
          <w:p w14:paraId="67107DBB">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井口或井筒内设施掉落；浮石未及时处理或处理不干净浮石坠落；施工过程中物料、设备、工具等坠落物等。</w:t>
            </w:r>
          </w:p>
        </w:tc>
        <w:tc>
          <w:tcPr>
            <w:tcW w:w="423" w:type="pct"/>
            <w:vAlign w:val="center"/>
          </w:tcPr>
          <w:p w14:paraId="7EB46445">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tc>
        <w:tc>
          <w:tcPr>
            <w:tcW w:w="374" w:type="pct"/>
            <w:vAlign w:val="center"/>
          </w:tcPr>
          <w:p w14:paraId="69779623">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917" w:type="pct"/>
            <w:vAlign w:val="center"/>
          </w:tcPr>
          <w:p w14:paraId="2BC7AC49">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1.采用普通法掘进天井时，必须架设牢固可靠的工作台和支护棚，支护棚距离工作面的距离不得大于6m，掘进高度超过7m时必须安装梯子间和渣子间。</w:t>
            </w:r>
          </w:p>
          <w:p w14:paraId="262931C1">
            <w:pPr>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2.天井贯通前7m，测量人员必须给出准确的贯通位置，并在上部巷道设置安全警示标志和围栏。</w:t>
            </w:r>
          </w:p>
        </w:tc>
      </w:tr>
    </w:tbl>
    <w:p w14:paraId="1A2EF72E">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3.2.3安全检查表</w:t>
      </w:r>
    </w:p>
    <w:p w14:paraId="16CD53A4">
      <w:pPr>
        <w:ind w:firstLine="560"/>
        <w:rPr>
          <w:rFonts w:asciiTheme="minorHAnsi" w:hAnsiTheme="minorHAnsi" w:cstheme="minorHAnsi"/>
          <w:szCs w:val="28"/>
        </w:rPr>
      </w:pPr>
      <w:r>
        <w:rPr>
          <w:rFonts w:asciiTheme="minorHAnsi" w:hAnsiTheme="minorHAnsi" w:cstheme="minorHAnsi"/>
          <w:szCs w:val="28"/>
        </w:rPr>
        <w:t>本节安全检查表内的检查项依据《金属非金属矿山安全规程》（GB16423-2020）进行编制。</w:t>
      </w:r>
    </w:p>
    <w:p w14:paraId="5E0E6955">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表3.2-2开拓系统安全检查表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6"/>
        <w:gridCol w:w="3513"/>
        <w:gridCol w:w="2228"/>
        <w:gridCol w:w="2262"/>
        <w:gridCol w:w="1005"/>
      </w:tblGrid>
      <w:tr w14:paraId="6CCAA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6" w:type="pct"/>
            <w:tcBorders>
              <w:top w:val="single" w:color="auto" w:sz="4" w:space="0"/>
              <w:left w:val="single" w:color="auto" w:sz="4" w:space="0"/>
              <w:bottom w:val="single" w:color="auto" w:sz="4" w:space="0"/>
              <w:right w:val="single" w:color="auto" w:sz="4" w:space="0"/>
            </w:tcBorders>
            <w:vAlign w:val="center"/>
          </w:tcPr>
          <w:p w14:paraId="69EBC8E7">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846" w:type="pct"/>
            <w:tcBorders>
              <w:top w:val="single" w:color="auto" w:sz="4" w:space="0"/>
              <w:left w:val="single" w:color="auto" w:sz="4" w:space="0"/>
              <w:bottom w:val="single" w:color="auto" w:sz="4" w:space="0"/>
              <w:right w:val="single" w:color="auto" w:sz="4" w:space="0"/>
            </w:tcBorders>
            <w:vAlign w:val="center"/>
          </w:tcPr>
          <w:p w14:paraId="15873CC2">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171" w:type="pct"/>
            <w:tcBorders>
              <w:top w:val="single" w:color="auto" w:sz="4" w:space="0"/>
              <w:left w:val="single" w:color="auto" w:sz="4" w:space="0"/>
              <w:bottom w:val="single" w:color="auto" w:sz="4" w:space="0"/>
              <w:right w:val="single" w:color="auto" w:sz="4" w:space="0"/>
            </w:tcBorders>
            <w:vAlign w:val="center"/>
          </w:tcPr>
          <w:p w14:paraId="0032951A">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189" w:type="pct"/>
            <w:tcBorders>
              <w:top w:val="single" w:color="auto" w:sz="4" w:space="0"/>
              <w:left w:val="single" w:color="auto" w:sz="4" w:space="0"/>
              <w:bottom w:val="single" w:color="auto" w:sz="4" w:space="0"/>
              <w:right w:val="single" w:color="auto" w:sz="4" w:space="0"/>
            </w:tcBorders>
            <w:vAlign w:val="center"/>
          </w:tcPr>
          <w:p w14:paraId="13E3A8DD">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可研情况及说明</w:t>
            </w:r>
          </w:p>
        </w:tc>
        <w:tc>
          <w:tcPr>
            <w:tcW w:w="528" w:type="pct"/>
            <w:tcBorders>
              <w:top w:val="single" w:color="auto" w:sz="4" w:space="0"/>
              <w:left w:val="single" w:color="auto" w:sz="4" w:space="0"/>
              <w:bottom w:val="single" w:color="auto" w:sz="4" w:space="0"/>
              <w:right w:val="single" w:color="auto" w:sz="4" w:space="0"/>
            </w:tcBorders>
          </w:tcPr>
          <w:p w14:paraId="1FD1EC45">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5361DF91">
            <w:pPr>
              <w:adjustRightInd w:val="0"/>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50545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35C1367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安全出口</w:t>
            </w:r>
          </w:p>
        </w:tc>
      </w:tr>
      <w:tr w14:paraId="33D65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4EC5304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846" w:type="pct"/>
            <w:tcBorders>
              <w:top w:val="single" w:color="auto" w:sz="4" w:space="0"/>
              <w:left w:val="single" w:color="auto" w:sz="4" w:space="0"/>
              <w:bottom w:val="single" w:color="auto" w:sz="4" w:space="0"/>
              <w:right w:val="single" w:color="auto" w:sz="4" w:space="0"/>
            </w:tcBorders>
            <w:vAlign w:val="center"/>
          </w:tcPr>
          <w:p w14:paraId="7DDA8C54">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每个矿井至少应有两个相互独立、间距不小于30m、直达地面的安全出口；矿体一翼走向长度超过1000m时，此翼应有安全出口。</w:t>
            </w:r>
          </w:p>
        </w:tc>
        <w:tc>
          <w:tcPr>
            <w:tcW w:w="1171" w:type="pct"/>
            <w:tcBorders>
              <w:top w:val="single" w:color="auto" w:sz="4" w:space="0"/>
              <w:left w:val="single" w:color="auto" w:sz="4" w:space="0"/>
              <w:bottom w:val="single" w:color="auto" w:sz="4" w:space="0"/>
              <w:right w:val="single" w:color="auto" w:sz="4" w:space="0"/>
            </w:tcBorders>
            <w:vAlign w:val="center"/>
          </w:tcPr>
          <w:p w14:paraId="44465F9C">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5ACECF7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4AFAFD39">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第6.1.1.1条</w:t>
            </w:r>
          </w:p>
        </w:tc>
        <w:tc>
          <w:tcPr>
            <w:tcW w:w="1189" w:type="pct"/>
            <w:tcBorders>
              <w:top w:val="single" w:color="auto" w:sz="4" w:space="0"/>
              <w:left w:val="single" w:color="auto" w:sz="4" w:space="0"/>
              <w:bottom w:val="single" w:color="auto" w:sz="4" w:space="0"/>
              <w:right w:val="single" w:color="auto" w:sz="4" w:space="0"/>
            </w:tcBorders>
            <w:vAlign w:val="center"/>
          </w:tcPr>
          <w:p w14:paraId="19D1557E">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一期</w:t>
            </w:r>
            <w:r>
              <w:rPr>
                <w:rFonts w:asciiTheme="minorHAnsi" w:hAnsiTheme="minorHAnsi" w:cstheme="minorHAnsi"/>
                <w:sz w:val="21"/>
                <w:szCs w:val="21"/>
              </w:rPr>
              <w:t>设计直通至地表的安全出口共2个：</w:t>
            </w:r>
            <w:r>
              <w:rPr>
                <w:rFonts w:hint="eastAsia" w:asciiTheme="minorHAnsi" w:hAnsiTheme="minorHAnsi" w:cstheme="minorHAnsi"/>
                <w:sz w:val="21"/>
                <w:szCs w:val="21"/>
              </w:rPr>
              <w:t>副井、2号回风井，二期</w:t>
            </w:r>
            <w:r>
              <w:rPr>
                <w:rFonts w:asciiTheme="minorHAnsi" w:hAnsiTheme="minorHAnsi" w:cstheme="minorHAnsi"/>
                <w:sz w:val="21"/>
                <w:szCs w:val="21"/>
              </w:rPr>
              <w:t>设计直通至地表的安全出口共2个</w:t>
            </w:r>
            <w:r>
              <w:rPr>
                <w:rFonts w:hint="eastAsia" w:asciiTheme="minorHAnsi" w:hAnsiTheme="minorHAnsi" w:cstheme="minorHAnsi"/>
                <w:sz w:val="21"/>
                <w:szCs w:val="21"/>
              </w:rPr>
              <w:t>：冯家庄副井、冯家庄回风井</w:t>
            </w:r>
            <w:r>
              <w:rPr>
                <w:rFonts w:asciiTheme="minorHAnsi" w:hAnsiTheme="minorHAnsi" w:cstheme="minorHAnsi"/>
                <w:sz w:val="21"/>
                <w:szCs w:val="21"/>
              </w:rPr>
              <w:t>。</w:t>
            </w:r>
          </w:p>
        </w:tc>
        <w:tc>
          <w:tcPr>
            <w:tcW w:w="528" w:type="pct"/>
            <w:tcBorders>
              <w:top w:val="single" w:color="auto" w:sz="4" w:space="0"/>
              <w:left w:val="single" w:color="auto" w:sz="4" w:space="0"/>
              <w:bottom w:val="single" w:color="auto" w:sz="4" w:space="0"/>
              <w:right w:val="single" w:color="auto" w:sz="4" w:space="0"/>
            </w:tcBorders>
            <w:vAlign w:val="center"/>
          </w:tcPr>
          <w:p w14:paraId="0EC977D3">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6206A434">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55A89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40811F1C">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846" w:type="pct"/>
            <w:tcBorders>
              <w:top w:val="single" w:color="auto" w:sz="4" w:space="0"/>
              <w:left w:val="single" w:color="auto" w:sz="4" w:space="0"/>
              <w:bottom w:val="single" w:color="auto" w:sz="4" w:space="0"/>
              <w:right w:val="single" w:color="auto" w:sz="4" w:space="0"/>
            </w:tcBorders>
            <w:vAlign w:val="center"/>
          </w:tcPr>
          <w:p w14:paraId="349343B3">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每个生产水平或中段至少应有两个便于行人的安全出口，并应同通往地面的安全出口相通。</w:t>
            </w:r>
          </w:p>
        </w:tc>
        <w:tc>
          <w:tcPr>
            <w:tcW w:w="1171" w:type="pct"/>
            <w:tcBorders>
              <w:top w:val="single" w:color="auto" w:sz="4" w:space="0"/>
              <w:left w:val="single" w:color="auto" w:sz="4" w:space="0"/>
              <w:bottom w:val="single" w:color="auto" w:sz="4" w:space="0"/>
              <w:right w:val="single" w:color="auto" w:sz="4" w:space="0"/>
            </w:tcBorders>
            <w:vAlign w:val="center"/>
          </w:tcPr>
          <w:p w14:paraId="1098EB4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558757BD">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443DD00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第6.1.1.1条</w:t>
            </w:r>
          </w:p>
        </w:tc>
        <w:tc>
          <w:tcPr>
            <w:tcW w:w="1189" w:type="pct"/>
            <w:tcBorders>
              <w:top w:val="single" w:color="auto" w:sz="4" w:space="0"/>
              <w:left w:val="single" w:color="auto" w:sz="4" w:space="0"/>
              <w:bottom w:val="single" w:color="auto" w:sz="4" w:space="0"/>
              <w:right w:val="single" w:color="auto" w:sz="4" w:space="0"/>
            </w:tcBorders>
            <w:vAlign w:val="center"/>
          </w:tcPr>
          <w:p w14:paraId="1262FC6F">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井下各中段均设置有两个安全出口。</w:t>
            </w:r>
          </w:p>
        </w:tc>
        <w:tc>
          <w:tcPr>
            <w:tcW w:w="528" w:type="pct"/>
            <w:tcBorders>
              <w:top w:val="single" w:color="auto" w:sz="4" w:space="0"/>
              <w:left w:val="single" w:color="auto" w:sz="4" w:space="0"/>
              <w:bottom w:val="single" w:color="auto" w:sz="4" w:space="0"/>
              <w:right w:val="single" w:color="auto" w:sz="4" w:space="0"/>
            </w:tcBorders>
            <w:vAlign w:val="center"/>
          </w:tcPr>
          <w:p w14:paraId="7A7AD7E8">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5B9D837">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7E58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3F9F319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846" w:type="pct"/>
            <w:tcBorders>
              <w:top w:val="single" w:color="auto" w:sz="4" w:space="0"/>
              <w:left w:val="single" w:color="auto" w:sz="4" w:space="0"/>
              <w:bottom w:val="single" w:color="auto" w:sz="4" w:space="0"/>
              <w:right w:val="single" w:color="auto" w:sz="4" w:space="0"/>
            </w:tcBorders>
            <w:vAlign w:val="center"/>
          </w:tcPr>
          <w:p w14:paraId="593DE922">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作为应急安全出口的竖井应设应急提升设施或者梯子间。深度超过300m的井筒设置梯子间时，应在井筒无马头门段设置与梯子间相通的休息硐室。休息硐室间距不大于150m。硐室宽度不小于1.5m，深度不小于2.0m，高度不小于2.1m。</w:t>
            </w:r>
          </w:p>
        </w:tc>
        <w:tc>
          <w:tcPr>
            <w:tcW w:w="1171" w:type="pct"/>
            <w:tcBorders>
              <w:top w:val="single" w:color="auto" w:sz="4" w:space="0"/>
              <w:left w:val="single" w:color="auto" w:sz="4" w:space="0"/>
              <w:bottom w:val="single" w:color="auto" w:sz="4" w:space="0"/>
              <w:right w:val="single" w:color="auto" w:sz="4" w:space="0"/>
            </w:tcBorders>
            <w:vAlign w:val="center"/>
          </w:tcPr>
          <w:p w14:paraId="3725AC8C">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3B593F9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69EA522F">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第6.1.1.4条</w:t>
            </w:r>
          </w:p>
        </w:tc>
        <w:tc>
          <w:tcPr>
            <w:tcW w:w="1189" w:type="pct"/>
            <w:tcBorders>
              <w:top w:val="single" w:color="auto" w:sz="4" w:space="0"/>
              <w:left w:val="single" w:color="auto" w:sz="4" w:space="0"/>
              <w:bottom w:val="single" w:color="auto" w:sz="4" w:space="0"/>
              <w:right w:val="single" w:color="auto" w:sz="4" w:space="0"/>
            </w:tcBorders>
            <w:vAlign w:val="center"/>
          </w:tcPr>
          <w:p w14:paraId="51537D4F">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作为应急出口的竖井均安装梯子间</w:t>
            </w:r>
            <w:r>
              <w:rPr>
                <w:rFonts w:asciiTheme="minorHAnsi" w:hAnsiTheme="minorHAnsi" w:cstheme="minorHAnsi"/>
                <w:sz w:val="21"/>
                <w:szCs w:val="21"/>
              </w:rPr>
              <w:t>。</w:t>
            </w:r>
          </w:p>
          <w:p w14:paraId="5F57460F">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副井在-100m、-175m、-250m、-325m、-400m、-475m、-565m水平设单侧马头门，在-505m水平设双侧马头门，2号回风井在-100m、-250m水平设双侧马头门，在-400m、-475m、-505m水平开设单侧马头门。</w:t>
            </w:r>
          </w:p>
          <w:p w14:paraId="5D5FC158">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冯家庄副井在-100m，-175m、-</w:t>
            </w:r>
            <w:r>
              <w:rPr>
                <w:rFonts w:asciiTheme="minorHAnsi" w:hAnsiTheme="minorHAnsi" w:cstheme="minorHAnsi"/>
                <w:sz w:val="21"/>
                <w:szCs w:val="21"/>
              </w:rPr>
              <w:t>250</w:t>
            </w:r>
            <w:r>
              <w:rPr>
                <w:rFonts w:hint="eastAsia" w:asciiTheme="minorHAnsi" w:hAnsiTheme="minorHAnsi" w:cstheme="minorHAnsi"/>
                <w:sz w:val="21"/>
                <w:szCs w:val="21"/>
              </w:rPr>
              <w:t>m、-325m、-400m、-475m水平设单侧马头门，在-505m水平设双侧马头门；冯家庄回风井在-100m，-175m、-250m、-325m、-400m、-475m、-505m水平设单侧马头门。</w:t>
            </w:r>
          </w:p>
        </w:tc>
        <w:tc>
          <w:tcPr>
            <w:tcW w:w="528" w:type="pct"/>
            <w:tcBorders>
              <w:top w:val="single" w:color="auto" w:sz="4" w:space="0"/>
              <w:left w:val="single" w:color="auto" w:sz="4" w:space="0"/>
              <w:bottom w:val="single" w:color="auto" w:sz="4" w:space="0"/>
              <w:right w:val="single" w:color="auto" w:sz="4" w:space="0"/>
            </w:tcBorders>
            <w:vAlign w:val="center"/>
          </w:tcPr>
          <w:p w14:paraId="3D8938D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45765B4">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72B50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7BA13682">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运输巷道</w:t>
            </w:r>
          </w:p>
        </w:tc>
      </w:tr>
      <w:tr w14:paraId="5E0F2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090E185B">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1</w:t>
            </w:r>
          </w:p>
        </w:tc>
        <w:tc>
          <w:tcPr>
            <w:tcW w:w="1846" w:type="pct"/>
            <w:tcBorders>
              <w:top w:val="single" w:color="auto" w:sz="4" w:space="0"/>
              <w:left w:val="single" w:color="auto" w:sz="4" w:space="0"/>
              <w:bottom w:val="single" w:color="auto" w:sz="4" w:space="0"/>
              <w:right w:val="single" w:color="auto" w:sz="4" w:space="0"/>
            </w:tcBorders>
            <w:vAlign w:val="center"/>
          </w:tcPr>
          <w:p w14:paraId="7CC9071D">
            <w:pPr>
              <w:adjustRightInd w:val="0"/>
              <w:snapToGrid w:val="0"/>
              <w:spacing w:line="240" w:lineRule="auto"/>
              <w:ind w:firstLine="0" w:firstLineChars="0"/>
              <w:rPr>
                <w:rFonts w:asciiTheme="minorHAnsi" w:hAnsiTheme="minorHAnsi" w:cstheme="minorHAnsi"/>
                <w:sz w:val="21"/>
                <w:szCs w:val="21"/>
              </w:rPr>
            </w:pPr>
            <w:bookmarkStart w:id="91" w:name="_Hlk172879478"/>
            <w:r>
              <w:rPr>
                <w:rFonts w:asciiTheme="minorHAnsi" w:hAnsiTheme="minorHAnsi" w:cstheme="minorHAnsi"/>
                <w:sz w:val="21"/>
                <w:szCs w:val="21"/>
              </w:rPr>
              <w:t>行人的无轨运输巷道应按下列要求设置人行道：人行道的高度不小于1.9m，宽度不小于1.2m。</w:t>
            </w:r>
            <w:bookmarkEnd w:id="91"/>
          </w:p>
        </w:tc>
        <w:tc>
          <w:tcPr>
            <w:tcW w:w="1171" w:type="pct"/>
            <w:tcBorders>
              <w:top w:val="single" w:color="auto" w:sz="4" w:space="0"/>
              <w:left w:val="single" w:color="auto" w:sz="4" w:space="0"/>
              <w:bottom w:val="single" w:color="auto" w:sz="4" w:space="0"/>
              <w:right w:val="single" w:color="auto" w:sz="4" w:space="0"/>
            </w:tcBorders>
            <w:vAlign w:val="center"/>
          </w:tcPr>
          <w:p w14:paraId="4722DC3F">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1F682858">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79E06812">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第6.2.5.6条</w:t>
            </w:r>
          </w:p>
        </w:tc>
        <w:tc>
          <w:tcPr>
            <w:tcW w:w="1189" w:type="pct"/>
            <w:tcBorders>
              <w:top w:val="single" w:color="auto" w:sz="4" w:space="0"/>
              <w:left w:val="single" w:color="auto" w:sz="4" w:space="0"/>
              <w:bottom w:val="single" w:color="auto" w:sz="4" w:space="0"/>
              <w:right w:val="single" w:color="auto" w:sz="4" w:space="0"/>
            </w:tcBorders>
            <w:vAlign w:val="center"/>
          </w:tcPr>
          <w:p w14:paraId="31056BE8">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可研中未明确</w:t>
            </w:r>
            <w:r>
              <w:rPr>
                <w:rFonts w:hint="eastAsia" w:asciiTheme="minorHAnsi" w:hAnsiTheme="minorHAnsi" w:cstheme="minorHAnsi"/>
                <w:sz w:val="21"/>
                <w:szCs w:val="21"/>
              </w:rPr>
              <w:t>无轨运输巷道设置人行道</w:t>
            </w:r>
            <w:r>
              <w:rPr>
                <w:rFonts w:asciiTheme="minorHAnsi" w:hAnsiTheme="minorHAnsi" w:cstheme="minorHAnsi"/>
                <w:sz w:val="21"/>
                <w:szCs w:val="21"/>
              </w:rPr>
              <w:t>。</w:t>
            </w:r>
          </w:p>
        </w:tc>
        <w:tc>
          <w:tcPr>
            <w:tcW w:w="528" w:type="pct"/>
            <w:tcBorders>
              <w:top w:val="single" w:color="auto" w:sz="4" w:space="0"/>
              <w:left w:val="single" w:color="auto" w:sz="4" w:space="0"/>
              <w:bottom w:val="single" w:color="auto" w:sz="4" w:space="0"/>
              <w:right w:val="single" w:color="auto" w:sz="4" w:space="0"/>
            </w:tcBorders>
            <w:vAlign w:val="center"/>
          </w:tcPr>
          <w:p w14:paraId="38097661">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下一阶段设计中需完善</w:t>
            </w:r>
          </w:p>
        </w:tc>
      </w:tr>
      <w:tr w14:paraId="3059F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0707730F">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2</w:t>
            </w:r>
          </w:p>
        </w:tc>
        <w:tc>
          <w:tcPr>
            <w:tcW w:w="1846" w:type="pct"/>
            <w:tcBorders>
              <w:top w:val="single" w:color="auto" w:sz="4" w:space="0"/>
              <w:left w:val="single" w:color="auto" w:sz="4" w:space="0"/>
              <w:bottom w:val="single" w:color="auto" w:sz="4" w:space="0"/>
              <w:right w:val="single" w:color="auto" w:sz="4" w:space="0"/>
            </w:tcBorders>
            <w:vAlign w:val="center"/>
          </w:tcPr>
          <w:p w14:paraId="43D5B2F5">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在水平巷道、斜井和斜坡道中，运输设备之间、运输设备与巷道壁或者巷道内设施之间的间隙，应符合下列规定：有轨运输不小于0.3m；无轨运输不小于0.6m。</w:t>
            </w:r>
          </w:p>
        </w:tc>
        <w:tc>
          <w:tcPr>
            <w:tcW w:w="1171" w:type="pct"/>
            <w:tcBorders>
              <w:top w:val="single" w:color="auto" w:sz="4" w:space="0"/>
              <w:left w:val="single" w:color="auto" w:sz="4" w:space="0"/>
              <w:bottom w:val="single" w:color="auto" w:sz="4" w:space="0"/>
              <w:right w:val="single" w:color="auto" w:sz="4" w:space="0"/>
            </w:tcBorders>
            <w:vAlign w:val="center"/>
          </w:tcPr>
          <w:p w14:paraId="783F36C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2C260920">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4A38E25F">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第6.2.5.7条</w:t>
            </w:r>
          </w:p>
        </w:tc>
        <w:tc>
          <w:tcPr>
            <w:tcW w:w="1189" w:type="pct"/>
            <w:tcBorders>
              <w:top w:val="single" w:color="auto" w:sz="4" w:space="0"/>
              <w:left w:val="single" w:color="auto" w:sz="4" w:space="0"/>
              <w:bottom w:val="single" w:color="auto" w:sz="4" w:space="0"/>
              <w:right w:val="single" w:color="auto" w:sz="4" w:space="0"/>
            </w:tcBorders>
            <w:vAlign w:val="center"/>
          </w:tcPr>
          <w:p w14:paraId="035136E0">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可研中未明确。</w:t>
            </w:r>
          </w:p>
        </w:tc>
        <w:tc>
          <w:tcPr>
            <w:tcW w:w="528" w:type="pct"/>
            <w:tcBorders>
              <w:top w:val="single" w:color="auto" w:sz="4" w:space="0"/>
              <w:left w:val="single" w:color="auto" w:sz="4" w:space="0"/>
              <w:bottom w:val="single" w:color="auto" w:sz="4" w:space="0"/>
              <w:right w:val="single" w:color="auto" w:sz="4" w:space="0"/>
            </w:tcBorders>
            <w:vAlign w:val="center"/>
          </w:tcPr>
          <w:p w14:paraId="5DB2D31D">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下一阶段设计中需完善</w:t>
            </w:r>
          </w:p>
        </w:tc>
      </w:tr>
      <w:tr w14:paraId="2B852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05A6D601">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3</w:t>
            </w:r>
          </w:p>
        </w:tc>
        <w:tc>
          <w:tcPr>
            <w:tcW w:w="1846" w:type="pct"/>
            <w:tcBorders>
              <w:top w:val="single" w:color="auto" w:sz="4" w:space="0"/>
              <w:left w:val="single" w:color="auto" w:sz="4" w:space="0"/>
              <w:bottom w:val="single" w:color="auto" w:sz="4" w:space="0"/>
              <w:right w:val="single" w:color="auto" w:sz="4" w:space="0"/>
            </w:tcBorders>
            <w:vAlign w:val="center"/>
          </w:tcPr>
          <w:p w14:paraId="6C6CA792">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废弃井巷和硐室的入口应及时封闭，封闭时应留有泄水条件。封闭墙上应标明编号、封闭时间、责任人、井巷原名称。封闭前入口处应设明显警示标志，禁止人员进入。封闭墙在相应图纸上标出，并归档永久保存。报废井巷的地面入口周围应设高度不低于1.5m的栅栏。</w:t>
            </w:r>
          </w:p>
        </w:tc>
        <w:tc>
          <w:tcPr>
            <w:tcW w:w="1171" w:type="pct"/>
            <w:tcBorders>
              <w:top w:val="single" w:color="auto" w:sz="4" w:space="0"/>
              <w:left w:val="single" w:color="auto" w:sz="4" w:space="0"/>
              <w:bottom w:val="single" w:color="auto" w:sz="4" w:space="0"/>
              <w:right w:val="single" w:color="auto" w:sz="4" w:space="0"/>
            </w:tcBorders>
            <w:vAlign w:val="center"/>
          </w:tcPr>
          <w:p w14:paraId="1F65899F">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155D5CBA">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39BAF562">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第6.2.8.6条</w:t>
            </w:r>
          </w:p>
        </w:tc>
        <w:tc>
          <w:tcPr>
            <w:tcW w:w="1189" w:type="pct"/>
            <w:tcBorders>
              <w:top w:val="single" w:color="auto" w:sz="4" w:space="0"/>
              <w:left w:val="single" w:color="auto" w:sz="4" w:space="0"/>
              <w:bottom w:val="single" w:color="auto" w:sz="4" w:space="0"/>
              <w:right w:val="single" w:color="auto" w:sz="4" w:space="0"/>
            </w:tcBorders>
            <w:vAlign w:val="center"/>
          </w:tcPr>
          <w:p w14:paraId="546471B7">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可研中未明确。</w:t>
            </w:r>
          </w:p>
        </w:tc>
        <w:tc>
          <w:tcPr>
            <w:tcW w:w="528" w:type="pct"/>
            <w:tcBorders>
              <w:top w:val="single" w:color="auto" w:sz="4" w:space="0"/>
              <w:left w:val="single" w:color="auto" w:sz="4" w:space="0"/>
              <w:bottom w:val="single" w:color="auto" w:sz="4" w:space="0"/>
              <w:right w:val="single" w:color="auto" w:sz="4" w:space="0"/>
            </w:tcBorders>
            <w:vAlign w:val="center"/>
          </w:tcPr>
          <w:p w14:paraId="2C6B4D67">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下一阶段设计中需完善</w:t>
            </w:r>
          </w:p>
        </w:tc>
      </w:tr>
      <w:tr w14:paraId="0D67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2F0FD4E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支护</w:t>
            </w:r>
          </w:p>
        </w:tc>
      </w:tr>
      <w:tr w14:paraId="3E24B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4A16DC7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846" w:type="pct"/>
            <w:tcBorders>
              <w:top w:val="single" w:color="auto" w:sz="4" w:space="0"/>
              <w:left w:val="single" w:color="auto" w:sz="4" w:space="0"/>
              <w:bottom w:val="single" w:color="auto" w:sz="4" w:space="0"/>
              <w:right w:val="single" w:color="auto" w:sz="4" w:space="0"/>
            </w:tcBorders>
            <w:vAlign w:val="center"/>
          </w:tcPr>
          <w:p w14:paraId="6A15AA4F">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在不稳固的岩层中掘进时应进行支护。</w:t>
            </w:r>
          </w:p>
        </w:tc>
        <w:tc>
          <w:tcPr>
            <w:tcW w:w="1171" w:type="pct"/>
            <w:tcBorders>
              <w:top w:val="single" w:color="auto" w:sz="4" w:space="0"/>
              <w:left w:val="single" w:color="auto" w:sz="4" w:space="0"/>
              <w:bottom w:val="single" w:color="auto" w:sz="4" w:space="0"/>
              <w:right w:val="single" w:color="auto" w:sz="4" w:space="0"/>
            </w:tcBorders>
            <w:vAlign w:val="center"/>
          </w:tcPr>
          <w:p w14:paraId="5C337F0D">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3E9DF43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4CAE70F7">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第6.2.7.2条</w:t>
            </w:r>
          </w:p>
        </w:tc>
        <w:tc>
          <w:tcPr>
            <w:tcW w:w="1189" w:type="pct"/>
            <w:tcBorders>
              <w:top w:val="single" w:color="auto" w:sz="4" w:space="0"/>
              <w:left w:val="single" w:color="auto" w:sz="4" w:space="0"/>
              <w:bottom w:val="single" w:color="auto" w:sz="4" w:space="0"/>
              <w:right w:val="single" w:color="auto" w:sz="4" w:space="0"/>
            </w:tcBorders>
            <w:vAlign w:val="center"/>
          </w:tcPr>
          <w:p w14:paraId="5B309A28">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竖井采用砼支护，按照II～IV级岩石确定支护厚度，主要运输巷道根据围岩条件采用砼支护、喷射混凝土支护，硐室一般采用C25混凝土支护，对于有防水要求的硐室采用防水混凝土支护。</w:t>
            </w:r>
          </w:p>
        </w:tc>
        <w:tc>
          <w:tcPr>
            <w:tcW w:w="528" w:type="pct"/>
            <w:tcBorders>
              <w:top w:val="single" w:color="auto" w:sz="4" w:space="0"/>
              <w:left w:val="single" w:color="auto" w:sz="4" w:space="0"/>
              <w:bottom w:val="single" w:color="auto" w:sz="4" w:space="0"/>
              <w:right w:val="single" w:color="auto" w:sz="4" w:space="0"/>
            </w:tcBorders>
            <w:vAlign w:val="center"/>
          </w:tcPr>
          <w:p w14:paraId="7296D5F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1F9BFC24">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DE48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20BDD6C2">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防坠</w:t>
            </w:r>
          </w:p>
        </w:tc>
      </w:tr>
      <w:tr w14:paraId="7D141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345BE5A8">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846" w:type="pct"/>
            <w:tcBorders>
              <w:top w:val="single" w:color="auto" w:sz="4" w:space="0"/>
              <w:left w:val="single" w:color="auto" w:sz="4" w:space="0"/>
              <w:bottom w:val="single" w:color="auto" w:sz="4" w:space="0"/>
              <w:right w:val="single" w:color="auto" w:sz="4" w:space="0"/>
            </w:tcBorders>
            <w:vAlign w:val="center"/>
          </w:tcPr>
          <w:p w14:paraId="44862AD5">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天井、溜井、漏斗口等存在人员坠落可能的地方，应设警示标志、照明设施、护栏、安全网或格筛。</w:t>
            </w:r>
          </w:p>
        </w:tc>
        <w:tc>
          <w:tcPr>
            <w:tcW w:w="1171" w:type="pct"/>
            <w:tcBorders>
              <w:top w:val="single" w:color="auto" w:sz="4" w:space="0"/>
              <w:left w:val="single" w:color="auto" w:sz="4" w:space="0"/>
              <w:bottom w:val="single" w:color="auto" w:sz="4" w:space="0"/>
              <w:right w:val="single" w:color="auto" w:sz="4" w:space="0"/>
            </w:tcBorders>
            <w:vAlign w:val="center"/>
          </w:tcPr>
          <w:p w14:paraId="6A260E2F">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50FB14FD">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4B6107AD">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第6.1.4.5条</w:t>
            </w:r>
          </w:p>
        </w:tc>
        <w:tc>
          <w:tcPr>
            <w:tcW w:w="1189" w:type="pct"/>
            <w:tcBorders>
              <w:top w:val="single" w:color="auto" w:sz="4" w:space="0"/>
              <w:left w:val="single" w:color="auto" w:sz="4" w:space="0"/>
              <w:bottom w:val="single" w:color="auto" w:sz="4" w:space="0"/>
              <w:right w:val="single" w:color="auto" w:sz="4" w:space="0"/>
            </w:tcBorders>
            <w:vAlign w:val="center"/>
          </w:tcPr>
          <w:p w14:paraId="6470428D">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可研中未明确。</w:t>
            </w:r>
          </w:p>
        </w:tc>
        <w:tc>
          <w:tcPr>
            <w:tcW w:w="528" w:type="pct"/>
            <w:tcBorders>
              <w:top w:val="single" w:color="auto" w:sz="4" w:space="0"/>
              <w:left w:val="single" w:color="auto" w:sz="4" w:space="0"/>
              <w:bottom w:val="single" w:color="auto" w:sz="4" w:space="0"/>
              <w:right w:val="single" w:color="auto" w:sz="4" w:space="0"/>
            </w:tcBorders>
            <w:vAlign w:val="center"/>
          </w:tcPr>
          <w:p w14:paraId="41B5F8BC">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下一阶段设计中需完善</w:t>
            </w:r>
          </w:p>
        </w:tc>
      </w:tr>
      <w:tr w14:paraId="0464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06090B1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846" w:type="pct"/>
            <w:tcBorders>
              <w:top w:val="single" w:color="auto" w:sz="4" w:space="0"/>
              <w:left w:val="single" w:color="auto" w:sz="4" w:space="0"/>
              <w:bottom w:val="single" w:color="auto" w:sz="4" w:space="0"/>
              <w:right w:val="single" w:color="auto" w:sz="4" w:space="0"/>
            </w:tcBorders>
            <w:vAlign w:val="center"/>
          </w:tcPr>
          <w:p w14:paraId="23FADF00">
            <w:pPr>
              <w:adjustRightInd w:val="0"/>
              <w:snapToGrid w:val="0"/>
              <w:spacing w:line="240" w:lineRule="auto"/>
              <w:ind w:firstLine="0" w:firstLineChars="0"/>
              <w:rPr>
                <w:rFonts w:asciiTheme="minorHAnsi" w:hAnsiTheme="minorHAnsi" w:cstheme="minorHAnsi"/>
                <w:sz w:val="21"/>
                <w:szCs w:val="21"/>
              </w:rPr>
            </w:pPr>
            <w:bookmarkStart w:id="92" w:name="_Hlk174274399"/>
            <w:r>
              <w:rPr>
                <w:rFonts w:asciiTheme="minorHAnsi" w:hAnsiTheme="minorHAnsi" w:cstheme="minorHAnsi"/>
                <w:sz w:val="21"/>
                <w:szCs w:val="21"/>
              </w:rPr>
              <w:t>在竖井、天井、溜井和漏斗口上方，或在坠落基准面2m以上作业，有发生坠落危险的，应设安全网等防护设施，作业人员应佩戴安全带。作业时，不应抛掷物件，不应上下层同时作业，并应设专人监护。</w:t>
            </w:r>
            <w:bookmarkEnd w:id="92"/>
          </w:p>
        </w:tc>
        <w:tc>
          <w:tcPr>
            <w:tcW w:w="1171" w:type="pct"/>
            <w:tcBorders>
              <w:top w:val="single" w:color="auto" w:sz="4" w:space="0"/>
              <w:left w:val="single" w:color="auto" w:sz="4" w:space="0"/>
              <w:bottom w:val="single" w:color="auto" w:sz="4" w:space="0"/>
              <w:right w:val="single" w:color="auto" w:sz="4" w:space="0"/>
            </w:tcBorders>
            <w:vAlign w:val="center"/>
          </w:tcPr>
          <w:p w14:paraId="6A49C99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2BC73704">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14965EC9">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第6.1.4.6条</w:t>
            </w:r>
          </w:p>
        </w:tc>
        <w:tc>
          <w:tcPr>
            <w:tcW w:w="1189" w:type="pct"/>
            <w:tcBorders>
              <w:top w:val="single" w:color="auto" w:sz="4" w:space="0"/>
              <w:left w:val="single" w:color="auto" w:sz="4" w:space="0"/>
              <w:bottom w:val="single" w:color="auto" w:sz="4" w:space="0"/>
              <w:right w:val="single" w:color="auto" w:sz="4" w:space="0"/>
            </w:tcBorders>
            <w:vAlign w:val="center"/>
          </w:tcPr>
          <w:p w14:paraId="67BEFFB0">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可研中未明确。</w:t>
            </w:r>
          </w:p>
        </w:tc>
        <w:tc>
          <w:tcPr>
            <w:tcW w:w="528" w:type="pct"/>
            <w:tcBorders>
              <w:top w:val="single" w:color="auto" w:sz="4" w:space="0"/>
              <w:left w:val="single" w:color="auto" w:sz="4" w:space="0"/>
              <w:bottom w:val="single" w:color="auto" w:sz="4" w:space="0"/>
              <w:right w:val="single" w:color="auto" w:sz="4" w:space="0"/>
            </w:tcBorders>
            <w:vAlign w:val="center"/>
          </w:tcPr>
          <w:p w14:paraId="2563E565">
            <w:pPr>
              <w:adjustRightInd w:val="0"/>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下一阶段设计中需完善</w:t>
            </w:r>
          </w:p>
        </w:tc>
      </w:tr>
      <w:tr w14:paraId="5CE90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1056618D">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保安矿柱</w:t>
            </w:r>
          </w:p>
        </w:tc>
      </w:tr>
      <w:tr w14:paraId="21233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tcBorders>
              <w:top w:val="single" w:color="auto" w:sz="4" w:space="0"/>
              <w:left w:val="single" w:color="auto" w:sz="4" w:space="0"/>
              <w:bottom w:val="single" w:color="auto" w:sz="4" w:space="0"/>
              <w:right w:val="single" w:color="auto" w:sz="4" w:space="0"/>
            </w:tcBorders>
            <w:vAlign w:val="center"/>
          </w:tcPr>
          <w:p w14:paraId="73505D98">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1</w:t>
            </w:r>
          </w:p>
        </w:tc>
        <w:tc>
          <w:tcPr>
            <w:tcW w:w="1846" w:type="pct"/>
            <w:tcBorders>
              <w:top w:val="single" w:color="auto" w:sz="4" w:space="0"/>
              <w:left w:val="single" w:color="auto" w:sz="4" w:space="0"/>
              <w:bottom w:val="single" w:color="auto" w:sz="4" w:space="0"/>
              <w:right w:val="single" w:color="auto" w:sz="4" w:space="0"/>
            </w:tcBorders>
            <w:vAlign w:val="center"/>
          </w:tcPr>
          <w:p w14:paraId="6D238B79">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地下开采时， 应圈定岩体移动范围或岩体移动监测范围； 地表主要建构筑物、 主要井筒应布置在地表岩体移动范围之外， 或者留保安矿柱消除其影响。</w:t>
            </w:r>
          </w:p>
        </w:tc>
        <w:tc>
          <w:tcPr>
            <w:tcW w:w="1171" w:type="pct"/>
            <w:tcBorders>
              <w:top w:val="single" w:color="auto" w:sz="4" w:space="0"/>
              <w:left w:val="single" w:color="auto" w:sz="4" w:space="0"/>
              <w:bottom w:val="single" w:color="auto" w:sz="4" w:space="0"/>
              <w:right w:val="single" w:color="auto" w:sz="4" w:space="0"/>
            </w:tcBorders>
            <w:vAlign w:val="center"/>
          </w:tcPr>
          <w:p w14:paraId="07AA9985">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《金属非金属矿山安全规程》</w:t>
            </w:r>
          </w:p>
          <w:p w14:paraId="36D040D5">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GB16423-2020</w:t>
            </w:r>
          </w:p>
          <w:p w14:paraId="6E540A16">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第6.</w:t>
            </w:r>
            <w:r>
              <w:rPr>
                <w:rFonts w:asciiTheme="minorHAnsi" w:hAnsiTheme="minorHAnsi" w:cstheme="minorHAnsi"/>
                <w:sz w:val="21"/>
                <w:szCs w:val="21"/>
              </w:rPr>
              <w:t>3.1.2</w:t>
            </w:r>
            <w:r>
              <w:rPr>
                <w:rFonts w:hint="eastAsia" w:asciiTheme="minorHAnsi" w:hAnsiTheme="minorHAnsi" w:cstheme="minorHAnsi"/>
                <w:sz w:val="21"/>
                <w:szCs w:val="21"/>
              </w:rPr>
              <w:t>条</w:t>
            </w:r>
          </w:p>
        </w:tc>
        <w:tc>
          <w:tcPr>
            <w:tcW w:w="1189" w:type="pct"/>
            <w:tcBorders>
              <w:top w:val="single" w:color="auto" w:sz="4" w:space="0"/>
              <w:left w:val="single" w:color="auto" w:sz="4" w:space="0"/>
              <w:bottom w:val="single" w:color="auto" w:sz="4" w:space="0"/>
              <w:right w:val="single" w:color="auto" w:sz="4" w:space="0"/>
            </w:tcBorders>
            <w:vAlign w:val="center"/>
          </w:tcPr>
          <w:p w14:paraId="2913DE9C">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董梁高速及G105国道沿围护带外缘第四系及风化层按45°向下，基岩段按70°向下作为道路保护范围，设置保安矿柱，在-475m~-505m之间矿体留设30m厚的水平隔离矿柱。</w:t>
            </w:r>
          </w:p>
        </w:tc>
        <w:tc>
          <w:tcPr>
            <w:tcW w:w="528" w:type="pct"/>
            <w:tcBorders>
              <w:top w:val="single" w:color="auto" w:sz="4" w:space="0"/>
              <w:left w:val="single" w:color="auto" w:sz="4" w:space="0"/>
              <w:bottom w:val="single" w:color="auto" w:sz="4" w:space="0"/>
              <w:right w:val="single" w:color="auto" w:sz="4" w:space="0"/>
            </w:tcBorders>
            <w:vAlign w:val="center"/>
          </w:tcPr>
          <w:p w14:paraId="7A4FE0CF">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w:t>
            </w:r>
          </w:p>
          <w:p w14:paraId="657052BE">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要求</w:t>
            </w:r>
          </w:p>
        </w:tc>
      </w:tr>
    </w:tbl>
    <w:p w14:paraId="443636E6">
      <w:pPr>
        <w:widowControl/>
        <w:spacing w:line="240" w:lineRule="auto"/>
        <w:ind w:firstLine="0" w:firstLineChars="0"/>
        <w:jc w:val="left"/>
        <w:rPr>
          <w:rFonts w:asciiTheme="minorHAnsi" w:hAnsiTheme="minorHAnsi" w:cstheme="minorHAnsi"/>
          <w:b/>
          <w:szCs w:val="28"/>
        </w:rPr>
      </w:pPr>
      <w:r>
        <w:rPr>
          <w:rFonts w:asciiTheme="minorHAnsi" w:hAnsiTheme="minorHAnsi" w:cstheme="minorHAnsi"/>
          <w:b/>
          <w:szCs w:val="28"/>
        </w:rPr>
        <w:br w:type="page"/>
      </w:r>
    </w:p>
    <w:p w14:paraId="5E52F6B6">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3.2.4</w:t>
      </w:r>
      <w:r>
        <w:rPr>
          <w:rFonts w:hint="eastAsia" w:asciiTheme="minorHAnsi" w:hAnsiTheme="minorHAnsi" w:cstheme="minorHAnsi"/>
          <w:b/>
          <w:szCs w:val="28"/>
        </w:rPr>
        <w:t>保安矿柱稳定性</w:t>
      </w:r>
    </w:p>
    <w:p w14:paraId="108327EA">
      <w:pPr>
        <w:adjustRightInd w:val="0"/>
        <w:snapToGrid w:val="0"/>
        <w:spacing w:line="360" w:lineRule="auto"/>
        <w:ind w:firstLine="560"/>
        <w:rPr>
          <w:rFonts w:asciiTheme="minorHAnsi" w:hAnsiTheme="minorHAnsi" w:cstheme="minorHAnsi"/>
          <w:szCs w:val="28"/>
        </w:rPr>
      </w:pPr>
      <w:bookmarkStart w:id="93" w:name="_Hlk174366079"/>
      <w:r>
        <w:rPr>
          <w:rFonts w:hint="eastAsia" w:asciiTheme="minorHAnsi" w:hAnsiTheme="minorHAnsi" w:cstheme="minorHAnsi"/>
          <w:szCs w:val="28"/>
        </w:rPr>
        <w:t>彭集铁矿开采设计的保安矿柱一共分为三种，首先是-100m以上厚度为20m的护顶矿柱，设置目的为隔离一期开采矿体上部的第四系及风化层，保障一期开采的安全性。其次是二期彭集矿段开采矿体-475m以下厚度为30m的隔离矿柱，目的是一期开采结束后维持下部矿体开采的稳定性。最后是为保证董梁高速与G105国道安全运营，留设的高速、国道保安矿柱。</w:t>
      </w:r>
    </w:p>
    <w:p w14:paraId="799D93F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高速、国道保安矿柱的设计依据为《公路安全保护条例》（2011年3月7日，国务院令第593号），以此确定董梁高速与G105国道保安矿柱范围及压覆资源量。</w:t>
      </w:r>
    </w:p>
    <w:p w14:paraId="4250A8A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在董梁高速用地边界外缘向外推30m作为地表围护带，沿围护带边缘在第四系及风化层按45°，基岩段按70°向下作为高速保护范围，该范围内矿石不予开采，作为董梁高速保安矿柱永久损失。</w:t>
      </w:r>
    </w:p>
    <w:p w14:paraId="34676B6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在G105国道外缘向两侧外推20m作为地表围护带，沿围护带外缘第四系及风化层按45°向下，基岩段按70°向下作为道路保护范围，该范围内矿石不予开采，作为G105国道保安矿柱永久损失。</w:t>
      </w:r>
    </w:p>
    <w:p w14:paraId="24B048E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矿山委托长沙矿山研究院有限责任公司编制了</w:t>
      </w:r>
      <w:r>
        <w:rPr>
          <w:rFonts w:hint="eastAsia" w:asciiTheme="minorHAnsi" w:hAnsiTheme="minorHAnsi" w:cstheme="minorHAnsi"/>
        </w:rPr>
        <w:t>《山东彭集矿业有限公司彭集铁矿岩石力学专项研究与论证技术报告》（长沙矿山研究院有限责任公司，2</w:t>
      </w:r>
      <w:r>
        <w:rPr>
          <w:rFonts w:asciiTheme="minorHAnsi" w:hAnsiTheme="minorHAnsi" w:cstheme="minorHAnsi"/>
        </w:rPr>
        <w:t>025</w:t>
      </w:r>
      <w:r>
        <w:rPr>
          <w:rFonts w:hint="eastAsia" w:asciiTheme="minorHAnsi" w:hAnsiTheme="minorHAnsi" w:cstheme="minorHAnsi"/>
        </w:rPr>
        <w:t>年4月），</w:t>
      </w:r>
      <w:r>
        <w:rPr>
          <w:rFonts w:hint="eastAsia" w:asciiTheme="minorHAnsi" w:hAnsiTheme="minorHAnsi" w:cstheme="minorHAnsi"/>
          <w:szCs w:val="28"/>
        </w:rPr>
        <w:t>采用</w:t>
      </w:r>
      <w:r>
        <w:rPr>
          <w:rFonts w:asciiTheme="minorHAnsi" w:hAnsiTheme="minorHAnsi" w:cstheme="minorHAnsi"/>
          <w:szCs w:val="28"/>
        </w:rPr>
        <w:t>FLAC3D</w:t>
      </w:r>
      <w:r>
        <w:rPr>
          <w:rFonts w:hint="eastAsia" w:asciiTheme="minorHAnsi" w:hAnsiTheme="minorHAnsi" w:cstheme="minorHAnsi"/>
          <w:szCs w:val="28"/>
        </w:rPr>
        <w:t>对保安矿柱进行了稳定性计算。</w:t>
      </w:r>
    </w:p>
    <w:p w14:paraId="6356EAEF">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（1）模型构建</w:t>
      </w:r>
    </w:p>
    <w:p w14:paraId="09B4B5A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彭集铁矿矿脉呈狭长条带状，沿走向长约 2150~2850m，延深均大于 600m，厚度2~30m。矿体岩性为角闪石英岩，围岩以黑云变粒岩为主，地表覆盖有第四系。矿区内对矿体开采有影响的断层仅为 F3，因其影响范围较小，仅限于矿界范围南部的矿体末端，故模拟计算不作考虑。建立的模型高度从-1000m 至地表，长轴为矿体走向，总计 1500m，宽度总计 1200m。需要说明的是，此次研究为细化并重点突出开采扰动的力学表现及影响范围，将一个盘区的全采深作为重点研究分析对象，在走向上截取简化了计算模型。</w:t>
      </w:r>
    </w:p>
    <w:p w14:paraId="3299B31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数值计算模型如图所示。采用位移边界条件，固定模型底部 z 方向的变形，同时固定模型四周对应法向方向的变形，顶部为自然地表，本模型存在 3 个地层，由垂直方向从上到下依次为第四系风化层和黑云变粒岩，以及夹在黑云变粒岩中作为矿体的角闪石英岩。单元为四面体和六面体类型，网格最小边长为 5m，单元数量为 55 万个，网格节点 9.8 万个。</w:t>
      </w:r>
    </w:p>
    <w:p w14:paraId="39B8758B">
      <w:pPr>
        <w:adjustRightInd w:val="0"/>
        <w:snapToGrid w:val="0"/>
        <w:spacing w:line="360" w:lineRule="auto"/>
        <w:ind w:firstLine="560"/>
        <w:rPr>
          <w:rFonts w:asciiTheme="minorHAnsi" w:hAnsiTheme="minorHAnsi" w:cstheme="minorHAnsi"/>
          <w:szCs w:val="28"/>
        </w:rPr>
      </w:pPr>
      <w:r>
        <w:drawing>
          <wp:inline distT="0" distB="0" distL="0" distR="0">
            <wp:extent cx="5139055" cy="3716655"/>
            <wp:effectExtent l="0" t="0" r="4445" b="0"/>
            <wp:docPr id="129" name="image71.jpeg"/>
            <wp:cNvGraphicFramePr/>
            <a:graphic xmlns:a="http://schemas.openxmlformats.org/drawingml/2006/main">
              <a:graphicData uri="http://schemas.openxmlformats.org/drawingml/2006/picture">
                <pic:pic xmlns:pic="http://schemas.openxmlformats.org/drawingml/2006/picture">
                  <pic:nvPicPr>
                    <pic:cNvPr id="129" name="image71.jpeg"/>
                    <pic:cNvPicPr/>
                  </pic:nvPicPr>
                  <pic:blipFill>
                    <a:blip r:embed="rId57" cstate="print"/>
                    <a:stretch>
                      <a:fillRect/>
                    </a:stretch>
                  </pic:blipFill>
                  <pic:spPr>
                    <a:xfrm>
                      <a:off x="0" y="0"/>
                      <a:ext cx="5158013" cy="3730424"/>
                    </a:xfrm>
                    <a:prstGeom prst="rect">
                      <a:avLst/>
                    </a:prstGeom>
                  </pic:spPr>
                </pic:pic>
              </a:graphicData>
            </a:graphic>
          </wp:inline>
        </w:drawing>
      </w:r>
    </w:p>
    <w:p w14:paraId="428C9A56">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图 </w:t>
      </w:r>
      <w:r>
        <w:rPr>
          <w:rFonts w:asciiTheme="minorHAnsi" w:hAnsiTheme="minorHAnsi" w:cstheme="minorHAnsi"/>
          <w:szCs w:val="28"/>
        </w:rPr>
        <w:t xml:space="preserve">3.2-1 </w:t>
      </w:r>
      <w:r>
        <w:rPr>
          <w:rFonts w:hint="eastAsia" w:asciiTheme="minorHAnsi" w:hAnsiTheme="minorHAnsi" w:cstheme="minorHAnsi"/>
          <w:szCs w:val="28"/>
        </w:rPr>
        <w:t>矿山数值计算模型图</w:t>
      </w:r>
    </w:p>
    <w:p w14:paraId="783CBCD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采矿工程等领域内，初始地应力场的存在和影响不容忽略，尤其是深埋工程受地应力（以构造应力为主）的制约较为显著。初始地应力既是影响岩体力学性质的重要控制因素，也是岩体所处环境条件下发生改变时引起变形和破坏的重要力源之一。因此，要想较真实地进行工程力学数值计算，必须保证初始地应力场的可靠性。初始地应力场生成的主要目的是为了模拟所关注分析阶段之前岩、土体已经存在的应力状态。</w:t>
      </w:r>
    </w:p>
    <w:p w14:paraId="5032A18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为了消除原岩应力对原岩变形的影响，这里将原岩应力引起的位移场清零，只研究开挖等采矿活动引起的应力和位移变化。基岩岩体在原岩应力下只产生弹性变形区，未见塑性区。数值模型最终初始应力场及最大不平衡力演化过程见图。</w:t>
      </w:r>
    </w:p>
    <w:p w14:paraId="37E51D71">
      <w:pPr>
        <w:adjustRightInd w:val="0"/>
        <w:snapToGrid w:val="0"/>
        <w:spacing w:line="360" w:lineRule="auto"/>
        <w:ind w:firstLine="0" w:firstLineChars="0"/>
        <w:rPr>
          <w:rFonts w:asciiTheme="minorHAnsi" w:hAnsiTheme="minorHAnsi" w:cstheme="minorHAnsi"/>
          <w:szCs w:val="28"/>
        </w:rPr>
      </w:pPr>
      <w:r>
        <w:drawing>
          <wp:inline distT="0" distB="0" distL="0" distR="0">
            <wp:extent cx="5904230" cy="3655060"/>
            <wp:effectExtent l="0" t="0" r="127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8"/>
                    <a:stretch>
                      <a:fillRect/>
                    </a:stretch>
                  </pic:blipFill>
                  <pic:spPr>
                    <a:xfrm>
                      <a:off x="0" y="0"/>
                      <a:ext cx="5904230" cy="3655060"/>
                    </a:xfrm>
                    <a:prstGeom prst="rect">
                      <a:avLst/>
                    </a:prstGeom>
                  </pic:spPr>
                </pic:pic>
              </a:graphicData>
            </a:graphic>
          </wp:inline>
        </w:drawing>
      </w:r>
    </w:p>
    <w:p w14:paraId="4878F38F">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3.2-2</w:t>
      </w:r>
      <w:r>
        <w:rPr>
          <w:rFonts w:hint="eastAsia" w:asciiTheme="minorHAnsi" w:hAnsiTheme="minorHAnsi" w:cstheme="minorHAnsi"/>
          <w:szCs w:val="28"/>
        </w:rPr>
        <w:t>初始地应力场</w:t>
      </w:r>
    </w:p>
    <w:p w14:paraId="46D0FA70">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（2）力学参数</w:t>
      </w:r>
    </w:p>
    <w:p w14:paraId="1BC57F9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矿岩及充填体强度参数值如表 所示。第四系风化层的力学参数取值取自地勘报告，胶结充填体的力学参数通过参考其他矿山经验确定。</w:t>
      </w:r>
    </w:p>
    <w:p w14:paraId="713B48AA">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表 </w:t>
      </w:r>
      <w:r>
        <w:rPr>
          <w:rFonts w:asciiTheme="minorHAnsi" w:hAnsiTheme="minorHAnsi" w:cstheme="minorHAnsi"/>
          <w:szCs w:val="28"/>
        </w:rPr>
        <w:t>3.2-3</w:t>
      </w:r>
      <w:r>
        <w:rPr>
          <w:rFonts w:hint="eastAsia" w:asciiTheme="minorHAnsi" w:hAnsiTheme="minorHAnsi" w:cstheme="minorHAnsi"/>
          <w:szCs w:val="28"/>
        </w:rPr>
        <w:t xml:space="preserve"> 矿岩、围岩、断层和充填体物理力学参数</w:t>
      </w:r>
    </w:p>
    <w:tbl>
      <w:tblPr>
        <w:tblStyle w:val="99"/>
        <w:tblW w:w="0" w:type="auto"/>
        <w:tblInd w:w="2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98"/>
        <w:gridCol w:w="1139"/>
        <w:gridCol w:w="1096"/>
        <w:gridCol w:w="1108"/>
        <w:gridCol w:w="1127"/>
        <w:gridCol w:w="946"/>
        <w:gridCol w:w="1154"/>
        <w:gridCol w:w="1007"/>
      </w:tblGrid>
      <w:tr w14:paraId="7658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4" w:hRule="exact"/>
        </w:trPr>
        <w:tc>
          <w:tcPr>
            <w:tcW w:w="1298" w:type="dxa"/>
            <w:vAlign w:val="center"/>
          </w:tcPr>
          <w:p w14:paraId="6AAC246B">
            <w:pPr>
              <w:pStyle w:val="100"/>
              <w:adjustRightInd w:val="0"/>
              <w:snapToGrid w:val="0"/>
              <w:rPr>
                <w:sz w:val="21"/>
              </w:rPr>
            </w:pPr>
            <w:r>
              <w:rPr>
                <w:rFonts w:hint="eastAsia" w:ascii="宋体" w:hAnsi="宋体" w:eastAsia="宋体" w:cs="宋体"/>
                <w:sz w:val="21"/>
              </w:rPr>
              <w:t>岩体</w:t>
            </w:r>
          </w:p>
        </w:tc>
        <w:tc>
          <w:tcPr>
            <w:tcW w:w="1139" w:type="dxa"/>
            <w:vAlign w:val="center"/>
          </w:tcPr>
          <w:p w14:paraId="68FDFD00">
            <w:pPr>
              <w:pStyle w:val="100"/>
              <w:adjustRightInd w:val="0"/>
              <w:snapToGrid w:val="0"/>
              <w:rPr>
                <w:sz w:val="21"/>
              </w:rPr>
            </w:pPr>
            <w:r>
              <w:rPr>
                <w:rFonts w:hint="eastAsia" w:ascii="宋体" w:hAnsi="宋体" w:eastAsia="宋体" w:cs="宋体"/>
                <w:sz w:val="21"/>
              </w:rPr>
              <w:t>密度</w:t>
            </w:r>
          </w:p>
          <w:p w14:paraId="72DFEAEC">
            <w:pPr>
              <w:pStyle w:val="100"/>
              <w:adjustRightInd w:val="0"/>
              <w:snapToGrid w:val="0"/>
              <w:rPr>
                <w:sz w:val="21"/>
              </w:rPr>
            </w:pPr>
            <w:r>
              <w:rPr>
                <w:rFonts w:hint="eastAsia" w:ascii="宋体" w:hAnsi="宋体" w:eastAsia="宋体" w:cs="宋体"/>
                <w:sz w:val="21"/>
              </w:rPr>
              <w:t>（</w:t>
            </w:r>
            <w:r>
              <w:rPr>
                <w:sz w:val="21"/>
              </w:rPr>
              <w:t>g/cm</w:t>
            </w:r>
            <w:r>
              <w:rPr>
                <w:position w:val="8"/>
                <w:sz w:val="14"/>
              </w:rPr>
              <w:t>3</w:t>
            </w:r>
            <w:r>
              <w:rPr>
                <w:rFonts w:hint="eastAsia" w:ascii="宋体" w:hAnsi="宋体" w:eastAsia="宋体" w:cs="宋体"/>
                <w:sz w:val="21"/>
              </w:rPr>
              <w:t>）</w:t>
            </w:r>
          </w:p>
        </w:tc>
        <w:tc>
          <w:tcPr>
            <w:tcW w:w="1096" w:type="dxa"/>
            <w:vAlign w:val="center"/>
          </w:tcPr>
          <w:p w14:paraId="13445E97">
            <w:pPr>
              <w:pStyle w:val="100"/>
              <w:adjustRightInd w:val="0"/>
              <w:snapToGrid w:val="0"/>
              <w:rPr>
                <w:sz w:val="21"/>
              </w:rPr>
            </w:pPr>
            <w:r>
              <w:rPr>
                <w:rFonts w:hint="eastAsia" w:ascii="宋体" w:hAnsi="宋体" w:eastAsia="宋体" w:cs="宋体"/>
                <w:sz w:val="21"/>
              </w:rPr>
              <w:t>抗压强度</w:t>
            </w:r>
          </w:p>
          <w:p w14:paraId="40ED8E43">
            <w:pPr>
              <w:pStyle w:val="100"/>
              <w:adjustRightInd w:val="0"/>
              <w:snapToGrid w:val="0"/>
              <w:rPr>
                <w:sz w:val="21"/>
              </w:rPr>
            </w:pPr>
            <w:r>
              <w:rPr>
                <w:rFonts w:hint="eastAsia" w:ascii="宋体" w:hAnsi="宋体" w:eastAsia="宋体" w:cs="宋体"/>
                <w:sz w:val="21"/>
              </w:rPr>
              <w:t>（</w:t>
            </w:r>
            <w:r>
              <w:rPr>
                <w:sz w:val="21"/>
              </w:rPr>
              <w:t>MPa</w:t>
            </w:r>
            <w:r>
              <w:rPr>
                <w:rFonts w:hint="eastAsia" w:ascii="宋体" w:hAnsi="宋体" w:eastAsia="宋体" w:cs="宋体"/>
                <w:sz w:val="21"/>
              </w:rPr>
              <w:t>）</w:t>
            </w:r>
          </w:p>
        </w:tc>
        <w:tc>
          <w:tcPr>
            <w:tcW w:w="1108" w:type="dxa"/>
            <w:vAlign w:val="center"/>
          </w:tcPr>
          <w:p w14:paraId="74777E26">
            <w:pPr>
              <w:pStyle w:val="100"/>
              <w:adjustRightInd w:val="0"/>
              <w:snapToGrid w:val="0"/>
              <w:rPr>
                <w:sz w:val="21"/>
              </w:rPr>
            </w:pPr>
            <w:r>
              <w:rPr>
                <w:rFonts w:hint="eastAsia" w:ascii="宋体" w:hAnsi="宋体" w:eastAsia="宋体" w:cs="宋体"/>
                <w:sz w:val="21"/>
              </w:rPr>
              <w:t>抗拉强度</w:t>
            </w:r>
          </w:p>
          <w:p w14:paraId="272F6188">
            <w:pPr>
              <w:pStyle w:val="100"/>
              <w:adjustRightInd w:val="0"/>
              <w:snapToGrid w:val="0"/>
              <w:rPr>
                <w:sz w:val="21"/>
              </w:rPr>
            </w:pPr>
            <w:r>
              <w:rPr>
                <w:rFonts w:hint="eastAsia" w:ascii="宋体" w:hAnsi="宋体" w:eastAsia="宋体" w:cs="宋体"/>
                <w:sz w:val="21"/>
              </w:rPr>
              <w:t>（</w:t>
            </w:r>
            <w:r>
              <w:rPr>
                <w:sz w:val="21"/>
              </w:rPr>
              <w:t>MPa</w:t>
            </w:r>
            <w:r>
              <w:rPr>
                <w:rFonts w:hint="eastAsia" w:ascii="宋体" w:hAnsi="宋体" w:eastAsia="宋体" w:cs="宋体"/>
                <w:sz w:val="21"/>
              </w:rPr>
              <w:t>）</w:t>
            </w:r>
          </w:p>
        </w:tc>
        <w:tc>
          <w:tcPr>
            <w:tcW w:w="1127" w:type="dxa"/>
            <w:vAlign w:val="center"/>
          </w:tcPr>
          <w:p w14:paraId="5FBD5D45">
            <w:pPr>
              <w:pStyle w:val="100"/>
              <w:adjustRightInd w:val="0"/>
              <w:snapToGrid w:val="0"/>
              <w:rPr>
                <w:sz w:val="21"/>
              </w:rPr>
            </w:pPr>
            <w:r>
              <w:rPr>
                <w:rFonts w:hint="eastAsia" w:ascii="宋体" w:hAnsi="宋体" w:eastAsia="宋体" w:cs="宋体"/>
                <w:sz w:val="21"/>
              </w:rPr>
              <w:t>弹性模量</w:t>
            </w:r>
          </w:p>
          <w:p w14:paraId="7EB0091D">
            <w:pPr>
              <w:pStyle w:val="100"/>
              <w:adjustRightInd w:val="0"/>
              <w:snapToGrid w:val="0"/>
              <w:rPr>
                <w:sz w:val="21"/>
              </w:rPr>
            </w:pPr>
            <w:r>
              <w:rPr>
                <w:rFonts w:hint="eastAsia" w:ascii="宋体" w:hAnsi="宋体" w:eastAsia="宋体" w:cs="宋体"/>
                <w:sz w:val="21"/>
              </w:rPr>
              <w:t>（</w:t>
            </w:r>
            <w:r>
              <w:rPr>
                <w:sz w:val="21"/>
              </w:rPr>
              <w:t>GPa</w:t>
            </w:r>
            <w:r>
              <w:rPr>
                <w:rFonts w:hint="eastAsia" w:ascii="宋体" w:hAnsi="宋体" w:eastAsia="宋体" w:cs="宋体"/>
                <w:sz w:val="21"/>
              </w:rPr>
              <w:t>）</w:t>
            </w:r>
          </w:p>
        </w:tc>
        <w:tc>
          <w:tcPr>
            <w:tcW w:w="946" w:type="dxa"/>
            <w:vAlign w:val="center"/>
          </w:tcPr>
          <w:p w14:paraId="276E03E9">
            <w:pPr>
              <w:pStyle w:val="100"/>
              <w:adjustRightInd w:val="0"/>
              <w:snapToGrid w:val="0"/>
              <w:rPr>
                <w:sz w:val="21"/>
              </w:rPr>
            </w:pPr>
            <w:r>
              <w:rPr>
                <w:rFonts w:hint="eastAsia" w:ascii="宋体" w:hAnsi="宋体" w:eastAsia="宋体" w:cs="宋体"/>
                <w:sz w:val="21"/>
              </w:rPr>
              <w:t>泊松比</w:t>
            </w:r>
          </w:p>
        </w:tc>
        <w:tc>
          <w:tcPr>
            <w:tcW w:w="1154" w:type="dxa"/>
            <w:vAlign w:val="center"/>
          </w:tcPr>
          <w:p w14:paraId="4298D62A">
            <w:pPr>
              <w:pStyle w:val="100"/>
              <w:adjustRightInd w:val="0"/>
              <w:snapToGrid w:val="0"/>
              <w:rPr>
                <w:sz w:val="21"/>
              </w:rPr>
            </w:pPr>
            <w:r>
              <w:rPr>
                <w:rFonts w:hint="eastAsia" w:ascii="宋体" w:hAnsi="宋体" w:eastAsia="宋体" w:cs="宋体"/>
                <w:sz w:val="21"/>
              </w:rPr>
              <w:t>粘聚力</w:t>
            </w:r>
          </w:p>
          <w:p w14:paraId="7C5CDEE6">
            <w:pPr>
              <w:pStyle w:val="100"/>
              <w:adjustRightInd w:val="0"/>
              <w:snapToGrid w:val="0"/>
              <w:rPr>
                <w:sz w:val="21"/>
              </w:rPr>
            </w:pPr>
            <w:r>
              <w:rPr>
                <w:rFonts w:hint="eastAsia" w:ascii="宋体" w:hAnsi="宋体" w:eastAsia="宋体" w:cs="宋体"/>
                <w:sz w:val="21"/>
              </w:rPr>
              <w:t>（</w:t>
            </w:r>
            <w:r>
              <w:rPr>
                <w:sz w:val="21"/>
              </w:rPr>
              <w:t>MPa</w:t>
            </w:r>
            <w:r>
              <w:rPr>
                <w:rFonts w:hint="eastAsia" w:ascii="宋体" w:hAnsi="宋体" w:eastAsia="宋体" w:cs="宋体"/>
                <w:sz w:val="21"/>
              </w:rPr>
              <w:t>）</w:t>
            </w:r>
          </w:p>
        </w:tc>
        <w:tc>
          <w:tcPr>
            <w:tcW w:w="1007" w:type="dxa"/>
            <w:vAlign w:val="center"/>
          </w:tcPr>
          <w:p w14:paraId="11E00F00">
            <w:pPr>
              <w:pStyle w:val="100"/>
              <w:adjustRightInd w:val="0"/>
              <w:snapToGrid w:val="0"/>
              <w:rPr>
                <w:sz w:val="21"/>
              </w:rPr>
            </w:pPr>
            <w:r>
              <w:rPr>
                <w:rFonts w:hint="eastAsia" w:ascii="宋体" w:hAnsi="宋体" w:eastAsia="宋体" w:cs="宋体"/>
                <w:sz w:val="21"/>
              </w:rPr>
              <w:t>内摩擦角</w:t>
            </w:r>
          </w:p>
          <w:p w14:paraId="5BAC26C6">
            <w:pPr>
              <w:pStyle w:val="100"/>
              <w:adjustRightInd w:val="0"/>
              <w:snapToGrid w:val="0"/>
              <w:rPr>
                <w:sz w:val="21"/>
              </w:rPr>
            </w:pPr>
            <w:r>
              <w:rPr>
                <w:rFonts w:hint="eastAsia" w:ascii="宋体" w:hAnsi="宋体" w:eastAsia="宋体" w:cs="宋体"/>
                <w:sz w:val="21"/>
              </w:rPr>
              <w:t>（</w:t>
            </w:r>
            <w:r>
              <w:rPr>
                <w:sz w:val="21"/>
              </w:rPr>
              <w:t>°</w:t>
            </w:r>
            <w:r>
              <w:rPr>
                <w:rFonts w:hint="eastAsia" w:ascii="宋体" w:hAnsi="宋体" w:eastAsia="宋体" w:cs="宋体"/>
                <w:sz w:val="21"/>
              </w:rPr>
              <w:t>）</w:t>
            </w:r>
          </w:p>
        </w:tc>
      </w:tr>
      <w:tr w14:paraId="6974B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8" w:hRule="exact"/>
        </w:trPr>
        <w:tc>
          <w:tcPr>
            <w:tcW w:w="1298" w:type="dxa"/>
            <w:vAlign w:val="center"/>
          </w:tcPr>
          <w:p w14:paraId="38867C3A">
            <w:pPr>
              <w:pStyle w:val="100"/>
              <w:adjustRightInd w:val="0"/>
              <w:snapToGrid w:val="0"/>
              <w:rPr>
                <w:sz w:val="21"/>
              </w:rPr>
            </w:pPr>
            <w:r>
              <w:rPr>
                <w:rFonts w:hint="eastAsia" w:ascii="宋体" w:hAnsi="宋体" w:eastAsia="宋体" w:cs="宋体"/>
                <w:sz w:val="21"/>
              </w:rPr>
              <w:t>第四系风化层</w:t>
            </w:r>
          </w:p>
        </w:tc>
        <w:tc>
          <w:tcPr>
            <w:tcW w:w="1139" w:type="dxa"/>
            <w:vAlign w:val="center"/>
          </w:tcPr>
          <w:p w14:paraId="52210BA5">
            <w:pPr>
              <w:pStyle w:val="100"/>
              <w:adjustRightInd w:val="0"/>
              <w:snapToGrid w:val="0"/>
              <w:rPr>
                <w:sz w:val="21"/>
              </w:rPr>
            </w:pPr>
            <w:r>
              <w:rPr>
                <w:sz w:val="21"/>
              </w:rPr>
              <w:t>1.957</w:t>
            </w:r>
          </w:p>
        </w:tc>
        <w:tc>
          <w:tcPr>
            <w:tcW w:w="1096" w:type="dxa"/>
            <w:vAlign w:val="center"/>
          </w:tcPr>
          <w:p w14:paraId="23E73AFB">
            <w:pPr>
              <w:pStyle w:val="100"/>
              <w:adjustRightInd w:val="0"/>
              <w:snapToGrid w:val="0"/>
              <w:rPr>
                <w:sz w:val="21"/>
              </w:rPr>
            </w:pPr>
            <w:r>
              <w:rPr>
                <w:sz w:val="21"/>
              </w:rPr>
              <w:t>-</w:t>
            </w:r>
          </w:p>
        </w:tc>
        <w:tc>
          <w:tcPr>
            <w:tcW w:w="1108" w:type="dxa"/>
            <w:vAlign w:val="center"/>
          </w:tcPr>
          <w:p w14:paraId="2609C140">
            <w:pPr>
              <w:pStyle w:val="100"/>
              <w:adjustRightInd w:val="0"/>
              <w:snapToGrid w:val="0"/>
              <w:rPr>
                <w:sz w:val="21"/>
              </w:rPr>
            </w:pPr>
            <w:r>
              <w:rPr>
                <w:sz w:val="21"/>
              </w:rPr>
              <w:t>-</w:t>
            </w:r>
          </w:p>
        </w:tc>
        <w:tc>
          <w:tcPr>
            <w:tcW w:w="1127" w:type="dxa"/>
            <w:vAlign w:val="center"/>
          </w:tcPr>
          <w:p w14:paraId="5511F1D3">
            <w:pPr>
              <w:pStyle w:val="100"/>
              <w:adjustRightInd w:val="0"/>
              <w:snapToGrid w:val="0"/>
              <w:rPr>
                <w:sz w:val="21"/>
              </w:rPr>
            </w:pPr>
            <w:r>
              <w:rPr>
                <w:sz w:val="21"/>
              </w:rPr>
              <w:t>0.015</w:t>
            </w:r>
          </w:p>
        </w:tc>
        <w:tc>
          <w:tcPr>
            <w:tcW w:w="946" w:type="dxa"/>
            <w:vAlign w:val="center"/>
          </w:tcPr>
          <w:p w14:paraId="6BB054BD">
            <w:pPr>
              <w:pStyle w:val="100"/>
              <w:adjustRightInd w:val="0"/>
              <w:snapToGrid w:val="0"/>
              <w:rPr>
                <w:sz w:val="21"/>
              </w:rPr>
            </w:pPr>
            <w:r>
              <w:rPr>
                <w:sz w:val="21"/>
              </w:rPr>
              <w:t>0.15</w:t>
            </w:r>
          </w:p>
        </w:tc>
        <w:tc>
          <w:tcPr>
            <w:tcW w:w="1154" w:type="dxa"/>
            <w:vAlign w:val="center"/>
          </w:tcPr>
          <w:p w14:paraId="00154D97">
            <w:pPr>
              <w:pStyle w:val="100"/>
              <w:adjustRightInd w:val="0"/>
              <w:snapToGrid w:val="0"/>
              <w:rPr>
                <w:sz w:val="21"/>
              </w:rPr>
            </w:pPr>
            <w:r>
              <w:rPr>
                <w:sz w:val="21"/>
              </w:rPr>
              <w:t>0.022</w:t>
            </w:r>
          </w:p>
        </w:tc>
        <w:tc>
          <w:tcPr>
            <w:tcW w:w="1007" w:type="dxa"/>
            <w:vAlign w:val="center"/>
          </w:tcPr>
          <w:p w14:paraId="752A0E55">
            <w:pPr>
              <w:pStyle w:val="100"/>
              <w:adjustRightInd w:val="0"/>
              <w:snapToGrid w:val="0"/>
              <w:rPr>
                <w:sz w:val="21"/>
              </w:rPr>
            </w:pPr>
            <w:r>
              <w:rPr>
                <w:sz w:val="21"/>
              </w:rPr>
              <w:t>12</w:t>
            </w:r>
          </w:p>
        </w:tc>
      </w:tr>
      <w:tr w14:paraId="7515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9" w:hRule="exact"/>
        </w:trPr>
        <w:tc>
          <w:tcPr>
            <w:tcW w:w="1298" w:type="dxa"/>
            <w:vAlign w:val="center"/>
          </w:tcPr>
          <w:p w14:paraId="3E5A666A">
            <w:pPr>
              <w:pStyle w:val="100"/>
              <w:adjustRightInd w:val="0"/>
              <w:snapToGrid w:val="0"/>
              <w:rPr>
                <w:rFonts w:ascii="宋体"/>
                <w:sz w:val="21"/>
              </w:rPr>
            </w:pPr>
            <w:r>
              <w:rPr>
                <w:rFonts w:hint="eastAsia" w:ascii="宋体" w:hAnsi="宋体" w:eastAsia="宋体" w:cs="宋体"/>
                <w:sz w:val="21"/>
              </w:rPr>
              <w:t>角闪石英岩</w:t>
            </w:r>
          </w:p>
        </w:tc>
        <w:tc>
          <w:tcPr>
            <w:tcW w:w="1139" w:type="dxa"/>
            <w:vAlign w:val="center"/>
          </w:tcPr>
          <w:p w14:paraId="2D17B8E4">
            <w:pPr>
              <w:pStyle w:val="100"/>
              <w:adjustRightInd w:val="0"/>
              <w:snapToGrid w:val="0"/>
              <w:rPr>
                <w:sz w:val="21"/>
              </w:rPr>
            </w:pPr>
            <w:r>
              <w:rPr>
                <w:sz w:val="21"/>
              </w:rPr>
              <w:t>3.08</w:t>
            </w:r>
          </w:p>
        </w:tc>
        <w:tc>
          <w:tcPr>
            <w:tcW w:w="1096" w:type="dxa"/>
            <w:vAlign w:val="center"/>
          </w:tcPr>
          <w:p w14:paraId="021CC824">
            <w:pPr>
              <w:pStyle w:val="100"/>
              <w:adjustRightInd w:val="0"/>
              <w:snapToGrid w:val="0"/>
              <w:rPr>
                <w:sz w:val="21"/>
              </w:rPr>
            </w:pPr>
            <w:r>
              <w:rPr>
                <w:sz w:val="21"/>
              </w:rPr>
              <w:t>20.74</w:t>
            </w:r>
          </w:p>
        </w:tc>
        <w:tc>
          <w:tcPr>
            <w:tcW w:w="1108" w:type="dxa"/>
            <w:vAlign w:val="center"/>
          </w:tcPr>
          <w:p w14:paraId="2536C13B">
            <w:pPr>
              <w:pStyle w:val="100"/>
              <w:adjustRightInd w:val="0"/>
              <w:snapToGrid w:val="0"/>
              <w:rPr>
                <w:sz w:val="21"/>
              </w:rPr>
            </w:pPr>
            <w:r>
              <w:rPr>
                <w:sz w:val="21"/>
              </w:rPr>
              <w:t>0.49</w:t>
            </w:r>
          </w:p>
        </w:tc>
        <w:tc>
          <w:tcPr>
            <w:tcW w:w="1127" w:type="dxa"/>
            <w:vAlign w:val="center"/>
          </w:tcPr>
          <w:p w14:paraId="409FB819">
            <w:pPr>
              <w:pStyle w:val="100"/>
              <w:adjustRightInd w:val="0"/>
              <w:snapToGrid w:val="0"/>
              <w:rPr>
                <w:sz w:val="21"/>
              </w:rPr>
            </w:pPr>
            <w:r>
              <w:rPr>
                <w:sz w:val="21"/>
              </w:rPr>
              <w:t>27.65</w:t>
            </w:r>
          </w:p>
        </w:tc>
        <w:tc>
          <w:tcPr>
            <w:tcW w:w="946" w:type="dxa"/>
            <w:vAlign w:val="center"/>
          </w:tcPr>
          <w:p w14:paraId="4A666262">
            <w:pPr>
              <w:pStyle w:val="100"/>
              <w:adjustRightInd w:val="0"/>
              <w:snapToGrid w:val="0"/>
              <w:rPr>
                <w:sz w:val="21"/>
              </w:rPr>
            </w:pPr>
            <w:r>
              <w:rPr>
                <w:sz w:val="21"/>
              </w:rPr>
              <w:t>0.19</w:t>
            </w:r>
          </w:p>
        </w:tc>
        <w:tc>
          <w:tcPr>
            <w:tcW w:w="1154" w:type="dxa"/>
            <w:vAlign w:val="center"/>
          </w:tcPr>
          <w:p w14:paraId="54D9387F">
            <w:pPr>
              <w:pStyle w:val="100"/>
              <w:adjustRightInd w:val="0"/>
              <w:snapToGrid w:val="0"/>
              <w:rPr>
                <w:sz w:val="21"/>
              </w:rPr>
            </w:pPr>
            <w:r>
              <w:rPr>
                <w:sz w:val="21"/>
              </w:rPr>
              <w:t>1.63</w:t>
            </w:r>
          </w:p>
        </w:tc>
        <w:tc>
          <w:tcPr>
            <w:tcW w:w="1007" w:type="dxa"/>
            <w:vAlign w:val="center"/>
          </w:tcPr>
          <w:p w14:paraId="2C593362">
            <w:pPr>
              <w:pStyle w:val="100"/>
              <w:adjustRightInd w:val="0"/>
              <w:snapToGrid w:val="0"/>
              <w:rPr>
                <w:sz w:val="21"/>
              </w:rPr>
            </w:pPr>
            <w:r>
              <w:rPr>
                <w:sz w:val="21"/>
              </w:rPr>
              <w:t>40</w:t>
            </w:r>
          </w:p>
        </w:tc>
      </w:tr>
      <w:tr w14:paraId="436E9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5" w:hRule="exact"/>
        </w:trPr>
        <w:tc>
          <w:tcPr>
            <w:tcW w:w="1298" w:type="dxa"/>
            <w:vAlign w:val="center"/>
          </w:tcPr>
          <w:p w14:paraId="43023DC9">
            <w:pPr>
              <w:pStyle w:val="100"/>
              <w:adjustRightInd w:val="0"/>
              <w:snapToGrid w:val="0"/>
              <w:rPr>
                <w:rFonts w:ascii="宋体"/>
                <w:sz w:val="13"/>
              </w:rPr>
            </w:pPr>
          </w:p>
          <w:p w14:paraId="48091BB7">
            <w:pPr>
              <w:pStyle w:val="100"/>
              <w:adjustRightInd w:val="0"/>
              <w:snapToGrid w:val="0"/>
              <w:rPr>
                <w:sz w:val="21"/>
              </w:rPr>
            </w:pPr>
            <w:r>
              <w:rPr>
                <w:rFonts w:hint="eastAsia" w:ascii="宋体" w:hAnsi="宋体" w:eastAsia="宋体" w:cs="宋体"/>
                <w:sz w:val="21"/>
              </w:rPr>
              <w:t>黑云变粒岩</w:t>
            </w:r>
          </w:p>
        </w:tc>
        <w:tc>
          <w:tcPr>
            <w:tcW w:w="1139" w:type="dxa"/>
            <w:vAlign w:val="center"/>
          </w:tcPr>
          <w:p w14:paraId="5F95A392">
            <w:pPr>
              <w:pStyle w:val="100"/>
              <w:adjustRightInd w:val="0"/>
              <w:snapToGrid w:val="0"/>
              <w:rPr>
                <w:sz w:val="21"/>
              </w:rPr>
            </w:pPr>
            <w:r>
              <w:rPr>
                <w:sz w:val="21"/>
              </w:rPr>
              <w:t>2.73</w:t>
            </w:r>
          </w:p>
        </w:tc>
        <w:tc>
          <w:tcPr>
            <w:tcW w:w="1096" w:type="dxa"/>
            <w:vAlign w:val="center"/>
          </w:tcPr>
          <w:p w14:paraId="46637B0D">
            <w:pPr>
              <w:pStyle w:val="100"/>
              <w:adjustRightInd w:val="0"/>
              <w:snapToGrid w:val="0"/>
              <w:rPr>
                <w:sz w:val="21"/>
              </w:rPr>
            </w:pPr>
            <w:r>
              <w:rPr>
                <w:sz w:val="21"/>
              </w:rPr>
              <w:t>29.93</w:t>
            </w:r>
          </w:p>
        </w:tc>
        <w:tc>
          <w:tcPr>
            <w:tcW w:w="1108" w:type="dxa"/>
            <w:vAlign w:val="center"/>
          </w:tcPr>
          <w:p w14:paraId="1AE08A11">
            <w:pPr>
              <w:pStyle w:val="100"/>
              <w:adjustRightInd w:val="0"/>
              <w:snapToGrid w:val="0"/>
              <w:rPr>
                <w:sz w:val="21"/>
              </w:rPr>
            </w:pPr>
            <w:r>
              <w:rPr>
                <w:sz w:val="21"/>
              </w:rPr>
              <w:t>0.97</w:t>
            </w:r>
          </w:p>
        </w:tc>
        <w:tc>
          <w:tcPr>
            <w:tcW w:w="1127" w:type="dxa"/>
            <w:vAlign w:val="center"/>
          </w:tcPr>
          <w:p w14:paraId="0C17F43C">
            <w:pPr>
              <w:pStyle w:val="100"/>
              <w:adjustRightInd w:val="0"/>
              <w:snapToGrid w:val="0"/>
              <w:rPr>
                <w:sz w:val="21"/>
              </w:rPr>
            </w:pPr>
            <w:r>
              <w:rPr>
                <w:sz w:val="21"/>
              </w:rPr>
              <w:t>30.86</w:t>
            </w:r>
          </w:p>
        </w:tc>
        <w:tc>
          <w:tcPr>
            <w:tcW w:w="946" w:type="dxa"/>
            <w:vAlign w:val="center"/>
          </w:tcPr>
          <w:p w14:paraId="66FFCFC5">
            <w:pPr>
              <w:pStyle w:val="100"/>
              <w:adjustRightInd w:val="0"/>
              <w:snapToGrid w:val="0"/>
              <w:rPr>
                <w:sz w:val="21"/>
              </w:rPr>
            </w:pPr>
            <w:r>
              <w:rPr>
                <w:sz w:val="21"/>
              </w:rPr>
              <w:t>0.23</w:t>
            </w:r>
          </w:p>
        </w:tc>
        <w:tc>
          <w:tcPr>
            <w:tcW w:w="1154" w:type="dxa"/>
            <w:vAlign w:val="center"/>
          </w:tcPr>
          <w:p w14:paraId="700AE8A8">
            <w:pPr>
              <w:pStyle w:val="100"/>
              <w:adjustRightInd w:val="0"/>
              <w:snapToGrid w:val="0"/>
              <w:rPr>
                <w:sz w:val="21"/>
              </w:rPr>
            </w:pPr>
            <w:r>
              <w:rPr>
                <w:sz w:val="21"/>
              </w:rPr>
              <w:t>1.92</w:t>
            </w:r>
          </w:p>
        </w:tc>
        <w:tc>
          <w:tcPr>
            <w:tcW w:w="1007" w:type="dxa"/>
            <w:vAlign w:val="center"/>
          </w:tcPr>
          <w:p w14:paraId="3EAE653C">
            <w:pPr>
              <w:pStyle w:val="100"/>
              <w:adjustRightInd w:val="0"/>
              <w:snapToGrid w:val="0"/>
              <w:rPr>
                <w:sz w:val="21"/>
              </w:rPr>
            </w:pPr>
            <w:r>
              <w:rPr>
                <w:sz w:val="21"/>
              </w:rPr>
              <w:t>38</w:t>
            </w:r>
          </w:p>
        </w:tc>
      </w:tr>
      <w:tr w14:paraId="4192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8" w:hRule="exact"/>
        </w:trPr>
        <w:tc>
          <w:tcPr>
            <w:tcW w:w="1298" w:type="dxa"/>
            <w:vAlign w:val="center"/>
          </w:tcPr>
          <w:p w14:paraId="048D8F18">
            <w:pPr>
              <w:pStyle w:val="100"/>
              <w:adjustRightInd w:val="0"/>
              <w:snapToGrid w:val="0"/>
              <w:rPr>
                <w:rFonts w:ascii="宋体"/>
                <w:sz w:val="21"/>
              </w:rPr>
            </w:pPr>
            <w:r>
              <w:rPr>
                <w:rFonts w:hint="eastAsia" w:ascii="宋体" w:hAnsi="宋体" w:eastAsia="宋体" w:cs="宋体"/>
                <w:sz w:val="21"/>
              </w:rPr>
              <w:t>充填体</w:t>
            </w:r>
          </w:p>
          <w:p w14:paraId="45B747BC">
            <w:pPr>
              <w:pStyle w:val="100"/>
              <w:adjustRightInd w:val="0"/>
              <w:snapToGrid w:val="0"/>
              <w:rPr>
                <w:sz w:val="21"/>
              </w:rPr>
            </w:pPr>
            <w:r>
              <w:rPr>
                <w:rFonts w:hint="eastAsia" w:ascii="宋体" w:hAnsi="宋体" w:eastAsia="宋体" w:cs="宋体"/>
                <w:sz w:val="21"/>
              </w:rPr>
              <w:t>（</w:t>
            </w:r>
            <w:r>
              <w:rPr>
                <w:sz w:val="21"/>
              </w:rPr>
              <w:t>2MPa</w:t>
            </w:r>
            <w:r>
              <w:rPr>
                <w:rFonts w:hint="eastAsia" w:ascii="宋体" w:hAnsi="宋体" w:eastAsia="宋体" w:cs="宋体"/>
                <w:sz w:val="21"/>
              </w:rPr>
              <w:t>）</w:t>
            </w:r>
          </w:p>
        </w:tc>
        <w:tc>
          <w:tcPr>
            <w:tcW w:w="1139" w:type="dxa"/>
            <w:vAlign w:val="center"/>
          </w:tcPr>
          <w:p w14:paraId="18063CAC">
            <w:pPr>
              <w:pStyle w:val="100"/>
              <w:adjustRightInd w:val="0"/>
              <w:snapToGrid w:val="0"/>
              <w:rPr>
                <w:sz w:val="21"/>
              </w:rPr>
            </w:pPr>
            <w:r>
              <w:rPr>
                <w:sz w:val="21"/>
              </w:rPr>
              <w:t>1.75</w:t>
            </w:r>
          </w:p>
        </w:tc>
        <w:tc>
          <w:tcPr>
            <w:tcW w:w="1096" w:type="dxa"/>
            <w:vAlign w:val="center"/>
          </w:tcPr>
          <w:p w14:paraId="683BEC95">
            <w:pPr>
              <w:pStyle w:val="100"/>
              <w:adjustRightInd w:val="0"/>
              <w:snapToGrid w:val="0"/>
              <w:rPr>
                <w:sz w:val="21"/>
              </w:rPr>
            </w:pPr>
            <w:r>
              <w:rPr>
                <w:sz w:val="21"/>
              </w:rPr>
              <w:t>2</w:t>
            </w:r>
          </w:p>
        </w:tc>
        <w:tc>
          <w:tcPr>
            <w:tcW w:w="1108" w:type="dxa"/>
            <w:vAlign w:val="center"/>
          </w:tcPr>
          <w:p w14:paraId="5A4865BC">
            <w:pPr>
              <w:pStyle w:val="100"/>
              <w:adjustRightInd w:val="0"/>
              <w:snapToGrid w:val="0"/>
              <w:rPr>
                <w:sz w:val="21"/>
              </w:rPr>
            </w:pPr>
            <w:r>
              <w:rPr>
                <w:sz w:val="21"/>
              </w:rPr>
              <w:t>0.2</w:t>
            </w:r>
          </w:p>
        </w:tc>
        <w:tc>
          <w:tcPr>
            <w:tcW w:w="1127" w:type="dxa"/>
            <w:vAlign w:val="center"/>
          </w:tcPr>
          <w:p w14:paraId="435C07D2">
            <w:pPr>
              <w:pStyle w:val="100"/>
              <w:adjustRightInd w:val="0"/>
              <w:snapToGrid w:val="0"/>
              <w:rPr>
                <w:sz w:val="21"/>
              </w:rPr>
            </w:pPr>
            <w:r>
              <w:rPr>
                <w:sz w:val="21"/>
              </w:rPr>
              <w:t>0.49</w:t>
            </w:r>
          </w:p>
        </w:tc>
        <w:tc>
          <w:tcPr>
            <w:tcW w:w="946" w:type="dxa"/>
            <w:vAlign w:val="center"/>
          </w:tcPr>
          <w:p w14:paraId="1E564F0C">
            <w:pPr>
              <w:pStyle w:val="100"/>
              <w:adjustRightInd w:val="0"/>
              <w:snapToGrid w:val="0"/>
              <w:rPr>
                <w:sz w:val="21"/>
              </w:rPr>
            </w:pPr>
            <w:r>
              <w:rPr>
                <w:sz w:val="21"/>
              </w:rPr>
              <w:t>0.17</w:t>
            </w:r>
          </w:p>
        </w:tc>
        <w:tc>
          <w:tcPr>
            <w:tcW w:w="1154" w:type="dxa"/>
            <w:vAlign w:val="center"/>
          </w:tcPr>
          <w:p w14:paraId="139E13AE">
            <w:pPr>
              <w:pStyle w:val="100"/>
              <w:adjustRightInd w:val="0"/>
              <w:snapToGrid w:val="0"/>
              <w:rPr>
                <w:sz w:val="21"/>
              </w:rPr>
            </w:pPr>
            <w:r>
              <w:rPr>
                <w:sz w:val="21"/>
              </w:rPr>
              <w:t>0.3</w:t>
            </w:r>
          </w:p>
        </w:tc>
        <w:tc>
          <w:tcPr>
            <w:tcW w:w="1007" w:type="dxa"/>
            <w:vAlign w:val="center"/>
          </w:tcPr>
          <w:p w14:paraId="054BA201">
            <w:pPr>
              <w:pStyle w:val="100"/>
              <w:adjustRightInd w:val="0"/>
              <w:snapToGrid w:val="0"/>
              <w:rPr>
                <w:sz w:val="21"/>
              </w:rPr>
            </w:pPr>
            <w:r>
              <w:rPr>
                <w:sz w:val="21"/>
              </w:rPr>
              <w:t>28</w:t>
            </w:r>
          </w:p>
        </w:tc>
      </w:tr>
      <w:tr w14:paraId="7180E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exact"/>
        </w:trPr>
        <w:tc>
          <w:tcPr>
            <w:tcW w:w="1298" w:type="dxa"/>
            <w:vAlign w:val="center"/>
          </w:tcPr>
          <w:p w14:paraId="35857FB5">
            <w:pPr>
              <w:pStyle w:val="100"/>
              <w:adjustRightInd w:val="0"/>
              <w:snapToGrid w:val="0"/>
              <w:rPr>
                <w:rFonts w:ascii="宋体"/>
                <w:sz w:val="21"/>
              </w:rPr>
            </w:pPr>
            <w:r>
              <w:rPr>
                <w:rFonts w:hint="eastAsia" w:ascii="宋体" w:hAnsi="宋体" w:eastAsia="宋体" w:cs="宋体"/>
                <w:sz w:val="21"/>
              </w:rPr>
              <w:t>充填体</w:t>
            </w:r>
          </w:p>
          <w:p w14:paraId="5D811540">
            <w:pPr>
              <w:pStyle w:val="100"/>
              <w:adjustRightInd w:val="0"/>
              <w:snapToGrid w:val="0"/>
              <w:rPr>
                <w:sz w:val="21"/>
              </w:rPr>
            </w:pPr>
            <w:r>
              <w:rPr>
                <w:rFonts w:hint="eastAsia" w:ascii="宋体" w:hAnsi="宋体" w:eastAsia="宋体" w:cs="宋体"/>
                <w:sz w:val="21"/>
              </w:rPr>
              <w:t>（</w:t>
            </w:r>
            <w:r>
              <w:rPr>
                <w:sz w:val="21"/>
              </w:rPr>
              <w:t>0.6MPa</w:t>
            </w:r>
            <w:r>
              <w:rPr>
                <w:rFonts w:hint="eastAsia" w:ascii="宋体" w:hAnsi="宋体" w:eastAsia="宋体" w:cs="宋体"/>
                <w:sz w:val="21"/>
              </w:rPr>
              <w:t>）</w:t>
            </w:r>
          </w:p>
        </w:tc>
        <w:tc>
          <w:tcPr>
            <w:tcW w:w="1139" w:type="dxa"/>
            <w:vAlign w:val="center"/>
          </w:tcPr>
          <w:p w14:paraId="28C3AEEF">
            <w:pPr>
              <w:pStyle w:val="100"/>
              <w:adjustRightInd w:val="0"/>
              <w:snapToGrid w:val="0"/>
              <w:rPr>
                <w:sz w:val="21"/>
              </w:rPr>
            </w:pPr>
            <w:r>
              <w:rPr>
                <w:sz w:val="21"/>
              </w:rPr>
              <w:t>1.75</w:t>
            </w:r>
          </w:p>
        </w:tc>
        <w:tc>
          <w:tcPr>
            <w:tcW w:w="1096" w:type="dxa"/>
            <w:vAlign w:val="center"/>
          </w:tcPr>
          <w:p w14:paraId="7EAB5CA0">
            <w:pPr>
              <w:pStyle w:val="100"/>
              <w:adjustRightInd w:val="0"/>
              <w:snapToGrid w:val="0"/>
              <w:rPr>
                <w:sz w:val="21"/>
              </w:rPr>
            </w:pPr>
            <w:r>
              <w:rPr>
                <w:sz w:val="21"/>
              </w:rPr>
              <w:t>0.6</w:t>
            </w:r>
          </w:p>
        </w:tc>
        <w:tc>
          <w:tcPr>
            <w:tcW w:w="1108" w:type="dxa"/>
            <w:vAlign w:val="center"/>
          </w:tcPr>
          <w:p w14:paraId="11B3A3E7">
            <w:pPr>
              <w:pStyle w:val="100"/>
              <w:adjustRightInd w:val="0"/>
              <w:snapToGrid w:val="0"/>
              <w:rPr>
                <w:sz w:val="21"/>
              </w:rPr>
            </w:pPr>
            <w:r>
              <w:rPr>
                <w:sz w:val="21"/>
              </w:rPr>
              <w:t>0.08</w:t>
            </w:r>
          </w:p>
        </w:tc>
        <w:tc>
          <w:tcPr>
            <w:tcW w:w="1127" w:type="dxa"/>
            <w:vAlign w:val="center"/>
          </w:tcPr>
          <w:p w14:paraId="2338C1ED">
            <w:pPr>
              <w:pStyle w:val="100"/>
              <w:adjustRightInd w:val="0"/>
              <w:snapToGrid w:val="0"/>
              <w:rPr>
                <w:sz w:val="21"/>
              </w:rPr>
            </w:pPr>
            <w:r>
              <w:rPr>
                <w:sz w:val="21"/>
              </w:rPr>
              <w:t>0.07</w:t>
            </w:r>
          </w:p>
        </w:tc>
        <w:tc>
          <w:tcPr>
            <w:tcW w:w="946" w:type="dxa"/>
            <w:vAlign w:val="center"/>
          </w:tcPr>
          <w:p w14:paraId="345B54DB">
            <w:pPr>
              <w:pStyle w:val="100"/>
              <w:adjustRightInd w:val="0"/>
              <w:snapToGrid w:val="0"/>
              <w:rPr>
                <w:sz w:val="21"/>
              </w:rPr>
            </w:pPr>
            <w:r>
              <w:rPr>
                <w:sz w:val="21"/>
              </w:rPr>
              <w:t>0.13</w:t>
            </w:r>
          </w:p>
        </w:tc>
        <w:tc>
          <w:tcPr>
            <w:tcW w:w="1154" w:type="dxa"/>
            <w:vAlign w:val="center"/>
          </w:tcPr>
          <w:p w14:paraId="74642987">
            <w:pPr>
              <w:pStyle w:val="100"/>
              <w:adjustRightInd w:val="0"/>
              <w:snapToGrid w:val="0"/>
              <w:rPr>
                <w:sz w:val="21"/>
              </w:rPr>
            </w:pPr>
            <w:r>
              <w:rPr>
                <w:sz w:val="21"/>
              </w:rPr>
              <w:t>0.09</w:t>
            </w:r>
          </w:p>
        </w:tc>
        <w:tc>
          <w:tcPr>
            <w:tcW w:w="1007" w:type="dxa"/>
            <w:vAlign w:val="center"/>
          </w:tcPr>
          <w:p w14:paraId="514F7D26">
            <w:pPr>
              <w:pStyle w:val="100"/>
              <w:adjustRightInd w:val="0"/>
              <w:snapToGrid w:val="0"/>
              <w:rPr>
                <w:sz w:val="21"/>
              </w:rPr>
            </w:pPr>
            <w:r>
              <w:rPr>
                <w:sz w:val="21"/>
              </w:rPr>
              <w:t>22</w:t>
            </w:r>
          </w:p>
        </w:tc>
      </w:tr>
    </w:tbl>
    <w:p w14:paraId="0F31AA6F">
      <w:pPr>
        <w:adjustRightInd w:val="0"/>
        <w:snapToGrid w:val="0"/>
        <w:spacing w:line="360" w:lineRule="auto"/>
        <w:ind w:firstLine="560"/>
        <w:rPr>
          <w:rFonts w:asciiTheme="minorHAnsi" w:hAnsiTheme="minorHAnsi" w:cstheme="minorHAnsi"/>
          <w:szCs w:val="28"/>
        </w:rPr>
      </w:pPr>
    </w:p>
    <w:p w14:paraId="3056F042">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（3）工况设计</w:t>
      </w:r>
    </w:p>
    <w:p w14:paraId="6817EB0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根据《可研报告》，数值模拟中主要研究分析彭集矿段的主要矿体，即1号、2号、5号和6号矿体。矿体产状走向大致为340°，倾向SW，倾角55°~85°。矿体形状一般较为简单，多呈层状、似层状，局部有分枝复合现象，1、2号矿体位于上盘，5号、6号矿体位于下盘，5号相对6号矿体来说处于上盘位置。</w:t>
      </w:r>
    </w:p>
    <w:p w14:paraId="7BF7E40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矿方法分为两种，一是垂直走向布置的阶段空场嗣后充填法，二是沿走向布置的分段空场嗣后充填法。根据主要矿体的赋存特征，分别对应不同的主要矿体，垂直走向布置的阶段空场法中分为两步骤开采，200m划分一个盘区，盘间柱25m，一、二步骤采场宽度均为25m。盘区内开采顺序为隔一采一，一步骤回采完成后进行充填，充填体强度取下限值2.0MPa（采场顶部5m厚和底部10m厚两层充填灰砂比为1:6，充填体强度大于3.0MPa，剩余60m中间部位充填灰砂比为1:10，充填体28天强度大于2.0MPa），二步骤充填体强度取下限值0.6MPa（采场顶部5m厚和底部10m厚两层充填灰砂比为1:6，充填体强度大于3.0MPa，剩余60m中间部位充填灰砂比为1:20，充填体强度大于0.6MPa）；沿走向布置的分段空场法同样按200m划分盘区，盘间柱25m，采场长度为45m，采场内分为矿房矿柱，矿房40m，矿柱5m，各矿房可同时进行回采，回采完成后进行充填，充填体强度取下限值0.6MPa（与前述采矿方法二步骤一致）。</w:t>
      </w:r>
    </w:p>
    <w:p w14:paraId="1F29AD6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彭集矿段采用的是分期上行式开采，一期开采先于二期，一期开采标高为-100~-475m，二期开采标高-505~-805m，同期内由底部最下的中段向上逐阶段开采，阶段高度为75m。1、2号矿体与夹石混采，5、6号矿体单采，同时开采1、2矿体和6号矿体；6</w:t>
      </w:r>
      <w:r>
        <w:rPr>
          <w:rFonts w:hint="eastAsia" w:asciiTheme="minorHAnsi" w:hAnsiTheme="minorHAnsi" w:cstheme="minorHAnsi"/>
          <w:szCs w:val="28"/>
        </w:rPr>
        <w:tab/>
      </w:r>
      <w:r>
        <w:rPr>
          <w:rFonts w:hint="eastAsia" w:asciiTheme="minorHAnsi" w:hAnsiTheme="minorHAnsi" w:cstheme="minorHAnsi"/>
          <w:szCs w:val="28"/>
        </w:rPr>
        <w:t>号矿体开完结束后开采上盘的5号矿体。采场逐步回采逐步充填，下一中段充填完成后方可进行上一中段的生产回采，即本中段的生产采动都是在原岩顶板下进行的。矿体结合矿山的实际生产过程中，敞空的采场在某个阶段的不同盘区间不断循环，处于充填状态的采场也是一样，阶段之间从下往上逐步将所有矿体回采完毕。综合考虑并进行适当的简化，着重研究四个阶段的开采情景，模拟设置了三个工况。</w:t>
      </w:r>
    </w:p>
    <w:p w14:paraId="180CAEE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首先就阶段间的开采顺序，阶段Ⅰ：根据彭集铁矿《可研报告》开采-475m中段，该阶段属于矿山一期生产回采的首采阶段。工况Ⅰ-①可用于说明采场在当前深度-475m条件下矿柱稳定性的问题；工况Ⅰ-②可用于说明当前采深下充填体强度的问题；工况Ⅰ-③可作为参与评判地表移动变形的初始参照基准。</w:t>
      </w:r>
    </w:p>
    <w:p w14:paraId="35590C3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阶段Ⅱ：根据彭集铁矿《可研报告》开采-175m中段，该阶段属于矿山一期生产回采的最后阶段，本工况的回采工作均在充填体上完成。工况Ⅱ-①可用于说明采场当前深度-175m条件下矿柱稳定性的问题；工况Ⅱ-②可用于说明当前采深下充填体强度的问题，工况Ⅱ-③可作为参与评判地表移动变形的后续参照基准。同时本阶段还有一个重要的作用，即说明-100~-80m护顶矿柱经历最近一个中段的开采扰动后的稳定性分析。</w:t>
      </w:r>
    </w:p>
    <w:p w14:paraId="3435E90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阶段Ⅲ：根据彭集铁矿《可研报告》开采-805m中段，该阶段属于矿山二期生产回采的首采阶段。工况Ⅲ-①可用于说明采场在当前深度-805m条件下矿柱稳定性的问题；工况Ⅲ-②可用于说明当前采深下充填体强度的问题；工况Ⅲ-③可作为参与评判地表移动变形的后续参照基准。</w:t>
      </w:r>
    </w:p>
    <w:p w14:paraId="133A807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阶段Ⅳ：根据彭集铁矿《可研报告》开采-580m中段，该阶段属于矿山二期生产回采的最后阶段，本阶段的回采工作同样是在充填体上完成。工况Ⅳ-①可用于说明采场当前深度-580m条件下矿柱稳定性的问题；工况Ⅳ-②可用于说明当前采深下充填体强度的问题，工况Ⅳ-③可作为参与评判地表移动变形的最终评判结果。同时本阶段同样还有一个重要的作用，即说明-505~-475m保安矿柱经历最后一个中段的开采扰动后的稳定性分析。</w:t>
      </w:r>
    </w:p>
    <w:p w14:paraId="3F47F5C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在总体上的时间顺序上，四个阶段贯穿了彭集铁矿开采彭集矿段的全生命周期。阶段Ⅰ~Ⅳ是随时间顺序推进的，工况①~③模拟的是一个阶段中，盘区内的完整回采过程，也是跟随生产进度更迭的。其中工况①~③会在每个阶段内循环出现。</w:t>
      </w:r>
    </w:p>
    <w:p w14:paraId="47232E7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阶段中盘区内的三个工况说明如下：</w:t>
      </w:r>
    </w:p>
    <w:p w14:paraId="571FD52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工况①：当前阶段 1、2  号矿体中垂直矿体走向布置的阶段空场法，一个盘区内的一步骤采场全部采空，处于敞空状态，不充填，同时二步骤采场也不开采，保持原岩状态。6 号矿体中沿走向布置的分段空场法，一个盘区内的所有采场全部采空，处于敞空状态，不充填；5 号矿体不开采。这个工况的设计主要是为了校核采场结构参数的稳定性，即当垂直矿体走向布置的阶段空场法一步骤采场以及当沿走向布置的分段空场法采场在逐步完全敞空至最终胶结充填接顶前，1、2 号矿体一步骤采场空区和 6 号矿体采场空区的稳定性状态，敞空采空区的顶板与侧帮是否会发生较大规模岩层崩落。</w:t>
      </w:r>
    </w:p>
    <w:p w14:paraId="7B41EBD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工况②：当前阶段 1、2  号矿体中垂直矿体走向布置的阶段空场法，一个盘区内的一步骤采场开采后充填 2MPa 的充填体，二步骤采场全部采空，但是不充填。6 号矿体中沿走向布置的分段空场法，一个盘区内的所有采场开采完后充填 0.6MPa 的充填体；位于上盘的 5 号矿体中沿走向布置的分段空场法，一个盘区内的所有采场全部采空，不充填。这个工况的设计主要是为了验证充填体的强度，即当垂直矿体走向布置的阶段空场法二步骤采场逐步落矿回采、完全敞空至逐步胶结充填接顶的过程中，相邻两个一步骤采场是高强度的胶结充填体作为矿柱在维护采场的稳定，一步骤高强度胶结充填体的自稳性若无法满足需求，不仅对二步骤采场产生贫化，还会对顶板岩层的崩落范围产生影响，最终导致地表沉降变形的增加。同时一步骤采场在这个过程中承受着顶板与侧边盘区间柱转移来的压力，一步骤胶结充填体将不断承压。</w:t>
      </w:r>
    </w:p>
    <w:p w14:paraId="7E59D7D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工况③：当前阶段 1、2  号矿体中垂直矿体走向布置的阶段空场法，一个盘区内的一步骤采场全部采完，然后全部充填 2MPa 的充填体，6 号矿体中沿走向布置的分段空场法，一个盘区内的所有采场开采完后充填 0.6MPa 的充填体。接着开采二步骤采场，采完后，全部充填 0.6MPa 的充填体，位于上盘的 5 号矿体中沿走向布置的分段空场法，一个盘区内的所有采场全部采空，并充填 0.6MPa 的充填体，25m 宽的盘区间柱与 5m 宽的隔离矿柱不作回采。这个工况的设计主要是为了说明地表沉降变形的问题，即在横向上完成阶段内盘区的最后开采阶段，使得盘区内的所有采场都回采并充填完毕，当阶段开采至矿山生命周期最后阶段时，对地表沉降变形的影响也逐步增加到最大。</w:t>
      </w:r>
    </w:p>
    <w:p w14:paraId="6BFBAD61">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（4）数值模拟分析</w:t>
      </w:r>
    </w:p>
    <w:p w14:paraId="39099E9D">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工况Ⅰ-①结果分析：</w:t>
      </w:r>
    </w:p>
    <w:p w14:paraId="4116AE5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工况Ⅰ-①：-475m 中段 1、2 号矿体中垂直矿体走向布置的阶段空场法，一个盘区内的一步骤采场全部采空，处于敞空状态，不充填，同时二步骤采场也不开采，保持原岩状态。6 号矿体中沿走向布置的分段空场法，一个盘区内的所有采场全部采空，处于敞空状态，不充填；5 号矿体不开采。</w:t>
      </w:r>
    </w:p>
    <w:p w14:paraId="3861CED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1）垂直矿体走向布置的阶段空场嗣后充填法</w:t>
      </w:r>
    </w:p>
    <w:p w14:paraId="79B7905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37E276E4">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52165"/>
            <wp:effectExtent l="0" t="0" r="127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9"/>
                    <a:stretch>
                      <a:fillRect/>
                    </a:stretch>
                  </pic:blipFill>
                  <pic:spPr>
                    <a:xfrm>
                      <a:off x="0" y="0"/>
                      <a:ext cx="5904230" cy="3352165"/>
                    </a:xfrm>
                    <a:prstGeom prst="rect">
                      <a:avLst/>
                    </a:prstGeom>
                  </pic:spPr>
                </pic:pic>
              </a:graphicData>
            </a:graphic>
          </wp:inline>
        </w:drawing>
      </w:r>
    </w:p>
    <w:p w14:paraId="14C3C264">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图 </w:t>
      </w:r>
      <w:r>
        <w:rPr>
          <w:rFonts w:asciiTheme="minorHAnsi" w:hAnsiTheme="minorHAnsi" w:cstheme="minorHAnsi"/>
          <w:szCs w:val="28"/>
        </w:rPr>
        <w:t xml:space="preserve">3.2-3 </w:t>
      </w:r>
      <w:r>
        <w:rPr>
          <w:rFonts w:hint="eastAsia" w:asciiTheme="minorHAnsi" w:hAnsiTheme="minorHAnsi" w:cstheme="minorHAnsi"/>
          <w:szCs w:val="28"/>
        </w:rPr>
        <w:t xml:space="preserve"> 塑性区分布云图</w:t>
      </w:r>
    </w:p>
    <w:p w14:paraId="6F85A7A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通过上图的塑性区分布，可以看出垂直矿体走向布置的阶段空场法中，其内一步骤采场处于完全敞空状态时，二步骤采场的原岩矿体及 25m  宽的盘间矿柱存在较多的塑性区，主要表现为剪切塑性。图中两侧矿体区域内因其靠近端部，塑性表现得不为明显。</w:t>
      </w:r>
    </w:p>
    <w:p w14:paraId="2DCA13D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07E981CA">
      <w:pPr>
        <w:adjustRightInd w:val="0"/>
        <w:snapToGrid w:val="0"/>
        <w:spacing w:line="360" w:lineRule="auto"/>
        <w:ind w:firstLine="0" w:firstLineChars="0"/>
        <w:jc w:val="center"/>
      </w:pPr>
      <w:r>
        <w:drawing>
          <wp:inline distT="0" distB="0" distL="0" distR="0">
            <wp:extent cx="5904230" cy="3301365"/>
            <wp:effectExtent l="0" t="0" r="127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0"/>
                    <a:stretch>
                      <a:fillRect/>
                    </a:stretch>
                  </pic:blipFill>
                  <pic:spPr>
                    <a:xfrm>
                      <a:off x="0" y="0"/>
                      <a:ext cx="5904230" cy="3301365"/>
                    </a:xfrm>
                    <a:prstGeom prst="rect">
                      <a:avLst/>
                    </a:prstGeom>
                  </pic:spPr>
                </pic:pic>
              </a:graphicData>
            </a:graphic>
          </wp:inline>
        </w:drawing>
      </w:r>
    </w:p>
    <w:p w14:paraId="04D6E97C">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（a） X 方向位移云图</w:t>
      </w:r>
    </w:p>
    <w:p w14:paraId="3366D385">
      <w:pPr>
        <w:adjustRightInd w:val="0"/>
        <w:snapToGrid w:val="0"/>
        <w:spacing w:line="360" w:lineRule="auto"/>
        <w:ind w:firstLine="0" w:firstLineChars="0"/>
        <w:jc w:val="center"/>
      </w:pPr>
      <w:r>
        <w:drawing>
          <wp:inline distT="0" distB="0" distL="0" distR="0">
            <wp:extent cx="5904230" cy="3348990"/>
            <wp:effectExtent l="0" t="0" r="127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1"/>
                    <a:stretch>
                      <a:fillRect/>
                    </a:stretch>
                  </pic:blipFill>
                  <pic:spPr>
                    <a:xfrm>
                      <a:off x="0" y="0"/>
                      <a:ext cx="5904230" cy="3348990"/>
                    </a:xfrm>
                    <a:prstGeom prst="rect">
                      <a:avLst/>
                    </a:prstGeom>
                  </pic:spPr>
                </pic:pic>
              </a:graphicData>
            </a:graphic>
          </wp:inline>
        </w:drawing>
      </w:r>
    </w:p>
    <w:p w14:paraId="0FBEB1B8">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（b） </w:t>
      </w:r>
      <w:r>
        <w:rPr>
          <w:rFonts w:asciiTheme="minorHAnsi" w:hAnsiTheme="minorHAnsi" w:cstheme="minorHAnsi"/>
          <w:szCs w:val="28"/>
        </w:rPr>
        <w:t>Y</w:t>
      </w:r>
      <w:r>
        <w:rPr>
          <w:rFonts w:hint="eastAsia" w:asciiTheme="minorHAnsi" w:hAnsiTheme="minorHAnsi" w:cstheme="minorHAnsi"/>
          <w:szCs w:val="28"/>
        </w:rPr>
        <w:t xml:space="preserve"> 方向位移云图</w:t>
      </w:r>
    </w:p>
    <w:p w14:paraId="0E1A8C50">
      <w:pPr>
        <w:adjustRightInd w:val="0"/>
        <w:snapToGrid w:val="0"/>
        <w:spacing w:line="360" w:lineRule="auto"/>
        <w:ind w:firstLine="0" w:firstLineChars="0"/>
        <w:jc w:val="center"/>
      </w:pPr>
      <w:r>
        <w:drawing>
          <wp:inline distT="0" distB="0" distL="0" distR="0">
            <wp:extent cx="5904230" cy="3350260"/>
            <wp:effectExtent l="0" t="0" r="127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2"/>
                    <a:stretch>
                      <a:fillRect/>
                    </a:stretch>
                  </pic:blipFill>
                  <pic:spPr>
                    <a:xfrm>
                      <a:off x="0" y="0"/>
                      <a:ext cx="5904230" cy="3350260"/>
                    </a:xfrm>
                    <a:prstGeom prst="rect">
                      <a:avLst/>
                    </a:prstGeom>
                  </pic:spPr>
                </pic:pic>
              </a:graphicData>
            </a:graphic>
          </wp:inline>
        </w:drawing>
      </w:r>
    </w:p>
    <w:p w14:paraId="1CF90CC9">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（c） </w:t>
      </w:r>
      <w:r>
        <w:rPr>
          <w:rFonts w:asciiTheme="minorHAnsi" w:hAnsiTheme="minorHAnsi" w:cstheme="minorHAnsi"/>
          <w:szCs w:val="28"/>
        </w:rPr>
        <w:t>Z</w:t>
      </w:r>
      <w:r>
        <w:rPr>
          <w:rFonts w:hint="eastAsia" w:asciiTheme="minorHAnsi" w:hAnsiTheme="minorHAnsi" w:cstheme="minorHAnsi"/>
          <w:szCs w:val="28"/>
        </w:rPr>
        <w:t>方向位移云图</w:t>
      </w:r>
    </w:p>
    <w:p w14:paraId="460E30CA">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xml:space="preserve">图 </w:t>
      </w:r>
      <w:r>
        <w:rPr>
          <w:rFonts w:asciiTheme="minorHAnsi" w:hAnsiTheme="minorHAnsi" w:cstheme="minorHAnsi"/>
          <w:szCs w:val="28"/>
        </w:rPr>
        <w:t xml:space="preserve">3.2-4 </w:t>
      </w:r>
      <w:r>
        <w:rPr>
          <w:rFonts w:hint="eastAsia" w:asciiTheme="minorHAnsi" w:hAnsiTheme="minorHAnsi" w:cstheme="minorHAnsi"/>
          <w:szCs w:val="28"/>
        </w:rPr>
        <w:t xml:space="preserve"> 位移云图</w:t>
      </w:r>
    </w:p>
    <w:p w14:paraId="147B792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结合位移云图，可以看出当一步骤采场处于完全敞空状态时，二步骤采场原岩矿体及 25m 宽盘间矿柱的水平位移主要集中在左右两侧临空面，最大值达到了 10mm（X 方向）；在垂直位移上，主要体现在一步骤采场空区的顶、底板，底板的垂直位移表现为上鼓，最大值为 9mm。</w:t>
      </w:r>
    </w:p>
    <w:p w14:paraId="0FE524A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3DF2EE88">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51530"/>
            <wp:effectExtent l="0" t="0" r="127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3"/>
                    <a:stretch>
                      <a:fillRect/>
                    </a:stretch>
                  </pic:blipFill>
                  <pic:spPr>
                    <a:xfrm>
                      <a:off x="0" y="0"/>
                      <a:ext cx="5904230" cy="3351530"/>
                    </a:xfrm>
                    <a:prstGeom prst="rect">
                      <a:avLst/>
                    </a:prstGeom>
                  </pic:spPr>
                </pic:pic>
              </a:graphicData>
            </a:graphic>
          </wp:inline>
        </w:drawing>
      </w:r>
    </w:p>
    <w:p w14:paraId="2B43E9E4">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最大主应力</w:t>
      </w:r>
    </w:p>
    <w:p w14:paraId="4C574ED8">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50895"/>
            <wp:effectExtent l="0" t="0" r="127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4"/>
                    <a:stretch>
                      <a:fillRect/>
                    </a:stretch>
                  </pic:blipFill>
                  <pic:spPr>
                    <a:xfrm>
                      <a:off x="0" y="0"/>
                      <a:ext cx="5904230" cy="3350895"/>
                    </a:xfrm>
                    <a:prstGeom prst="rect">
                      <a:avLst/>
                    </a:prstGeom>
                  </pic:spPr>
                </pic:pic>
              </a:graphicData>
            </a:graphic>
          </wp:inline>
        </w:drawing>
      </w:r>
    </w:p>
    <w:p w14:paraId="20C74F85">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b） 最小主应力云图</w:t>
      </w:r>
    </w:p>
    <w:p w14:paraId="12EDC0E8">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 xml:space="preserve">3.2-5 </w:t>
      </w:r>
      <w:r>
        <w:rPr>
          <w:rFonts w:hint="eastAsia" w:asciiTheme="minorHAnsi" w:hAnsiTheme="minorHAnsi" w:cstheme="minorHAnsi"/>
          <w:szCs w:val="28"/>
        </w:rPr>
        <w:t xml:space="preserve"> 应力云图</w:t>
      </w:r>
    </w:p>
    <w:p w14:paraId="715E121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分析最大、最小主应力云图，二步骤采场的原岩矿体及 25m 宽的盘间矿柱内部均不存在拉应力，压应力来自不同方向，其数值范围在 2~12.5MPa 之间。</w:t>
      </w:r>
    </w:p>
    <w:p w14:paraId="7D15137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 xml:space="preserve">2）沿矿体走向布置的分段空场嗣后充填法 </w:t>
      </w:r>
    </w:p>
    <w:p w14:paraId="3D8843D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14725C18">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60420"/>
            <wp:effectExtent l="0" t="0" r="127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5"/>
                    <a:stretch>
                      <a:fillRect/>
                    </a:stretch>
                  </pic:blipFill>
                  <pic:spPr>
                    <a:xfrm>
                      <a:off x="0" y="0"/>
                      <a:ext cx="5904230" cy="3360420"/>
                    </a:xfrm>
                    <a:prstGeom prst="rect">
                      <a:avLst/>
                    </a:prstGeom>
                  </pic:spPr>
                </pic:pic>
              </a:graphicData>
            </a:graphic>
          </wp:inline>
        </w:drawing>
      </w:r>
    </w:p>
    <w:p w14:paraId="3CA7405C">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3.2-6</w:t>
      </w:r>
      <w:r>
        <w:rPr>
          <w:rFonts w:hint="eastAsia" w:asciiTheme="minorHAnsi" w:hAnsiTheme="minorHAnsi" w:cstheme="minorHAnsi"/>
          <w:szCs w:val="28"/>
        </w:rPr>
        <w:t xml:space="preserve"> 塑性区分布云图</w:t>
      </w:r>
    </w:p>
    <w:p w14:paraId="1AD2C07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通过上图的塑性区分布，可以看出沿矿体走向布置的分段空场法中，当盘区内采场处于完全敞空状态时，5m 宽的隔离矿柱及 25m 宽的盘间矿柱内基本不存在塑性区。</w:t>
      </w:r>
    </w:p>
    <w:p w14:paraId="04BFAEE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022D62C9">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282950"/>
            <wp:effectExtent l="0" t="0" r="127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6"/>
                    <a:stretch>
                      <a:fillRect/>
                    </a:stretch>
                  </pic:blipFill>
                  <pic:spPr>
                    <a:xfrm>
                      <a:off x="0" y="0"/>
                      <a:ext cx="5904230" cy="3282950"/>
                    </a:xfrm>
                    <a:prstGeom prst="rect">
                      <a:avLst/>
                    </a:prstGeom>
                  </pic:spPr>
                </pic:pic>
              </a:graphicData>
            </a:graphic>
          </wp:inline>
        </w:drawing>
      </w:r>
    </w:p>
    <w:p w14:paraId="367161DF">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X 方向位移云图</w:t>
      </w:r>
    </w:p>
    <w:p w14:paraId="2A7FE7D6">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38195"/>
            <wp:effectExtent l="0" t="0" r="127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7"/>
                    <a:stretch>
                      <a:fillRect/>
                    </a:stretch>
                  </pic:blipFill>
                  <pic:spPr>
                    <a:xfrm>
                      <a:off x="0" y="0"/>
                      <a:ext cx="5904230" cy="3338195"/>
                    </a:xfrm>
                    <a:prstGeom prst="rect">
                      <a:avLst/>
                    </a:prstGeom>
                  </pic:spPr>
                </pic:pic>
              </a:graphicData>
            </a:graphic>
          </wp:inline>
        </w:drawing>
      </w:r>
    </w:p>
    <w:p w14:paraId="47F23EF6">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Y 方向位移云图</w:t>
      </w:r>
    </w:p>
    <w:p w14:paraId="71AC09ED">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30575"/>
            <wp:effectExtent l="0" t="0" r="127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8"/>
                    <a:stretch>
                      <a:fillRect/>
                    </a:stretch>
                  </pic:blipFill>
                  <pic:spPr>
                    <a:xfrm>
                      <a:off x="0" y="0"/>
                      <a:ext cx="5904230" cy="3330575"/>
                    </a:xfrm>
                    <a:prstGeom prst="rect">
                      <a:avLst/>
                    </a:prstGeom>
                  </pic:spPr>
                </pic:pic>
              </a:graphicData>
            </a:graphic>
          </wp:inline>
        </w:drawing>
      </w:r>
    </w:p>
    <w:p w14:paraId="01B88C4B">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（c） Z 方向位移云图</w:t>
      </w:r>
    </w:p>
    <w:p w14:paraId="2582547C">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 xml:space="preserve">3.2-7 </w:t>
      </w:r>
      <w:r>
        <w:rPr>
          <w:rFonts w:hint="eastAsia" w:asciiTheme="minorHAnsi" w:hAnsiTheme="minorHAnsi" w:cstheme="minorHAnsi"/>
          <w:szCs w:val="28"/>
        </w:rPr>
        <w:t>位移云图</w:t>
      </w:r>
    </w:p>
    <w:p w14:paraId="762C0CC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结合位移云图，可以看出沿矿体走向布置的分段空场法中，当盘区内采场处于完全敞空状态时，5m 宽的隔离矿柱及 25m 宽的盘间矿柱的水平位移主要集中在左右两侧临空面，最大值达到了 2.5mm（X  方向）；在垂直位移上，主要体现在采场空区的顶、底板，底板的垂直位移表现为上鼓，最大值为 3.2mm。</w:t>
      </w:r>
    </w:p>
    <w:p w14:paraId="700D3F9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2D250913">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48355"/>
            <wp:effectExtent l="0" t="0" r="127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9"/>
                    <a:stretch>
                      <a:fillRect/>
                    </a:stretch>
                  </pic:blipFill>
                  <pic:spPr>
                    <a:xfrm>
                      <a:off x="0" y="0"/>
                      <a:ext cx="5904230" cy="3348355"/>
                    </a:xfrm>
                    <a:prstGeom prst="rect">
                      <a:avLst/>
                    </a:prstGeom>
                  </pic:spPr>
                </pic:pic>
              </a:graphicData>
            </a:graphic>
          </wp:inline>
        </w:drawing>
      </w:r>
    </w:p>
    <w:p w14:paraId="63B036EA">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a） 最大主应力云图</w:t>
      </w:r>
    </w:p>
    <w:p w14:paraId="44832536">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347085"/>
            <wp:effectExtent l="0" t="0" r="127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0"/>
                    <a:stretch>
                      <a:fillRect/>
                    </a:stretch>
                  </pic:blipFill>
                  <pic:spPr>
                    <a:xfrm>
                      <a:off x="0" y="0"/>
                      <a:ext cx="5904230" cy="3347085"/>
                    </a:xfrm>
                    <a:prstGeom prst="rect">
                      <a:avLst/>
                    </a:prstGeom>
                  </pic:spPr>
                </pic:pic>
              </a:graphicData>
            </a:graphic>
          </wp:inline>
        </w:drawing>
      </w:r>
    </w:p>
    <w:p w14:paraId="48191989">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b） 最小主应力云图</w:t>
      </w:r>
    </w:p>
    <w:p w14:paraId="5D0DF04A">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3.2-8</w:t>
      </w:r>
      <w:r>
        <w:rPr>
          <w:rFonts w:hint="eastAsia" w:asciiTheme="minorHAnsi" w:hAnsiTheme="minorHAnsi" w:cstheme="minorHAnsi"/>
          <w:szCs w:val="28"/>
        </w:rPr>
        <w:t xml:space="preserve">  应力云图</w:t>
      </w:r>
    </w:p>
    <w:p w14:paraId="6C53F71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分析最大、最小主应力云图，沿矿体走向布置的分段空场法中的隔离矿柱和盘间矿柱内部同样不存在拉应力，压应力来自不同方向，其数值范围在 1~20MPa 之间。</w:t>
      </w:r>
    </w:p>
    <w:p w14:paraId="6C3B1C79">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工况Ⅱ-①结果分析：</w:t>
      </w:r>
    </w:p>
    <w:p w14:paraId="32C0362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工况Ⅱ-①：-175m 中段 1、2 号矿体中垂直矿体走向布置的阶段空场法，一个盘区内的一步骤采场全部采空，处于敞空状态，不充填，同时二步骤采场也不开采，保持原岩状态。6 号矿体中沿走向布置的分段空场法，一个盘区内的所有采场全部采空，处于敞空状态，不充填；5 号矿体不开采。</w:t>
      </w:r>
    </w:p>
    <w:p w14:paraId="4286C24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1）垂直矿体走向布置的阶段空场嗣后充填法</w:t>
      </w:r>
    </w:p>
    <w:p w14:paraId="64B450F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42075EDA">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152775"/>
            <wp:effectExtent l="0" t="0" r="127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1"/>
                    <a:stretch>
                      <a:fillRect/>
                    </a:stretch>
                  </pic:blipFill>
                  <pic:spPr>
                    <a:xfrm>
                      <a:off x="0" y="0"/>
                      <a:ext cx="5904230" cy="3152775"/>
                    </a:xfrm>
                    <a:prstGeom prst="rect">
                      <a:avLst/>
                    </a:prstGeom>
                  </pic:spPr>
                </pic:pic>
              </a:graphicData>
            </a:graphic>
          </wp:inline>
        </w:drawing>
      </w:r>
    </w:p>
    <w:p w14:paraId="1D02CF02">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xml:space="preserve">图 </w:t>
      </w:r>
      <w:r>
        <w:rPr>
          <w:rFonts w:asciiTheme="minorHAnsi" w:hAnsiTheme="minorHAnsi" w:cstheme="minorHAnsi"/>
          <w:szCs w:val="28"/>
        </w:rPr>
        <w:t xml:space="preserve">3.2-9 </w:t>
      </w:r>
      <w:r>
        <w:rPr>
          <w:rFonts w:hint="eastAsia" w:asciiTheme="minorHAnsi" w:hAnsiTheme="minorHAnsi" w:cstheme="minorHAnsi"/>
          <w:szCs w:val="28"/>
        </w:rPr>
        <w:t>塑性区分布云图</w:t>
      </w:r>
    </w:p>
    <w:p w14:paraId="2839A20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通过上图的塑性区分布，可以看出垂直矿体走向布置的阶段空场法中，其内一步骤采场处于完全敞空状态时，二步骤采场的原岩矿体及 25m  宽的盘间矿柱存在较多的塑性区，主要表现为剪切塑性。图中两侧矿体区域内因其靠近端部，塑性表现得不为明显。</w:t>
      </w:r>
    </w:p>
    <w:p w14:paraId="578B6E25">
      <w:pPr>
        <w:widowControl/>
        <w:spacing w:line="240" w:lineRule="auto"/>
        <w:ind w:firstLine="0" w:firstLineChars="0"/>
        <w:jc w:val="left"/>
        <w:rPr>
          <w:rFonts w:asciiTheme="minorHAnsi" w:hAnsiTheme="minorHAnsi" w:cstheme="minorHAnsi"/>
          <w:szCs w:val="28"/>
        </w:rPr>
      </w:pPr>
      <w:r>
        <w:rPr>
          <w:rFonts w:asciiTheme="minorHAnsi" w:hAnsiTheme="minorHAnsi" w:cstheme="minorHAnsi"/>
          <w:szCs w:val="28"/>
        </w:rPr>
        <w:br w:type="page"/>
      </w:r>
    </w:p>
    <w:p w14:paraId="4608E2E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2AA5100D">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289935"/>
            <wp:effectExtent l="0" t="0" r="127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2"/>
                    <a:stretch>
                      <a:fillRect/>
                    </a:stretch>
                  </pic:blipFill>
                  <pic:spPr>
                    <a:xfrm>
                      <a:off x="0" y="0"/>
                      <a:ext cx="5904230" cy="3289935"/>
                    </a:xfrm>
                    <a:prstGeom prst="rect">
                      <a:avLst/>
                    </a:prstGeom>
                  </pic:spPr>
                </pic:pic>
              </a:graphicData>
            </a:graphic>
          </wp:inline>
        </w:drawing>
      </w:r>
    </w:p>
    <w:p w14:paraId="654ECA5E">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X 方向位移云图</w:t>
      </w:r>
    </w:p>
    <w:p w14:paraId="64313201">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152775"/>
            <wp:effectExtent l="0" t="0" r="127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3"/>
                    <a:stretch>
                      <a:fillRect/>
                    </a:stretch>
                  </pic:blipFill>
                  <pic:spPr>
                    <a:xfrm>
                      <a:off x="0" y="0"/>
                      <a:ext cx="5904230" cy="3152775"/>
                    </a:xfrm>
                    <a:prstGeom prst="rect">
                      <a:avLst/>
                    </a:prstGeom>
                  </pic:spPr>
                </pic:pic>
              </a:graphicData>
            </a:graphic>
          </wp:inline>
        </w:drawing>
      </w:r>
    </w:p>
    <w:p w14:paraId="6C715329">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Y 方向位移云图</w:t>
      </w:r>
    </w:p>
    <w:p w14:paraId="76C810F2">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448300" cy="28956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74"/>
                    <a:stretch>
                      <a:fillRect/>
                    </a:stretch>
                  </pic:blipFill>
                  <pic:spPr>
                    <a:xfrm>
                      <a:off x="0" y="0"/>
                      <a:ext cx="5448300" cy="2895600"/>
                    </a:xfrm>
                    <a:prstGeom prst="rect">
                      <a:avLst/>
                    </a:prstGeom>
                  </pic:spPr>
                </pic:pic>
              </a:graphicData>
            </a:graphic>
          </wp:inline>
        </w:drawing>
      </w:r>
    </w:p>
    <w:p w14:paraId="2B1DB31C">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（c） Z 方向位移云图</w:t>
      </w:r>
    </w:p>
    <w:p w14:paraId="40862D0F">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3.2-10</w:t>
      </w:r>
      <w:r>
        <w:rPr>
          <w:rFonts w:hint="eastAsia" w:asciiTheme="minorHAnsi" w:hAnsiTheme="minorHAnsi" w:cstheme="minorHAnsi"/>
          <w:szCs w:val="28"/>
        </w:rPr>
        <w:t xml:space="preserve"> 位移云图</w:t>
      </w:r>
    </w:p>
    <w:p w14:paraId="79E7A68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结合位移云图，可以看出当一步骤采场处于完全敞空状态时，二步骤采场原岩矿体及 25m 宽盘间矿柱的水平位移主要集中在左右两侧临空面，最大值达到了 10mm（Y 方向）；在垂直位移上，主要体现在一步骤采场空区的顶、底板，底板的垂直位移表现为上鼓，最大值为 12mm。</w:t>
      </w:r>
    </w:p>
    <w:p w14:paraId="0A9A066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3EF65F93">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410200" cy="2886075"/>
            <wp:effectExtent l="0" t="0" r="0"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5"/>
                    <a:stretch>
                      <a:fillRect/>
                    </a:stretch>
                  </pic:blipFill>
                  <pic:spPr>
                    <a:xfrm>
                      <a:off x="0" y="0"/>
                      <a:ext cx="5410200" cy="2886075"/>
                    </a:xfrm>
                    <a:prstGeom prst="rect">
                      <a:avLst/>
                    </a:prstGeom>
                  </pic:spPr>
                </pic:pic>
              </a:graphicData>
            </a:graphic>
          </wp:inline>
        </w:drawing>
      </w:r>
    </w:p>
    <w:p w14:paraId="6FF9D033">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最大主应力云图</w:t>
      </w:r>
    </w:p>
    <w:p w14:paraId="0B39212C">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495925" cy="2933700"/>
            <wp:effectExtent l="0" t="0" r="952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6"/>
                    <a:stretch>
                      <a:fillRect/>
                    </a:stretch>
                  </pic:blipFill>
                  <pic:spPr>
                    <a:xfrm>
                      <a:off x="0" y="0"/>
                      <a:ext cx="5495925" cy="2933700"/>
                    </a:xfrm>
                    <a:prstGeom prst="rect">
                      <a:avLst/>
                    </a:prstGeom>
                  </pic:spPr>
                </pic:pic>
              </a:graphicData>
            </a:graphic>
          </wp:inline>
        </w:drawing>
      </w:r>
    </w:p>
    <w:p w14:paraId="7589277F">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最小主应力云图</w:t>
      </w:r>
    </w:p>
    <w:p w14:paraId="76D108C2">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3.2-11</w:t>
      </w:r>
      <w:r>
        <w:rPr>
          <w:rFonts w:hint="eastAsia" w:asciiTheme="minorHAnsi" w:hAnsiTheme="minorHAnsi" w:cstheme="minorHAnsi"/>
          <w:szCs w:val="28"/>
        </w:rPr>
        <w:t xml:space="preserve">  应力云图</w:t>
      </w:r>
    </w:p>
    <w:p w14:paraId="4CD7FA5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分析最大、最小主应力云图，二步骤采场的原岩矿体及 25m 宽的盘间矿柱内部均不存在拉应力，压应力来自不同方向，其数值范围在 1~17MPa 之间。</w:t>
      </w:r>
    </w:p>
    <w:p w14:paraId="66F261A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 xml:space="preserve">2）沿矿体走向布置的分段空场嗣后充填法 </w:t>
      </w:r>
    </w:p>
    <w:p w14:paraId="569948C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20A71A4A">
      <w:pPr>
        <w:adjustRightInd w:val="0"/>
        <w:snapToGrid w:val="0"/>
        <w:spacing w:line="360" w:lineRule="auto"/>
        <w:ind w:firstLine="560"/>
        <w:rPr>
          <w:rFonts w:asciiTheme="minorHAnsi" w:hAnsiTheme="minorHAnsi" w:cstheme="minorHAnsi"/>
          <w:szCs w:val="28"/>
        </w:rPr>
      </w:pPr>
      <w:r>
        <w:drawing>
          <wp:inline distT="0" distB="0" distL="0" distR="0">
            <wp:extent cx="5553075" cy="2971800"/>
            <wp:effectExtent l="0" t="0" r="952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7"/>
                    <a:stretch>
                      <a:fillRect/>
                    </a:stretch>
                  </pic:blipFill>
                  <pic:spPr>
                    <a:xfrm>
                      <a:off x="0" y="0"/>
                      <a:ext cx="5553075" cy="2971800"/>
                    </a:xfrm>
                    <a:prstGeom prst="rect">
                      <a:avLst/>
                    </a:prstGeom>
                  </pic:spPr>
                </pic:pic>
              </a:graphicData>
            </a:graphic>
          </wp:inline>
        </w:drawing>
      </w:r>
    </w:p>
    <w:p w14:paraId="07E85C2E">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 xml:space="preserve">3.2-12 </w:t>
      </w:r>
      <w:r>
        <w:rPr>
          <w:rFonts w:hint="eastAsia" w:asciiTheme="minorHAnsi" w:hAnsiTheme="minorHAnsi" w:cstheme="minorHAnsi"/>
          <w:szCs w:val="28"/>
        </w:rPr>
        <w:t>塑性区分布云图</w:t>
      </w:r>
    </w:p>
    <w:p w14:paraId="3CFF2F8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通过上图的塑性区分布，可以看出沿矿体走向布置的分段空场法中，当盘区内采场处于完全敞空状态时，5m 宽的隔离矿柱及 25m 宽的盘间矿柱内基本不存在塑性区。</w:t>
      </w:r>
    </w:p>
    <w:p w14:paraId="628DA22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2EC6311B">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904230" cy="3296920"/>
            <wp:effectExtent l="0" t="0" r="127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8"/>
                    <a:stretch>
                      <a:fillRect/>
                    </a:stretch>
                  </pic:blipFill>
                  <pic:spPr>
                    <a:xfrm>
                      <a:off x="0" y="0"/>
                      <a:ext cx="5904230" cy="3296920"/>
                    </a:xfrm>
                    <a:prstGeom prst="rect">
                      <a:avLst/>
                    </a:prstGeom>
                  </pic:spPr>
                </pic:pic>
              </a:graphicData>
            </a:graphic>
          </wp:inline>
        </w:drawing>
      </w:r>
    </w:p>
    <w:p w14:paraId="285D3EF4">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X 方向位移云图</w:t>
      </w:r>
    </w:p>
    <w:p w14:paraId="17BF9EEA">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19775" cy="3095625"/>
            <wp:effectExtent l="0" t="0" r="9525"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9"/>
                    <a:stretch>
                      <a:fillRect/>
                    </a:stretch>
                  </pic:blipFill>
                  <pic:spPr>
                    <a:xfrm>
                      <a:off x="0" y="0"/>
                      <a:ext cx="5819775" cy="3095625"/>
                    </a:xfrm>
                    <a:prstGeom prst="rect">
                      <a:avLst/>
                    </a:prstGeom>
                  </pic:spPr>
                </pic:pic>
              </a:graphicData>
            </a:graphic>
          </wp:inline>
        </w:drawing>
      </w:r>
    </w:p>
    <w:p w14:paraId="15763D02">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b） Y 方向位移云图</w:t>
      </w:r>
    </w:p>
    <w:p w14:paraId="0894D490">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762625" cy="3076575"/>
            <wp:effectExtent l="0" t="0" r="9525"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0"/>
                    <a:stretch>
                      <a:fillRect/>
                    </a:stretch>
                  </pic:blipFill>
                  <pic:spPr>
                    <a:xfrm>
                      <a:off x="0" y="0"/>
                      <a:ext cx="5762625" cy="3076575"/>
                    </a:xfrm>
                    <a:prstGeom prst="rect">
                      <a:avLst/>
                    </a:prstGeom>
                  </pic:spPr>
                </pic:pic>
              </a:graphicData>
            </a:graphic>
          </wp:inline>
        </w:drawing>
      </w:r>
    </w:p>
    <w:p w14:paraId="49BE2CA0">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（c） Z 方向位移云图</w:t>
      </w:r>
    </w:p>
    <w:p w14:paraId="737E4EAF">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3.2-13</w:t>
      </w:r>
      <w:r>
        <w:rPr>
          <w:rFonts w:hint="eastAsia" w:asciiTheme="minorHAnsi" w:hAnsiTheme="minorHAnsi" w:cstheme="minorHAnsi"/>
          <w:szCs w:val="28"/>
        </w:rPr>
        <w:t xml:space="preserve"> 位移云图</w:t>
      </w:r>
    </w:p>
    <w:p w14:paraId="6A11DD8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结合位移云图，可以看出沿矿体走向布置的分段空场法中，当盘区内采场处于完全敞空状态时，5m 宽的隔离矿柱及 25m 宽的盘间矿柱的水平位移主要集中在左右两侧临空面，最大值达到了 1mm（X 方向）；在垂直位移上，主要体现在采场空区的顶、底板，底板的垂直位移表现为上鼓，最大值为 10mm。</w:t>
      </w:r>
    </w:p>
    <w:p w14:paraId="25E3512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5EA9F691">
      <w:pPr>
        <w:adjustRightInd w:val="0"/>
        <w:snapToGrid w:val="0"/>
        <w:spacing w:line="360" w:lineRule="auto"/>
        <w:ind w:firstLine="198" w:firstLineChars="71"/>
        <w:jc w:val="center"/>
        <w:rPr>
          <w:rFonts w:asciiTheme="minorHAnsi" w:hAnsiTheme="minorHAnsi" w:cstheme="minorHAnsi"/>
          <w:szCs w:val="28"/>
        </w:rPr>
      </w:pPr>
      <w:r>
        <w:drawing>
          <wp:inline distT="0" distB="0" distL="0" distR="0">
            <wp:extent cx="5629275" cy="2981325"/>
            <wp:effectExtent l="0" t="0" r="9525"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1"/>
                    <a:stretch>
                      <a:fillRect/>
                    </a:stretch>
                  </pic:blipFill>
                  <pic:spPr>
                    <a:xfrm>
                      <a:off x="0" y="0"/>
                      <a:ext cx="5629275" cy="2981325"/>
                    </a:xfrm>
                    <a:prstGeom prst="rect">
                      <a:avLst/>
                    </a:prstGeom>
                  </pic:spPr>
                </pic:pic>
              </a:graphicData>
            </a:graphic>
          </wp:inline>
        </w:drawing>
      </w:r>
    </w:p>
    <w:p w14:paraId="1CC372A5">
      <w:pPr>
        <w:adjustRightInd w:val="0"/>
        <w:snapToGrid w:val="0"/>
        <w:spacing w:line="360" w:lineRule="auto"/>
        <w:ind w:firstLine="198" w:firstLineChars="71"/>
        <w:jc w:val="center"/>
        <w:rPr>
          <w:rFonts w:asciiTheme="minorHAnsi" w:hAnsiTheme="minorHAnsi" w:cstheme="minorHAnsi"/>
          <w:szCs w:val="28"/>
        </w:rPr>
      </w:pPr>
      <w:r>
        <w:rPr>
          <w:rFonts w:hint="eastAsia" w:asciiTheme="minorHAnsi" w:hAnsiTheme="minorHAnsi" w:cstheme="minorHAnsi"/>
          <w:szCs w:val="28"/>
        </w:rPr>
        <w:t>（a） 最大主应力云图</w:t>
      </w:r>
    </w:p>
    <w:p w14:paraId="7514A5F3">
      <w:pPr>
        <w:adjustRightInd w:val="0"/>
        <w:snapToGrid w:val="0"/>
        <w:spacing w:line="360" w:lineRule="auto"/>
        <w:ind w:firstLine="198" w:firstLineChars="71"/>
        <w:jc w:val="center"/>
        <w:rPr>
          <w:rFonts w:asciiTheme="minorHAnsi" w:hAnsiTheme="minorHAnsi" w:cstheme="minorHAnsi"/>
          <w:szCs w:val="28"/>
        </w:rPr>
      </w:pPr>
      <w:r>
        <w:drawing>
          <wp:inline distT="0" distB="0" distL="0" distR="0">
            <wp:extent cx="5600700" cy="299085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600700" cy="2990850"/>
                    </a:xfrm>
                    <a:prstGeom prst="rect">
                      <a:avLst/>
                    </a:prstGeom>
                  </pic:spPr>
                </pic:pic>
              </a:graphicData>
            </a:graphic>
          </wp:inline>
        </w:drawing>
      </w:r>
    </w:p>
    <w:p w14:paraId="13A7FF8B">
      <w:pPr>
        <w:adjustRightInd w:val="0"/>
        <w:snapToGrid w:val="0"/>
        <w:spacing w:line="360" w:lineRule="auto"/>
        <w:ind w:firstLine="198" w:firstLineChars="71"/>
        <w:jc w:val="center"/>
        <w:rPr>
          <w:rFonts w:asciiTheme="minorHAnsi" w:hAnsiTheme="minorHAnsi" w:cstheme="minorHAnsi"/>
          <w:szCs w:val="28"/>
        </w:rPr>
      </w:pPr>
      <w:r>
        <w:rPr>
          <w:rFonts w:hint="eastAsia" w:asciiTheme="minorHAnsi" w:hAnsiTheme="minorHAnsi" w:cstheme="minorHAnsi"/>
          <w:szCs w:val="28"/>
        </w:rPr>
        <w:t>（b） 最小主应力云图</w:t>
      </w:r>
    </w:p>
    <w:p w14:paraId="6033E8F0">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图 </w:t>
      </w:r>
      <w:r>
        <w:rPr>
          <w:rFonts w:asciiTheme="minorHAnsi" w:hAnsiTheme="minorHAnsi" w:cstheme="minorHAnsi"/>
          <w:szCs w:val="28"/>
        </w:rPr>
        <w:t>3.2-14</w:t>
      </w:r>
      <w:r>
        <w:rPr>
          <w:rFonts w:hint="eastAsia" w:asciiTheme="minorHAnsi" w:hAnsiTheme="minorHAnsi" w:cstheme="minorHAnsi"/>
          <w:szCs w:val="28"/>
        </w:rPr>
        <w:t xml:space="preserve"> 应力云图</w:t>
      </w:r>
    </w:p>
    <w:p w14:paraId="3199080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分析最大、最小主应力云图，沿矿体走向布置的分段空场法中的隔离矿柱和盘间矿柱内部同样不存在拉应力，压应力来自不同方向，其数值范围在 1~15MPa 之间。</w:t>
      </w:r>
    </w:p>
    <w:p w14:paraId="56D585DA">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工况Ⅲ-①结果分析：</w:t>
      </w:r>
    </w:p>
    <w:p w14:paraId="587CD47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工况Ⅲ-①：-805m 中段 1、2 号矿体中垂直矿体走向布置的阶段空场法，一个盘区内的一步骤采场全部采空，处于敞空状态，不充填，同时二步骤采场也不开采，保持原岩状态。5、6 号矿体因自身埋深不足，在本中段无矿可采。</w:t>
      </w:r>
    </w:p>
    <w:p w14:paraId="7292CE4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0598C9CA">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29300" cy="310515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829300" cy="3105150"/>
                    </a:xfrm>
                    <a:prstGeom prst="rect">
                      <a:avLst/>
                    </a:prstGeom>
                  </pic:spPr>
                </pic:pic>
              </a:graphicData>
            </a:graphic>
          </wp:inline>
        </w:drawing>
      </w:r>
    </w:p>
    <w:p w14:paraId="760C7457">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3.2-15</w:t>
      </w:r>
      <w:r>
        <w:rPr>
          <w:rFonts w:hint="eastAsia" w:asciiTheme="minorHAnsi" w:hAnsiTheme="minorHAnsi" w:cstheme="minorHAnsi"/>
          <w:szCs w:val="28"/>
        </w:rPr>
        <w:t xml:space="preserve"> 塑性区分布云图</w:t>
      </w:r>
    </w:p>
    <w:p w14:paraId="3F8D227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通过上图的塑性区分布，可以看出垂直矿体走向布置的阶段空场法中，其内一步骤采场处于完全敞空状态时，二步骤采场的原岩矿体及 25m  宽的盘间矿柱存在较多的塑性区，主要表现为剪切塑性。图中两侧矿体区域内因其靠近端部，塑性表现得不为明显。</w:t>
      </w:r>
    </w:p>
    <w:p w14:paraId="02175C8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0A6AF14A">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95975" cy="3133725"/>
            <wp:effectExtent l="0" t="0" r="9525"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895975" cy="3133725"/>
                    </a:xfrm>
                    <a:prstGeom prst="rect">
                      <a:avLst/>
                    </a:prstGeom>
                  </pic:spPr>
                </pic:pic>
              </a:graphicData>
            </a:graphic>
          </wp:inline>
        </w:drawing>
      </w:r>
    </w:p>
    <w:p w14:paraId="253AE4A8">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Y 方向位移云图</w:t>
      </w:r>
    </w:p>
    <w:p w14:paraId="6A855BF2">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57875" cy="3114675"/>
            <wp:effectExtent l="0" t="0" r="9525" b="952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5"/>
                    <a:stretch>
                      <a:fillRect/>
                    </a:stretch>
                  </pic:blipFill>
                  <pic:spPr>
                    <a:xfrm>
                      <a:off x="0" y="0"/>
                      <a:ext cx="5857875" cy="3114675"/>
                    </a:xfrm>
                    <a:prstGeom prst="rect">
                      <a:avLst/>
                    </a:prstGeom>
                  </pic:spPr>
                </pic:pic>
              </a:graphicData>
            </a:graphic>
          </wp:inline>
        </w:drawing>
      </w:r>
    </w:p>
    <w:p w14:paraId="459112FD">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Z 方向位移云图</w:t>
      </w:r>
    </w:p>
    <w:p w14:paraId="488787A7">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3.2-16</w:t>
      </w:r>
      <w:r>
        <w:rPr>
          <w:rFonts w:hint="eastAsia" w:asciiTheme="minorHAnsi" w:hAnsiTheme="minorHAnsi" w:cstheme="minorHAnsi"/>
          <w:szCs w:val="28"/>
        </w:rPr>
        <w:t xml:space="preserve"> 位移云图</w:t>
      </w:r>
    </w:p>
    <w:p w14:paraId="514DAAD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结合位移云图，可以看出当一步骤采场处于完全敞空状态时，二步骤采场原岩矿体及 25m  宽盘间矿柱的水平位移主要集中在左右两侧临空面，最大值达到了 7.5mm；在垂直位移上，主要体现在一步骤采场空区的顶、底板，底板的垂直位移表现为上鼓，最大值为 10mm。</w:t>
      </w:r>
    </w:p>
    <w:p w14:paraId="6D59E22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2C779CC9">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19775" cy="3105150"/>
            <wp:effectExtent l="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6"/>
                    <a:stretch>
                      <a:fillRect/>
                    </a:stretch>
                  </pic:blipFill>
                  <pic:spPr>
                    <a:xfrm>
                      <a:off x="0" y="0"/>
                      <a:ext cx="5819775" cy="3105150"/>
                    </a:xfrm>
                    <a:prstGeom prst="rect">
                      <a:avLst/>
                    </a:prstGeom>
                  </pic:spPr>
                </pic:pic>
              </a:graphicData>
            </a:graphic>
          </wp:inline>
        </w:drawing>
      </w:r>
    </w:p>
    <w:p w14:paraId="70C1C2AB">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最大主应力云图</w:t>
      </w:r>
    </w:p>
    <w:p w14:paraId="4450EF97">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848350" cy="31051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7"/>
                    <a:stretch>
                      <a:fillRect/>
                    </a:stretch>
                  </pic:blipFill>
                  <pic:spPr>
                    <a:xfrm>
                      <a:off x="0" y="0"/>
                      <a:ext cx="5848350" cy="3105150"/>
                    </a:xfrm>
                    <a:prstGeom prst="rect">
                      <a:avLst/>
                    </a:prstGeom>
                  </pic:spPr>
                </pic:pic>
              </a:graphicData>
            </a:graphic>
          </wp:inline>
        </w:drawing>
      </w:r>
    </w:p>
    <w:p w14:paraId="6D8A9556">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最小主应力云图</w:t>
      </w:r>
    </w:p>
    <w:p w14:paraId="16B6879B">
      <w:pPr>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3.2-17</w:t>
      </w:r>
      <w:r>
        <w:rPr>
          <w:rFonts w:hint="eastAsia" w:asciiTheme="minorHAnsi" w:hAnsiTheme="minorHAnsi" w:cstheme="minorHAnsi"/>
          <w:szCs w:val="28"/>
        </w:rPr>
        <w:t xml:space="preserve">  应力云图</w:t>
      </w:r>
    </w:p>
    <w:p w14:paraId="1B83B2A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分析最大、最小主应力云图，二步骤采场的原岩矿体及 25m 宽的盘间矿柱内部均不存在拉应力，压应力来自不同方向，其数值范围在 3~42.5MPa 之间。</w:t>
      </w:r>
    </w:p>
    <w:p w14:paraId="26696E30">
      <w:pPr>
        <w:adjustRightInd w:val="0"/>
        <w:snapToGrid w:val="0"/>
        <w:spacing w:line="360" w:lineRule="auto"/>
        <w:ind w:firstLine="562"/>
        <w:rPr>
          <w:rFonts w:asciiTheme="minorHAnsi" w:hAnsiTheme="minorHAnsi" w:cstheme="minorHAnsi"/>
          <w:b/>
          <w:szCs w:val="28"/>
        </w:rPr>
      </w:pPr>
      <w:r>
        <w:rPr>
          <w:rFonts w:hint="eastAsia" w:asciiTheme="minorHAnsi" w:hAnsiTheme="minorHAnsi" w:cstheme="minorHAnsi"/>
          <w:b/>
          <w:szCs w:val="28"/>
        </w:rPr>
        <w:t>工况Ⅳ-①结果分析：</w:t>
      </w:r>
    </w:p>
    <w:p w14:paraId="35B4DFC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工况Ⅳ-①：-505m 中段 1、2 号矿体中垂直矿体走向布置的阶段空场法，一个盘区内的一步骤采场全部采空，处于敞空状态，不充填，同时二步骤采场也不开采，保持原岩状态。6 号矿体中沿走向布置的分段空场法，一个盘区内的所有采场全部采空，处于敞空状态，不充填；5 号矿体不开采。</w:t>
      </w:r>
    </w:p>
    <w:p w14:paraId="613C43D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1）垂直矿体走向布置的阶段空场嗣后充填法</w:t>
      </w:r>
    </w:p>
    <w:p w14:paraId="72E6A92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 xml:space="preserve"> A．塑性区分析</w:t>
      </w:r>
    </w:p>
    <w:p w14:paraId="73B8BF90">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648325" cy="3009900"/>
            <wp:effectExtent l="0" t="0" r="952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8"/>
                    <a:stretch>
                      <a:fillRect/>
                    </a:stretch>
                  </pic:blipFill>
                  <pic:spPr>
                    <a:xfrm>
                      <a:off x="0" y="0"/>
                      <a:ext cx="5648325" cy="3009900"/>
                    </a:xfrm>
                    <a:prstGeom prst="rect">
                      <a:avLst/>
                    </a:prstGeom>
                  </pic:spPr>
                </pic:pic>
              </a:graphicData>
            </a:graphic>
          </wp:inline>
        </w:drawing>
      </w:r>
    </w:p>
    <w:p w14:paraId="163E00C7">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3.2-18</w:t>
      </w:r>
      <w:r>
        <w:rPr>
          <w:rFonts w:hint="eastAsia" w:asciiTheme="minorHAnsi" w:hAnsiTheme="minorHAnsi" w:cstheme="minorHAnsi"/>
          <w:szCs w:val="28"/>
        </w:rPr>
        <w:t xml:space="preserve"> 塑性区分布云图</w:t>
      </w:r>
    </w:p>
    <w:p w14:paraId="148895D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通过上图的塑性区分布，可以看出垂直矿体走向布置的阶段空场法中，其内一步骤采场处于完全敞空状态时，二步骤采场的原岩矿体及 25m  宽的盘间矿柱存在较多的塑性区，主要表现为剪切塑性。</w:t>
      </w:r>
    </w:p>
    <w:p w14:paraId="56E9B98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08478E60">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734050" cy="305752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9"/>
                    <a:stretch>
                      <a:fillRect/>
                    </a:stretch>
                  </pic:blipFill>
                  <pic:spPr>
                    <a:xfrm>
                      <a:off x="0" y="0"/>
                      <a:ext cx="5734050" cy="3057525"/>
                    </a:xfrm>
                    <a:prstGeom prst="rect">
                      <a:avLst/>
                    </a:prstGeom>
                  </pic:spPr>
                </pic:pic>
              </a:graphicData>
            </a:graphic>
          </wp:inline>
        </w:drawing>
      </w:r>
    </w:p>
    <w:p w14:paraId="779F4539">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Y 方向位移云图</w:t>
      </w:r>
    </w:p>
    <w:p w14:paraId="1FD95E46">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629275" cy="2990850"/>
            <wp:effectExtent l="0" t="0" r="952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0"/>
                    <a:stretch>
                      <a:fillRect/>
                    </a:stretch>
                  </pic:blipFill>
                  <pic:spPr>
                    <a:xfrm>
                      <a:off x="0" y="0"/>
                      <a:ext cx="5629275" cy="2990850"/>
                    </a:xfrm>
                    <a:prstGeom prst="rect">
                      <a:avLst/>
                    </a:prstGeom>
                  </pic:spPr>
                </pic:pic>
              </a:graphicData>
            </a:graphic>
          </wp:inline>
        </w:drawing>
      </w:r>
    </w:p>
    <w:p w14:paraId="06B4FB71">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 Z 方向位移云图</w:t>
      </w:r>
    </w:p>
    <w:p w14:paraId="019DF69D">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3.2-19</w:t>
      </w:r>
      <w:r>
        <w:rPr>
          <w:rFonts w:hint="eastAsia" w:asciiTheme="minorHAnsi" w:hAnsiTheme="minorHAnsi" w:cstheme="minorHAnsi"/>
          <w:szCs w:val="28"/>
        </w:rPr>
        <w:t xml:space="preserve"> 位移云图</w:t>
      </w:r>
    </w:p>
    <w:p w14:paraId="327F012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结合位移云图，可以看出当一步骤采场处于完全敞空状态时，二步骤采场原岩矿体及 25m 宽盘间矿柱的水平位移主要集中在左右两侧临空面，最大值达到了 25.2mm；在垂直位移上，主要体现在一步骤采场空区的底板，底板的垂直位移表现为下沉，最大值为 53mm。</w:t>
      </w:r>
    </w:p>
    <w:p w14:paraId="575A942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421F6900">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591175" cy="2971800"/>
            <wp:effectExtent l="0" t="0" r="952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1"/>
                    <a:stretch>
                      <a:fillRect/>
                    </a:stretch>
                  </pic:blipFill>
                  <pic:spPr>
                    <a:xfrm>
                      <a:off x="0" y="0"/>
                      <a:ext cx="5591175" cy="2971800"/>
                    </a:xfrm>
                    <a:prstGeom prst="rect">
                      <a:avLst/>
                    </a:prstGeom>
                  </pic:spPr>
                </pic:pic>
              </a:graphicData>
            </a:graphic>
          </wp:inline>
        </w:drawing>
      </w:r>
    </w:p>
    <w:p w14:paraId="4D835718">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最大主应力云图</w:t>
      </w:r>
    </w:p>
    <w:p w14:paraId="1BB2CC06">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619750" cy="3000375"/>
            <wp:effectExtent l="0" t="0" r="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2"/>
                    <a:stretch>
                      <a:fillRect/>
                    </a:stretch>
                  </pic:blipFill>
                  <pic:spPr>
                    <a:xfrm>
                      <a:off x="0" y="0"/>
                      <a:ext cx="5619750" cy="3000375"/>
                    </a:xfrm>
                    <a:prstGeom prst="rect">
                      <a:avLst/>
                    </a:prstGeom>
                  </pic:spPr>
                </pic:pic>
              </a:graphicData>
            </a:graphic>
          </wp:inline>
        </w:drawing>
      </w:r>
    </w:p>
    <w:p w14:paraId="686038FA">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 b） 最小主应力云图</w:t>
      </w:r>
    </w:p>
    <w:p w14:paraId="3B81526D">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3.2-20</w:t>
      </w:r>
      <w:r>
        <w:rPr>
          <w:rFonts w:hint="eastAsia" w:asciiTheme="minorHAnsi" w:hAnsiTheme="minorHAnsi" w:cstheme="minorHAnsi"/>
          <w:szCs w:val="28"/>
        </w:rPr>
        <w:t xml:space="preserve">  应力云图</w:t>
      </w:r>
    </w:p>
    <w:p w14:paraId="4193163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分析最大、最小主应力云图，二步骤采场的原岩矿体及 25m 宽的盘间矿柱内部均不存在拉应力，压应力来自不同方向，其数值范围在 6~25MPa 之间。</w:t>
      </w:r>
    </w:p>
    <w:p w14:paraId="0E8D263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 xml:space="preserve">2）沿矿体走向布置的分段空场嗣后充填法 </w:t>
      </w:r>
    </w:p>
    <w:p w14:paraId="2038724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A．塑性区分析</w:t>
      </w:r>
    </w:p>
    <w:p w14:paraId="30842CC3">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610225" cy="2981325"/>
            <wp:effectExtent l="0" t="0" r="9525"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3"/>
                    <a:stretch>
                      <a:fillRect/>
                    </a:stretch>
                  </pic:blipFill>
                  <pic:spPr>
                    <a:xfrm>
                      <a:off x="0" y="0"/>
                      <a:ext cx="5610225" cy="2981325"/>
                    </a:xfrm>
                    <a:prstGeom prst="rect">
                      <a:avLst/>
                    </a:prstGeom>
                  </pic:spPr>
                </pic:pic>
              </a:graphicData>
            </a:graphic>
          </wp:inline>
        </w:drawing>
      </w:r>
    </w:p>
    <w:p w14:paraId="1156BA79">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3.2-21</w:t>
      </w:r>
      <w:r>
        <w:rPr>
          <w:rFonts w:hint="eastAsia" w:asciiTheme="minorHAnsi" w:hAnsiTheme="minorHAnsi" w:cstheme="minorHAnsi"/>
          <w:szCs w:val="28"/>
        </w:rPr>
        <w:t xml:space="preserve"> 塑性区分布云图</w:t>
      </w:r>
    </w:p>
    <w:p w14:paraId="724AF5B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通过上图的塑性区分布，可以看出沿矿体走向布置的分段空场法中，当盘区内采场处于完全敞空状态时，5m 宽的隔离矿柱及 25m 宽的盘间矿柱内基本不存在塑性区。</w:t>
      </w:r>
    </w:p>
    <w:p w14:paraId="40C0C80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B．位移分析</w:t>
      </w:r>
    </w:p>
    <w:p w14:paraId="755E47B7">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572125" cy="2971800"/>
            <wp:effectExtent l="0" t="0" r="9525"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4"/>
                    <a:stretch>
                      <a:fillRect/>
                    </a:stretch>
                  </pic:blipFill>
                  <pic:spPr>
                    <a:xfrm>
                      <a:off x="0" y="0"/>
                      <a:ext cx="5572125" cy="2971800"/>
                    </a:xfrm>
                    <a:prstGeom prst="rect">
                      <a:avLst/>
                    </a:prstGeom>
                  </pic:spPr>
                </pic:pic>
              </a:graphicData>
            </a:graphic>
          </wp:inline>
        </w:drawing>
      </w:r>
    </w:p>
    <w:p w14:paraId="314F5D58">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Y 方向位移云图</w:t>
      </w:r>
    </w:p>
    <w:p w14:paraId="7EDCAFD0">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572125" cy="2971800"/>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5"/>
                    <a:stretch>
                      <a:fillRect/>
                    </a:stretch>
                  </pic:blipFill>
                  <pic:spPr>
                    <a:xfrm>
                      <a:off x="0" y="0"/>
                      <a:ext cx="5572125" cy="2971800"/>
                    </a:xfrm>
                    <a:prstGeom prst="rect">
                      <a:avLst/>
                    </a:prstGeom>
                  </pic:spPr>
                </pic:pic>
              </a:graphicData>
            </a:graphic>
          </wp:inline>
        </w:drawing>
      </w:r>
    </w:p>
    <w:p w14:paraId="05149C4D">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（c） Z 方向位移云图</w:t>
      </w:r>
    </w:p>
    <w:p w14:paraId="21F65831">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 xml:space="preserve">3.2-22 </w:t>
      </w:r>
      <w:r>
        <w:rPr>
          <w:rFonts w:hint="eastAsia" w:asciiTheme="minorHAnsi" w:hAnsiTheme="minorHAnsi" w:cstheme="minorHAnsi"/>
          <w:szCs w:val="28"/>
        </w:rPr>
        <w:t>位移云图</w:t>
      </w:r>
    </w:p>
    <w:p w14:paraId="4DEB208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结合位移云图，可以看出沿矿体走向布置的分段空场法中，当盘区内采场处于完全敞空状态时，5m 宽的隔离矿柱及 25m 宽的盘间矿柱的水平位移主要集中在左右两侧临空面，最大值达到了 6mm；在垂直位移上，主要体现在采场空区的顶、底板，顶、底板的垂直位移表现均为上鼓，最大值为 15mm。</w:t>
      </w:r>
    </w:p>
    <w:p w14:paraId="504B984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C．应力分析</w:t>
      </w:r>
    </w:p>
    <w:p w14:paraId="1E3BF742">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591175" cy="2971800"/>
            <wp:effectExtent l="0" t="0" r="952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6"/>
                    <a:stretch>
                      <a:fillRect/>
                    </a:stretch>
                  </pic:blipFill>
                  <pic:spPr>
                    <a:xfrm>
                      <a:off x="0" y="0"/>
                      <a:ext cx="5591175" cy="2971800"/>
                    </a:xfrm>
                    <a:prstGeom prst="rect">
                      <a:avLst/>
                    </a:prstGeom>
                  </pic:spPr>
                </pic:pic>
              </a:graphicData>
            </a:graphic>
          </wp:inline>
        </w:drawing>
      </w:r>
    </w:p>
    <w:p w14:paraId="22ED629E">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（a） 最大主应力云图</w:t>
      </w:r>
    </w:p>
    <w:p w14:paraId="2BC59081">
      <w:pPr>
        <w:adjustRightInd w:val="0"/>
        <w:snapToGrid w:val="0"/>
        <w:spacing w:line="360" w:lineRule="auto"/>
        <w:ind w:firstLine="0" w:firstLineChars="0"/>
        <w:jc w:val="center"/>
        <w:rPr>
          <w:rFonts w:asciiTheme="minorHAnsi" w:hAnsiTheme="minorHAnsi" w:cstheme="minorHAnsi"/>
          <w:szCs w:val="28"/>
        </w:rPr>
      </w:pPr>
      <w:r>
        <w:drawing>
          <wp:inline distT="0" distB="0" distL="0" distR="0">
            <wp:extent cx="5543550" cy="295275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7"/>
                    <a:stretch>
                      <a:fillRect/>
                    </a:stretch>
                  </pic:blipFill>
                  <pic:spPr>
                    <a:xfrm>
                      <a:off x="0" y="0"/>
                      <a:ext cx="5543550" cy="2952750"/>
                    </a:xfrm>
                    <a:prstGeom prst="rect">
                      <a:avLst/>
                    </a:prstGeom>
                  </pic:spPr>
                </pic:pic>
              </a:graphicData>
            </a:graphic>
          </wp:inline>
        </w:drawing>
      </w:r>
    </w:p>
    <w:p w14:paraId="41634A41">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（b）最小主应力云图</w:t>
      </w:r>
    </w:p>
    <w:p w14:paraId="655CD999">
      <w:pPr>
        <w:adjustRightInd w:val="0"/>
        <w:snapToGrid w:val="0"/>
        <w:spacing w:line="360" w:lineRule="auto"/>
        <w:ind w:firstLine="0" w:firstLineChars="0"/>
        <w:jc w:val="center"/>
        <w:rPr>
          <w:rFonts w:asciiTheme="minorHAnsi" w:hAnsiTheme="minorHAnsi" w:cstheme="minorHAnsi"/>
          <w:szCs w:val="28"/>
        </w:rPr>
      </w:pPr>
      <w:r>
        <w:rPr>
          <w:rFonts w:hint="eastAsia" w:asciiTheme="minorHAnsi" w:hAnsiTheme="minorHAnsi" w:cstheme="minorHAnsi"/>
          <w:szCs w:val="28"/>
        </w:rPr>
        <w:t>图</w:t>
      </w:r>
      <w:r>
        <w:rPr>
          <w:rFonts w:asciiTheme="minorHAnsi" w:hAnsiTheme="minorHAnsi" w:cstheme="minorHAnsi"/>
          <w:szCs w:val="28"/>
        </w:rPr>
        <w:t>3.2-23</w:t>
      </w:r>
      <w:r>
        <w:rPr>
          <w:rFonts w:hint="eastAsia" w:asciiTheme="minorHAnsi" w:hAnsiTheme="minorHAnsi" w:cstheme="minorHAnsi"/>
          <w:szCs w:val="28"/>
        </w:rPr>
        <w:t xml:space="preserve">  应力云图</w:t>
      </w:r>
    </w:p>
    <w:p w14:paraId="10197B2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分析最大、最小主应力云图，沿矿体走向布置的分段空场法中的隔离矿柱和盘间矿柱内部同样不存在拉应力，压应力来自不同方向，其数值范围在 10~30MPa 之间。</w:t>
      </w:r>
    </w:p>
    <w:p w14:paraId="09B665B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经过对采场结构参数的数值模拟分析，不管是垂直矿体走向的阶段空场法，还是沿走向的分段空场法，采场（一步骤）完成开采处于敞空状态时，空区围岩稳定性充足，顶板安全性良好，两侧侧壁力学表现正常，位移最大值不超过 15mm，不存在失稳的风险。</w:t>
      </w:r>
    </w:p>
    <w:p w14:paraId="024A6B68">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3.2.5评价小结</w:t>
      </w:r>
    </w:p>
    <w:p w14:paraId="7C0720E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经分析，开拓单元存在的危险有害因素主要有：冒顶片帮、井巷坍塌、透水、放炮、炸药爆炸、中毒窒息、高处坠落、物体打击。其中冒顶片帮、井巷坍塌、炸药爆炸、放炮、中毒窒息危害等级定为Ⅳ级，发生危害的后果均可能造成人员伤亡和井巷工程大面积损坏，应重点防范。</w:t>
      </w:r>
    </w:p>
    <w:p w14:paraId="38868A5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（2）可研报告设计的安全出口位置及数量符合规程要求。下阶段设计需补充完善如下内容：</w:t>
      </w:r>
    </w:p>
    <w:p w14:paraId="2E3B73C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建议矿方委托具备资质的第三方机构开展地下开采工程对高压线安全稳定影响的专项分析工作，依据分析结果与相关规定的安全指标校对，再判定是否应对高压线塔基留设保安矿柱，在下阶段设计中，对高压线塔基与地下开采的相互影响做详细论证，保证地下开采活动合法、安全的进行。</w:t>
      </w:r>
    </w:p>
    <w:p w14:paraId="403E7182">
      <w:pPr>
        <w:pStyle w:val="19"/>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2）区内经物探和钻孔资料发现3条主要断裂，</w:t>
      </w:r>
      <w:r>
        <w:rPr>
          <w:rFonts w:hint="eastAsia"/>
        </w:rPr>
        <w:t>除F3断层（断层规模较小）位于矿床南部（5线南侧）外，其他两个断层远离开采范围内的矿体，目前勘探资料尚未发现断层具有导水性，</w:t>
      </w:r>
      <w:r>
        <w:rPr>
          <w:rFonts w:hint="eastAsia" w:asciiTheme="minorHAnsi" w:hAnsiTheme="minorHAnsi" w:cstheme="minorHAnsi"/>
          <w:szCs w:val="28"/>
        </w:rPr>
        <w:t>下阶段设计针对这3条主要断裂进行采矿影响分析。</w:t>
      </w:r>
    </w:p>
    <w:p w14:paraId="32190E2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由于矿体附近涉及董梁高速以及105国道，可研留设了保安矿柱。建议下阶段设计对高速公路等位置的留设保安矿柱安全性开展必要的论证工作，并对这两处保安矿柱的具体位置、形状尺寸参数做详细说明，用于指导企业生产。</w:t>
      </w:r>
    </w:p>
    <w:p w14:paraId="57CF2D1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区内第四系及风化层较厚，风化层底部标高一般在-80m以上，该范围内岩体松散，稳固性较差，且富水性强，透水性较强。在当前开采技术条件下，开采该部分矿石安全性较差，为保护地表和井下开采安全，设计在风化带以下按照完整基岩留设护顶矿柱，以及多阶段同时开采时预留了阶段隔离矿柱，应针对护顶矿柱合理厚度、安全性以及阶段间隔离矿柱的安全可靠性进行分析。</w:t>
      </w:r>
    </w:p>
    <w:p w14:paraId="46F2524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5）下阶段设计应绘制井上下对照图，并明确爆破器材分库的准确位置及详细结构参数。</w:t>
      </w:r>
    </w:p>
    <w:p w14:paraId="594A753B">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6</w:t>
      </w:r>
      <w:r>
        <w:rPr>
          <w:rFonts w:hint="eastAsia" w:asciiTheme="minorHAnsi" w:hAnsiTheme="minorHAnsi" w:cstheme="minorHAnsi"/>
          <w:szCs w:val="28"/>
        </w:rPr>
        <w:t>）下一步设计阶段应对无轨运输巷道的人行通道进行详细设计，</w:t>
      </w:r>
      <w:r>
        <w:rPr>
          <w:rFonts w:asciiTheme="minorHAnsi" w:hAnsiTheme="minorHAnsi" w:cstheme="minorHAnsi"/>
          <w:szCs w:val="28"/>
        </w:rPr>
        <w:t>行人的有轨运输巷道应设高度不小于1.9m的人行道，人行道宽度不小于0.8m；机车、车辆高度超过1.7m时，人行道宽度不小于1.0m。调车场、人员乘车场、井底车场矿车摘挂钩处两侧应各设一条人行道，有效净高不小于1.9m，人行道宽度不小于1.0m。</w:t>
      </w:r>
    </w:p>
    <w:p w14:paraId="18804EAC">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7</w:t>
      </w:r>
      <w:r>
        <w:rPr>
          <w:rFonts w:hint="eastAsia" w:asciiTheme="minorHAnsi" w:hAnsiTheme="minorHAnsi" w:cstheme="minorHAnsi"/>
          <w:szCs w:val="28"/>
        </w:rPr>
        <w:t>）下阶段设计应明确在水平巷道和斜坡道中，有轨运输设备之间以及运输设备与支护之间的间隙、无轨运输设备与支护之间的间隙。</w:t>
      </w:r>
    </w:p>
    <w:p w14:paraId="0D56E817">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8</w:t>
      </w:r>
      <w:r>
        <w:rPr>
          <w:rFonts w:hint="eastAsia" w:asciiTheme="minorHAnsi" w:hAnsiTheme="minorHAnsi" w:cstheme="minorHAnsi"/>
          <w:szCs w:val="28"/>
        </w:rPr>
        <w:t>）下阶段设计应完善人行巷道的水沟的盖板设计内容。</w:t>
      </w:r>
    </w:p>
    <w:p w14:paraId="73124AE4">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9</w:t>
      </w:r>
      <w:r>
        <w:rPr>
          <w:rFonts w:hint="eastAsia" w:asciiTheme="minorHAnsi" w:hAnsiTheme="minorHAnsi" w:cstheme="minorHAnsi"/>
          <w:szCs w:val="28"/>
        </w:rPr>
        <w:t>）应补充一定的工程地质勘察工作以及必要的岩石力学试验，确定岩体参数，开展采场结构参数三维数值分析，校核采场结构参数和采场布置方式的合理性。</w:t>
      </w:r>
    </w:p>
    <w:p w14:paraId="511393BA">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10</w:t>
      </w:r>
      <w:r>
        <w:rPr>
          <w:rFonts w:hint="eastAsia" w:asciiTheme="minorHAnsi" w:hAnsiTheme="minorHAnsi" w:cstheme="minorHAnsi"/>
          <w:szCs w:val="28"/>
        </w:rPr>
        <w:t>）</w:t>
      </w:r>
      <w:r>
        <w:rPr>
          <w:rFonts w:asciiTheme="minorHAnsi" w:hAnsiTheme="minorHAnsi" w:cstheme="minorHAnsi"/>
          <w:szCs w:val="28"/>
        </w:rPr>
        <w:t>废弃井巷和硐室的入口应及时封闭，封闭时应留有泄水条件。封闭墙上应标明编号、封闭时间、责任人、井巷原名称。封闭前入口处应设明显警示标志，禁止人员进入。封闭墙在相应图纸上标出，并归档永久保存。报废井巷的地面入口周围应设高度不低于1.5m的栅栏。可研中未明确，下一阶段设计中需说明。</w:t>
      </w:r>
    </w:p>
    <w:p w14:paraId="77172534">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11</w:t>
      </w:r>
      <w:r>
        <w:rPr>
          <w:rFonts w:hint="eastAsia" w:asciiTheme="minorHAnsi" w:hAnsiTheme="minorHAnsi" w:cstheme="minorHAnsi"/>
          <w:szCs w:val="28"/>
        </w:rPr>
        <w:t>）</w:t>
      </w:r>
      <w:r>
        <w:rPr>
          <w:rFonts w:asciiTheme="minorHAnsi" w:hAnsiTheme="minorHAnsi" w:cstheme="minorHAnsi"/>
          <w:szCs w:val="28"/>
        </w:rPr>
        <w:t>在竖井、天井、溜井和漏斗口上方，或在坠落基准面2m以上作业，有发生坠落危险的，应设安全网等防护设施，作业人员应佩戴安全带。作业时，不应抛掷物件，不应上下层同时作业，并应设专人监护。</w:t>
      </w:r>
    </w:p>
    <w:bookmarkEnd w:id="93"/>
    <w:p w14:paraId="4DFB258A">
      <w:pPr>
        <w:pStyle w:val="4"/>
        <w:spacing w:before="190" w:after="190" w:line="360" w:lineRule="exact"/>
        <w:rPr>
          <w:rFonts w:asciiTheme="minorHAnsi" w:hAnsiTheme="minorHAnsi" w:cstheme="minorHAnsi"/>
        </w:rPr>
      </w:pPr>
      <w:bookmarkStart w:id="94" w:name="_Toc10683"/>
      <w:bookmarkStart w:id="95" w:name="_Toc6792"/>
      <w:bookmarkStart w:id="96" w:name="_Toc199426939"/>
      <w:r>
        <w:rPr>
          <w:rFonts w:asciiTheme="minorHAnsi" w:hAnsiTheme="minorHAnsi" w:cstheme="minorHAnsi"/>
        </w:rPr>
        <w:t>3.3提升和运输单元</w:t>
      </w:r>
      <w:bookmarkEnd w:id="94"/>
      <w:bookmarkEnd w:id="95"/>
      <w:bookmarkEnd w:id="96"/>
    </w:p>
    <w:p w14:paraId="36DBFD78">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3.3.1危险、有害因素辨识与分析</w:t>
      </w:r>
    </w:p>
    <w:p w14:paraId="72B3802D">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（1）竖井提升</w:t>
      </w:r>
    </w:p>
    <w:p w14:paraId="6B49431F">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在竖井提升过程中存在的主要危害为高处坠落，其表现形式主要是坠罐，坠罐的后果非常严重。</w:t>
      </w:r>
    </w:p>
    <w:p w14:paraId="74A0DC8B">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（2）设计矿石和废石由电机车牵引矿车运输，在运输过程中有可能存在下述危险、有害因素：</w:t>
      </w:r>
    </w:p>
    <w:p w14:paraId="5A39AA12">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1）巷道未按设计施工，掘进的井巷断面偏小或未按规定设置等候硐室等，电机车和矿车发生挤、撞等事故而伤人毁物。</w:t>
      </w:r>
    </w:p>
    <w:p w14:paraId="713E4BD4">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2）轨道铺设质量差或损坏，电机车组发生掉道，毁物、伤人。</w:t>
      </w:r>
    </w:p>
    <w:p w14:paraId="7DEFF54E">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3）轨道铺设坡度大，电机车组速度过快，不能及时刹车，发生挤、撞等事故而伤人毁物。</w:t>
      </w:r>
    </w:p>
    <w:p w14:paraId="79A2A3C0">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4）行人不按规定行走运输巷道行人侧，发生电机车组挤伤、撞伤人。</w:t>
      </w:r>
    </w:p>
    <w:p w14:paraId="6F70E4AC">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5）运输巷道、道路照明不够，发生行人与电机车组相撞事故。</w:t>
      </w:r>
    </w:p>
    <w:p w14:paraId="5901984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6）卸矿地点无阻车装置，造成运输过程中刹车不力，发生翻车事故。</w:t>
      </w:r>
    </w:p>
    <w:p w14:paraId="2D3C27D3">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7）电机车组运输翻卸过程中因重心偏移过大，发生翻车事故。</w:t>
      </w:r>
    </w:p>
    <w:p w14:paraId="77D0946D">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（3）设计井下主要采用无轨运输。在运输过程中有可能存在下述危险、有害因素：</w:t>
      </w:r>
    </w:p>
    <w:p w14:paraId="17DB2471">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1）巷道未按设计施工，掘进的井巷断面偏小或未按规定设置躲避硐室等，汽车与人员发生挤、撞等事故而伤人毁物。</w:t>
      </w:r>
    </w:p>
    <w:p w14:paraId="4D11CCDB">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2）行人不按规定行走运输巷道行人侧，发生汽车挤伤、撞伤人。</w:t>
      </w:r>
    </w:p>
    <w:p w14:paraId="3EECC42D">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3）运输巷道、道路照明不够，发生行人与汽车相撞事故。</w:t>
      </w:r>
    </w:p>
    <w:p w14:paraId="1C2ECB4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4）卸矿地点无车挡装置，造成运输过程中刹车不力，发生翻车事故。</w:t>
      </w:r>
    </w:p>
    <w:p w14:paraId="4A39A0A9">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5）汽车运输翻卸过程中因重心偏移过大，发生翻车事故。</w:t>
      </w:r>
    </w:p>
    <w:p w14:paraId="1FD557E0">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6）汽车超载，易造成汽车制动失灵，转向失控，爆胎等而引发事故；矿石装载不均匀，装偏而引发翻车事故。</w:t>
      </w:r>
    </w:p>
    <w:p w14:paraId="5698F61A">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7）驾驶员驾驶技术差，酒后驾车，或未持证而引发车辆伤害事故；运输道路凹凸不平，路况差，而引发车辆伤害事故。</w:t>
      </w:r>
    </w:p>
    <w:p w14:paraId="45263975">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8）巷道未设警示标志牌，不能对驾驶员起到警示作用，发生车辆伤害事故。</w:t>
      </w:r>
    </w:p>
    <w:p w14:paraId="2D80E493">
      <w:pPr>
        <w:adjustRightInd w:val="0"/>
        <w:snapToGrid w:val="0"/>
        <w:spacing w:line="360" w:lineRule="auto"/>
        <w:ind w:firstLine="560"/>
        <w:rPr>
          <w:rFonts w:asciiTheme="minorHAnsi" w:hAnsiTheme="minorHAnsi" w:cstheme="minorHAnsi"/>
          <w:bCs/>
          <w:szCs w:val="28"/>
        </w:rPr>
      </w:pPr>
      <w:r>
        <w:rPr>
          <w:rFonts w:hint="eastAsia" w:asciiTheme="minorHAnsi" w:hAnsiTheme="minorHAnsi" w:cstheme="minorHAnsi"/>
          <w:bCs/>
          <w:szCs w:val="28"/>
        </w:rPr>
        <w:t>9）运输车辆上未配备灭火器，发生火灾不能及时扑灭会导致车辆损毁的火灾事故。</w:t>
      </w:r>
    </w:p>
    <w:p w14:paraId="290D4F31">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3.3.2预先危险性分析表</w:t>
      </w:r>
    </w:p>
    <w:p w14:paraId="7EA3C29E">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表3.3-1提升运输系统预先危险性分析表</w:t>
      </w:r>
    </w:p>
    <w:tbl>
      <w:tblPr>
        <w:tblStyle w:val="54"/>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82"/>
        <w:gridCol w:w="2963"/>
        <w:gridCol w:w="1248"/>
        <w:gridCol w:w="1248"/>
        <w:gridCol w:w="3273"/>
      </w:tblGrid>
      <w:tr w14:paraId="3B8812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40" w:hRule="atLeast"/>
          <w:tblHeader/>
        </w:trPr>
        <w:tc>
          <w:tcPr>
            <w:tcW w:w="411" w:type="pct"/>
            <w:vAlign w:val="center"/>
          </w:tcPr>
          <w:p w14:paraId="23B3DE23">
            <w:pPr>
              <w:adjustRightInd w:val="0"/>
              <w:snapToGrid w:val="0"/>
              <w:spacing w:line="240" w:lineRule="auto"/>
              <w:ind w:firstLine="0" w:firstLineChars="0"/>
              <w:jc w:val="center"/>
              <w:rPr>
                <w:rFonts w:cs="Times New Roman"/>
                <w:b/>
                <w:bCs/>
                <w:sz w:val="21"/>
                <w:szCs w:val="21"/>
              </w:rPr>
            </w:pPr>
            <w:r>
              <w:rPr>
                <w:rFonts w:cs="Times New Roman"/>
                <w:b/>
                <w:bCs/>
                <w:sz w:val="21"/>
                <w:szCs w:val="21"/>
              </w:rPr>
              <w:t>危险因素</w:t>
            </w:r>
          </w:p>
        </w:tc>
        <w:tc>
          <w:tcPr>
            <w:tcW w:w="1557" w:type="pct"/>
            <w:vAlign w:val="center"/>
          </w:tcPr>
          <w:p w14:paraId="465DB8DC">
            <w:pPr>
              <w:adjustRightInd w:val="0"/>
              <w:snapToGrid w:val="0"/>
              <w:spacing w:line="240" w:lineRule="auto"/>
              <w:ind w:firstLine="0" w:firstLineChars="0"/>
              <w:jc w:val="center"/>
              <w:rPr>
                <w:rFonts w:cs="Times New Roman"/>
                <w:b/>
                <w:bCs/>
                <w:sz w:val="21"/>
                <w:szCs w:val="21"/>
              </w:rPr>
            </w:pPr>
            <w:r>
              <w:rPr>
                <w:rFonts w:cs="Times New Roman"/>
                <w:b/>
                <w:bCs/>
                <w:sz w:val="21"/>
                <w:szCs w:val="21"/>
              </w:rPr>
              <w:t>诱导因素</w:t>
            </w:r>
          </w:p>
        </w:tc>
        <w:tc>
          <w:tcPr>
            <w:tcW w:w="656" w:type="pct"/>
            <w:vAlign w:val="center"/>
          </w:tcPr>
          <w:p w14:paraId="1489A917">
            <w:pPr>
              <w:adjustRightInd w:val="0"/>
              <w:snapToGrid w:val="0"/>
              <w:spacing w:line="240" w:lineRule="auto"/>
              <w:ind w:firstLine="0" w:firstLineChars="0"/>
              <w:jc w:val="center"/>
              <w:rPr>
                <w:rFonts w:cs="Times New Roman"/>
                <w:b/>
                <w:bCs/>
                <w:sz w:val="21"/>
                <w:szCs w:val="21"/>
              </w:rPr>
            </w:pPr>
            <w:r>
              <w:rPr>
                <w:rFonts w:cs="Times New Roman"/>
                <w:b/>
                <w:bCs/>
                <w:sz w:val="21"/>
                <w:szCs w:val="21"/>
              </w:rPr>
              <w:t>事故后果</w:t>
            </w:r>
          </w:p>
        </w:tc>
        <w:tc>
          <w:tcPr>
            <w:tcW w:w="656" w:type="pct"/>
            <w:vAlign w:val="center"/>
          </w:tcPr>
          <w:p w14:paraId="002890AE">
            <w:pPr>
              <w:adjustRightInd w:val="0"/>
              <w:snapToGrid w:val="0"/>
              <w:spacing w:line="240" w:lineRule="auto"/>
              <w:ind w:firstLine="0" w:firstLineChars="0"/>
              <w:jc w:val="center"/>
              <w:rPr>
                <w:rFonts w:cs="Times New Roman"/>
                <w:b/>
                <w:bCs/>
                <w:sz w:val="21"/>
                <w:szCs w:val="21"/>
              </w:rPr>
            </w:pPr>
            <w:r>
              <w:rPr>
                <w:rFonts w:cs="Times New Roman"/>
                <w:b/>
                <w:bCs/>
                <w:sz w:val="21"/>
                <w:szCs w:val="21"/>
              </w:rPr>
              <w:t>危险等级</w:t>
            </w:r>
          </w:p>
        </w:tc>
        <w:tc>
          <w:tcPr>
            <w:tcW w:w="1721" w:type="pct"/>
            <w:vAlign w:val="center"/>
          </w:tcPr>
          <w:p w14:paraId="2F4314F7">
            <w:pPr>
              <w:adjustRightInd w:val="0"/>
              <w:snapToGrid w:val="0"/>
              <w:spacing w:line="240" w:lineRule="auto"/>
              <w:ind w:firstLine="0" w:firstLineChars="0"/>
              <w:jc w:val="center"/>
              <w:rPr>
                <w:rFonts w:cs="Times New Roman"/>
                <w:b/>
                <w:bCs/>
                <w:sz w:val="21"/>
                <w:szCs w:val="21"/>
              </w:rPr>
            </w:pPr>
            <w:r>
              <w:rPr>
                <w:rFonts w:cs="Times New Roman"/>
                <w:b/>
                <w:bCs/>
                <w:sz w:val="21"/>
                <w:szCs w:val="21"/>
              </w:rPr>
              <w:t>防 范 措 施</w:t>
            </w:r>
          </w:p>
        </w:tc>
      </w:tr>
      <w:tr w14:paraId="5592DF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14:paraId="6E3DD7F6">
            <w:pPr>
              <w:adjustRightInd w:val="0"/>
              <w:snapToGrid w:val="0"/>
              <w:spacing w:line="240" w:lineRule="auto"/>
              <w:ind w:firstLine="0" w:firstLineChars="0"/>
              <w:jc w:val="center"/>
              <w:rPr>
                <w:rFonts w:cs="Times New Roman"/>
                <w:sz w:val="21"/>
                <w:szCs w:val="21"/>
              </w:rPr>
            </w:pPr>
            <w:r>
              <w:rPr>
                <w:rFonts w:cs="Times New Roman"/>
                <w:sz w:val="21"/>
                <w:szCs w:val="21"/>
              </w:rPr>
              <w:t>提升系统</w:t>
            </w:r>
          </w:p>
        </w:tc>
      </w:tr>
      <w:tr w14:paraId="74A113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11" w:type="pct"/>
            <w:vAlign w:val="center"/>
          </w:tcPr>
          <w:p w14:paraId="7E96B5FA">
            <w:pPr>
              <w:adjustRightInd w:val="0"/>
              <w:snapToGrid w:val="0"/>
              <w:spacing w:line="240" w:lineRule="auto"/>
              <w:ind w:firstLine="0" w:firstLineChars="0"/>
              <w:jc w:val="center"/>
              <w:rPr>
                <w:rFonts w:cs="Times New Roman"/>
                <w:sz w:val="21"/>
                <w:szCs w:val="21"/>
              </w:rPr>
            </w:pPr>
            <w:r>
              <w:rPr>
                <w:rFonts w:cs="Times New Roman"/>
                <w:sz w:val="21"/>
                <w:szCs w:val="21"/>
              </w:rPr>
              <w:t>高处坠落（主要为坠罐）</w:t>
            </w:r>
          </w:p>
        </w:tc>
        <w:tc>
          <w:tcPr>
            <w:tcW w:w="1557" w:type="pct"/>
            <w:vAlign w:val="center"/>
          </w:tcPr>
          <w:p w14:paraId="76D039E5">
            <w:pPr>
              <w:adjustRightInd w:val="0"/>
              <w:snapToGrid w:val="0"/>
              <w:spacing w:line="240" w:lineRule="auto"/>
              <w:ind w:firstLine="0" w:firstLineChars="0"/>
              <w:rPr>
                <w:rFonts w:cs="Times New Roman"/>
                <w:sz w:val="21"/>
                <w:szCs w:val="21"/>
              </w:rPr>
            </w:pPr>
            <w:r>
              <w:rPr>
                <w:rFonts w:cs="Times New Roman"/>
                <w:kern w:val="0"/>
                <w:sz w:val="21"/>
                <w:szCs w:val="21"/>
              </w:rPr>
              <w:t>提升系统存在缺陷，设备带病运转；钢丝绳选择不合适、使用不当、未进行及时检修；</w:t>
            </w:r>
            <w:r>
              <w:rPr>
                <w:rFonts w:cs="Times New Roman"/>
                <w:sz w:val="21"/>
                <w:szCs w:val="21"/>
              </w:rPr>
              <w:t>安全保护装置不齐全、不可靠，操作失灵，提升装置的机电控制系统安全保护装置与电气闭锁装置不符合规程要求；无声光信号装置或信号不清；罐笼无防坠器；井口没有阻车器；无定车装置；提升速度过快；摇台、托台闭锁装置不满足要求。</w:t>
            </w:r>
          </w:p>
        </w:tc>
        <w:tc>
          <w:tcPr>
            <w:tcW w:w="656" w:type="pct"/>
            <w:vAlign w:val="center"/>
          </w:tcPr>
          <w:p w14:paraId="2D49EC9F">
            <w:pPr>
              <w:adjustRightInd w:val="0"/>
              <w:snapToGrid w:val="0"/>
              <w:spacing w:line="240" w:lineRule="auto"/>
              <w:ind w:firstLine="0" w:firstLineChars="0"/>
              <w:jc w:val="center"/>
              <w:rPr>
                <w:rFonts w:cs="Times New Roman"/>
                <w:sz w:val="21"/>
                <w:szCs w:val="21"/>
              </w:rPr>
            </w:pPr>
            <w:r>
              <w:rPr>
                <w:rFonts w:cs="Times New Roman"/>
                <w:sz w:val="21"/>
                <w:szCs w:val="21"/>
              </w:rPr>
              <w:t>人员伤亡</w:t>
            </w:r>
          </w:p>
          <w:p w14:paraId="08074EEE">
            <w:pPr>
              <w:adjustRightInd w:val="0"/>
              <w:snapToGrid w:val="0"/>
              <w:spacing w:line="240" w:lineRule="auto"/>
              <w:ind w:firstLine="0" w:firstLineChars="0"/>
              <w:jc w:val="center"/>
              <w:rPr>
                <w:rFonts w:cs="Times New Roman"/>
                <w:sz w:val="21"/>
                <w:szCs w:val="21"/>
              </w:rPr>
            </w:pPr>
            <w:r>
              <w:rPr>
                <w:rFonts w:cs="Times New Roman"/>
                <w:sz w:val="21"/>
                <w:szCs w:val="21"/>
              </w:rPr>
              <w:t>设备损坏</w:t>
            </w:r>
          </w:p>
        </w:tc>
        <w:tc>
          <w:tcPr>
            <w:tcW w:w="656" w:type="pct"/>
            <w:vAlign w:val="center"/>
          </w:tcPr>
          <w:p w14:paraId="1B6BB8A9">
            <w:pPr>
              <w:adjustRightInd w:val="0"/>
              <w:snapToGrid w:val="0"/>
              <w:spacing w:line="240" w:lineRule="auto"/>
              <w:ind w:firstLine="0" w:firstLineChars="0"/>
              <w:jc w:val="center"/>
              <w:rPr>
                <w:rFonts w:cs="Times New Roman"/>
                <w:sz w:val="21"/>
                <w:szCs w:val="21"/>
              </w:rPr>
            </w:pPr>
            <w:r>
              <w:rPr>
                <w:rFonts w:cs="Times New Roman"/>
                <w:sz w:val="21"/>
                <w:szCs w:val="21"/>
              </w:rPr>
              <w:t>Ⅲ</w:t>
            </w:r>
          </w:p>
        </w:tc>
        <w:tc>
          <w:tcPr>
            <w:tcW w:w="1721" w:type="pct"/>
            <w:vAlign w:val="center"/>
          </w:tcPr>
          <w:p w14:paraId="0E97E7B7">
            <w:pPr>
              <w:adjustRightInd w:val="0"/>
              <w:snapToGrid w:val="0"/>
              <w:spacing w:line="240" w:lineRule="auto"/>
              <w:ind w:firstLine="0" w:firstLineChars="0"/>
              <w:rPr>
                <w:rFonts w:cs="Times New Roman"/>
                <w:sz w:val="21"/>
                <w:szCs w:val="21"/>
              </w:rPr>
            </w:pPr>
            <w:r>
              <w:rPr>
                <w:rFonts w:cs="Times New Roman"/>
                <w:kern w:val="0"/>
                <w:sz w:val="21"/>
                <w:szCs w:val="21"/>
              </w:rPr>
              <w:t>选购质量合格的提升设备设施并定期进行检修、正确使用；禁止设备带病运转；设置</w:t>
            </w:r>
            <w:r>
              <w:rPr>
                <w:rFonts w:cs="Times New Roman"/>
                <w:sz w:val="21"/>
                <w:szCs w:val="21"/>
              </w:rPr>
              <w:t>齐全、可靠的安全保护装置并使其处于正常状态；提升装置的机电控制系统安全保护装置与电气闭锁装置符合规程要求；配备声光信号装置，并保证信号清晰；罐笼设防坠器；井口设阻车器；提升设备应设置定车装置；应装设速度指示器或自动速度记录仪等；竖井罐笼提升系统的各中段马头门，应根据需要使用摇台。摇台、托台应与提升机闭锁。</w:t>
            </w:r>
          </w:p>
        </w:tc>
      </w:tr>
      <w:tr w14:paraId="703CC5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14:paraId="6272FC0F">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有轨运输</w:t>
            </w:r>
          </w:p>
        </w:tc>
      </w:tr>
      <w:tr w14:paraId="6C163E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11" w:type="pct"/>
            <w:vAlign w:val="center"/>
          </w:tcPr>
          <w:p w14:paraId="6683212B">
            <w:pPr>
              <w:adjustRightInd w:val="0"/>
              <w:snapToGrid w:val="0"/>
              <w:spacing w:line="240" w:lineRule="auto"/>
              <w:ind w:firstLine="0" w:firstLineChars="0"/>
              <w:jc w:val="center"/>
              <w:rPr>
                <w:rFonts w:cs="Times New Roman"/>
                <w:sz w:val="21"/>
                <w:szCs w:val="21"/>
              </w:rPr>
            </w:pPr>
            <w:r>
              <w:rPr>
                <w:rFonts w:cs="Times New Roman"/>
                <w:sz w:val="21"/>
                <w:szCs w:val="21"/>
              </w:rPr>
              <w:t>车辆伤害</w:t>
            </w:r>
          </w:p>
        </w:tc>
        <w:tc>
          <w:tcPr>
            <w:tcW w:w="1557" w:type="pct"/>
            <w:vAlign w:val="center"/>
          </w:tcPr>
          <w:p w14:paraId="4F9C4E74">
            <w:pPr>
              <w:adjustRightInd w:val="0"/>
              <w:snapToGrid w:val="0"/>
              <w:spacing w:line="240" w:lineRule="auto"/>
              <w:ind w:firstLine="0" w:firstLineChars="0"/>
              <w:rPr>
                <w:rFonts w:cs="Times New Roman"/>
                <w:bCs/>
                <w:sz w:val="21"/>
                <w:szCs w:val="21"/>
              </w:rPr>
            </w:pPr>
            <w:r>
              <w:rPr>
                <w:rFonts w:cs="Times New Roman"/>
                <w:bCs/>
                <w:sz w:val="21"/>
                <w:szCs w:val="21"/>
              </w:rPr>
              <w:t>列车间挂钩设置不合理，列车运行时脱钩；人员未沿人行道行走；路面、轨道未按设计铺设；维修线路时未设置临时信号；电机车非正常状态下行驶；未按要求进行驾驶；轨道未及时清理，轨道上有石块、物体等</w:t>
            </w:r>
          </w:p>
        </w:tc>
        <w:tc>
          <w:tcPr>
            <w:tcW w:w="656" w:type="pct"/>
            <w:vAlign w:val="center"/>
          </w:tcPr>
          <w:p w14:paraId="3A7A9E32">
            <w:pPr>
              <w:adjustRightInd w:val="0"/>
              <w:snapToGrid w:val="0"/>
              <w:spacing w:line="240" w:lineRule="auto"/>
              <w:ind w:firstLine="0" w:firstLineChars="0"/>
              <w:jc w:val="center"/>
              <w:rPr>
                <w:rFonts w:cs="Times New Roman"/>
                <w:bCs/>
                <w:sz w:val="21"/>
                <w:szCs w:val="21"/>
              </w:rPr>
            </w:pPr>
            <w:r>
              <w:rPr>
                <w:rFonts w:cs="Times New Roman"/>
                <w:bCs/>
                <w:sz w:val="21"/>
                <w:szCs w:val="21"/>
              </w:rPr>
              <w:t>人员伤亡</w:t>
            </w:r>
          </w:p>
        </w:tc>
        <w:tc>
          <w:tcPr>
            <w:tcW w:w="656" w:type="pct"/>
            <w:vAlign w:val="center"/>
          </w:tcPr>
          <w:p w14:paraId="0D13A6C7">
            <w:pPr>
              <w:adjustRightInd w:val="0"/>
              <w:snapToGrid w:val="0"/>
              <w:spacing w:line="240" w:lineRule="auto"/>
              <w:ind w:firstLine="0" w:firstLineChars="0"/>
              <w:jc w:val="center"/>
              <w:rPr>
                <w:rFonts w:cs="Times New Roman"/>
                <w:sz w:val="21"/>
                <w:szCs w:val="21"/>
              </w:rPr>
            </w:pPr>
            <w:r>
              <w:rPr>
                <w:rFonts w:cs="Times New Roman"/>
                <w:sz w:val="21"/>
                <w:szCs w:val="21"/>
              </w:rPr>
              <w:t>Ⅲ</w:t>
            </w:r>
          </w:p>
        </w:tc>
        <w:tc>
          <w:tcPr>
            <w:tcW w:w="1721" w:type="pct"/>
            <w:vAlign w:val="center"/>
          </w:tcPr>
          <w:p w14:paraId="45F1E620">
            <w:pPr>
              <w:adjustRightInd w:val="0"/>
              <w:snapToGrid w:val="0"/>
              <w:spacing w:line="240" w:lineRule="auto"/>
              <w:ind w:firstLine="0" w:firstLineChars="0"/>
              <w:rPr>
                <w:rFonts w:cs="Times New Roman"/>
                <w:bCs/>
                <w:sz w:val="21"/>
                <w:szCs w:val="21"/>
              </w:rPr>
            </w:pPr>
            <w:r>
              <w:rPr>
                <w:rFonts w:cs="Times New Roman"/>
                <w:bCs/>
                <w:sz w:val="21"/>
                <w:szCs w:val="21"/>
              </w:rPr>
              <w:t>列车间挂钩应进行合理设置，加强管理防止列车运行时脱钩；人员应沿人行道行走；巷道、道路规格应按设计合理施工；路面和轨道应按设计合理铺设；维修线路时应设置临时信号；电机车非正常状态下不应行驶；按要求进行驾驶；轨枕及时更换；轨道及时清理，保持路面清洁</w:t>
            </w:r>
          </w:p>
        </w:tc>
      </w:tr>
      <w:tr w14:paraId="10C008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00" w:type="pct"/>
            <w:gridSpan w:val="5"/>
            <w:vAlign w:val="center"/>
          </w:tcPr>
          <w:p w14:paraId="2C6A9AC3">
            <w:pPr>
              <w:adjustRightInd w:val="0"/>
              <w:snapToGrid w:val="0"/>
              <w:spacing w:line="240" w:lineRule="auto"/>
              <w:ind w:firstLine="0" w:firstLineChars="0"/>
              <w:jc w:val="center"/>
              <w:rPr>
                <w:rFonts w:cs="Times New Roman"/>
                <w:bCs/>
                <w:sz w:val="21"/>
                <w:szCs w:val="21"/>
              </w:rPr>
            </w:pPr>
            <w:r>
              <w:rPr>
                <w:rFonts w:cs="Times New Roman"/>
                <w:bCs/>
                <w:sz w:val="21"/>
                <w:szCs w:val="21"/>
              </w:rPr>
              <w:t>无轨运输</w:t>
            </w:r>
          </w:p>
        </w:tc>
      </w:tr>
      <w:tr w14:paraId="4312AD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11" w:type="pct"/>
            <w:vAlign w:val="center"/>
          </w:tcPr>
          <w:p w14:paraId="320A52AD">
            <w:pPr>
              <w:adjustRightInd w:val="0"/>
              <w:snapToGrid w:val="0"/>
              <w:spacing w:line="240" w:lineRule="auto"/>
              <w:ind w:firstLine="0" w:firstLineChars="0"/>
              <w:jc w:val="center"/>
              <w:rPr>
                <w:rFonts w:cs="Times New Roman"/>
                <w:sz w:val="21"/>
                <w:szCs w:val="21"/>
              </w:rPr>
            </w:pPr>
            <w:r>
              <w:rPr>
                <w:rFonts w:cs="Times New Roman"/>
                <w:sz w:val="21"/>
                <w:szCs w:val="21"/>
              </w:rPr>
              <w:t>车辆伤害</w:t>
            </w:r>
          </w:p>
        </w:tc>
        <w:tc>
          <w:tcPr>
            <w:tcW w:w="1557" w:type="pct"/>
          </w:tcPr>
          <w:p w14:paraId="51128A3E">
            <w:pPr>
              <w:adjustRightInd w:val="0"/>
              <w:snapToGrid w:val="0"/>
              <w:spacing w:line="240" w:lineRule="auto"/>
              <w:ind w:firstLine="0" w:firstLineChars="0"/>
              <w:rPr>
                <w:rFonts w:cs="Times New Roman"/>
                <w:sz w:val="21"/>
                <w:szCs w:val="21"/>
              </w:rPr>
            </w:pPr>
            <w:r>
              <w:rPr>
                <w:rFonts w:cs="Times New Roman"/>
                <w:kern w:val="0"/>
                <w:sz w:val="21"/>
                <w:szCs w:val="21"/>
              </w:rPr>
              <w:t>运输道路未按设计要求施工；未设置躲避硐室；道路维修、养护不及时；检修、危险地段未设置路标；车辆灯光、刹车、信号、警报系统失灵；车速过快；超载；超员乘车、跳车、扒车等不按要求乘车行为；</w:t>
            </w:r>
            <w:r>
              <w:rPr>
                <w:rFonts w:cs="Times New Roman"/>
                <w:sz w:val="21"/>
                <w:szCs w:val="21"/>
              </w:rPr>
              <w:t xml:space="preserve"> </w:t>
            </w:r>
          </w:p>
        </w:tc>
        <w:tc>
          <w:tcPr>
            <w:tcW w:w="656" w:type="pct"/>
            <w:vAlign w:val="center"/>
          </w:tcPr>
          <w:p w14:paraId="4F4E4CBB">
            <w:pPr>
              <w:adjustRightInd w:val="0"/>
              <w:snapToGrid w:val="0"/>
              <w:spacing w:line="240" w:lineRule="auto"/>
              <w:ind w:firstLine="0" w:firstLineChars="0"/>
              <w:jc w:val="center"/>
              <w:rPr>
                <w:rFonts w:cs="Times New Roman"/>
                <w:bCs/>
                <w:sz w:val="21"/>
                <w:szCs w:val="21"/>
              </w:rPr>
            </w:pPr>
            <w:r>
              <w:rPr>
                <w:rFonts w:cs="Times New Roman"/>
                <w:bCs/>
                <w:sz w:val="21"/>
                <w:szCs w:val="21"/>
              </w:rPr>
              <w:t>人员伤亡</w:t>
            </w:r>
          </w:p>
          <w:p w14:paraId="09E28478">
            <w:pPr>
              <w:adjustRightInd w:val="0"/>
              <w:snapToGrid w:val="0"/>
              <w:spacing w:line="240" w:lineRule="auto"/>
              <w:ind w:firstLine="0" w:firstLineChars="0"/>
              <w:jc w:val="center"/>
              <w:rPr>
                <w:rFonts w:cs="Times New Roman"/>
                <w:bCs/>
                <w:sz w:val="21"/>
                <w:szCs w:val="21"/>
              </w:rPr>
            </w:pPr>
            <w:r>
              <w:rPr>
                <w:rFonts w:cs="Times New Roman"/>
                <w:bCs/>
                <w:sz w:val="21"/>
                <w:szCs w:val="21"/>
              </w:rPr>
              <w:t>设备损坏</w:t>
            </w:r>
          </w:p>
        </w:tc>
        <w:tc>
          <w:tcPr>
            <w:tcW w:w="656" w:type="pct"/>
            <w:vAlign w:val="center"/>
          </w:tcPr>
          <w:p w14:paraId="52009D99">
            <w:pPr>
              <w:adjustRightInd w:val="0"/>
              <w:snapToGrid w:val="0"/>
              <w:spacing w:line="240" w:lineRule="auto"/>
              <w:ind w:firstLine="0" w:firstLineChars="0"/>
              <w:jc w:val="center"/>
              <w:rPr>
                <w:rFonts w:cs="Times New Roman"/>
                <w:sz w:val="21"/>
                <w:szCs w:val="21"/>
              </w:rPr>
            </w:pPr>
            <w:r>
              <w:rPr>
                <w:rFonts w:cs="Times New Roman"/>
                <w:sz w:val="21"/>
                <w:szCs w:val="21"/>
              </w:rPr>
              <w:t>Ⅲ</w:t>
            </w:r>
          </w:p>
        </w:tc>
        <w:tc>
          <w:tcPr>
            <w:tcW w:w="1721" w:type="pct"/>
          </w:tcPr>
          <w:p w14:paraId="7CAAE4A6">
            <w:pPr>
              <w:adjustRightInd w:val="0"/>
              <w:snapToGrid w:val="0"/>
              <w:spacing w:line="240" w:lineRule="auto"/>
              <w:ind w:firstLine="0" w:firstLineChars="0"/>
              <w:rPr>
                <w:rFonts w:cs="Times New Roman"/>
                <w:kern w:val="0"/>
                <w:sz w:val="21"/>
                <w:szCs w:val="21"/>
              </w:rPr>
            </w:pPr>
            <w:r>
              <w:rPr>
                <w:rFonts w:cs="Times New Roman"/>
                <w:kern w:val="0"/>
                <w:sz w:val="21"/>
                <w:szCs w:val="21"/>
              </w:rPr>
              <w:t xml:space="preserve">运输道路应按设计要求施工；道路应及时维修和养护；检修、危险地段设置路标；车辆灯光、湿式刹车、信号、警报系统应保持良好状态；不应超速行驶；不应超载；严禁超员乘车、跳车、扒车等不按要求乘车行为 </w:t>
            </w:r>
          </w:p>
        </w:tc>
      </w:tr>
    </w:tbl>
    <w:p w14:paraId="33696484">
      <w:pPr>
        <w:adjustRightInd w:val="0"/>
        <w:snapToGrid w:val="0"/>
        <w:spacing w:before="190" w:beforeLines="50" w:after="190" w:afterLines="50"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3.3.3安全检查表法</w:t>
      </w:r>
    </w:p>
    <w:p w14:paraId="6D41F005">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表3.3-2提升运输系统安全检查表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2721"/>
        <w:gridCol w:w="2177"/>
        <w:gridCol w:w="3155"/>
        <w:gridCol w:w="773"/>
      </w:tblGrid>
      <w:tr w14:paraId="08D54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 w:hRule="atLeast"/>
          <w:tblHeader/>
          <w:jc w:val="center"/>
        </w:trPr>
        <w:tc>
          <w:tcPr>
            <w:tcW w:w="362" w:type="pct"/>
            <w:tcBorders>
              <w:top w:val="single" w:color="auto" w:sz="4" w:space="0"/>
              <w:left w:val="single" w:color="auto" w:sz="4" w:space="0"/>
              <w:bottom w:val="single" w:color="auto" w:sz="4" w:space="0"/>
              <w:right w:val="single" w:color="auto" w:sz="4" w:space="0"/>
            </w:tcBorders>
            <w:vAlign w:val="center"/>
          </w:tcPr>
          <w:p w14:paraId="20B74C49">
            <w:pPr>
              <w:adjustRightInd w:val="0"/>
              <w:spacing w:line="240" w:lineRule="auto"/>
              <w:ind w:firstLine="0" w:firstLineChars="0"/>
              <w:jc w:val="center"/>
              <w:rPr>
                <w:rFonts w:cs="Times New Roman"/>
                <w:b/>
                <w:sz w:val="21"/>
                <w:szCs w:val="21"/>
              </w:rPr>
            </w:pPr>
            <w:r>
              <w:rPr>
                <w:rFonts w:cs="Times New Roman"/>
                <w:b/>
                <w:sz w:val="21"/>
                <w:szCs w:val="21"/>
              </w:rPr>
              <w:t>序号</w:t>
            </w:r>
          </w:p>
        </w:tc>
        <w:tc>
          <w:tcPr>
            <w:tcW w:w="1430" w:type="pct"/>
            <w:tcBorders>
              <w:top w:val="single" w:color="auto" w:sz="4" w:space="0"/>
              <w:left w:val="single" w:color="auto" w:sz="4" w:space="0"/>
              <w:bottom w:val="single" w:color="auto" w:sz="4" w:space="0"/>
              <w:right w:val="single" w:color="auto" w:sz="4" w:space="0"/>
            </w:tcBorders>
            <w:vAlign w:val="center"/>
          </w:tcPr>
          <w:p w14:paraId="32F65E0B">
            <w:pPr>
              <w:adjustRightInd w:val="0"/>
              <w:spacing w:line="240" w:lineRule="auto"/>
              <w:ind w:firstLine="0" w:firstLineChars="0"/>
              <w:jc w:val="center"/>
              <w:rPr>
                <w:rFonts w:cs="Times New Roman"/>
                <w:b/>
                <w:sz w:val="21"/>
                <w:szCs w:val="21"/>
              </w:rPr>
            </w:pPr>
            <w:r>
              <w:rPr>
                <w:rFonts w:cs="Times New Roman"/>
                <w:b/>
                <w:sz w:val="21"/>
                <w:szCs w:val="21"/>
              </w:rPr>
              <w:t>检查项目</w:t>
            </w:r>
          </w:p>
        </w:tc>
        <w:tc>
          <w:tcPr>
            <w:tcW w:w="1144" w:type="pct"/>
            <w:tcBorders>
              <w:top w:val="single" w:color="auto" w:sz="4" w:space="0"/>
              <w:left w:val="single" w:color="auto" w:sz="4" w:space="0"/>
              <w:bottom w:val="single" w:color="auto" w:sz="4" w:space="0"/>
              <w:right w:val="single" w:color="auto" w:sz="4" w:space="0"/>
            </w:tcBorders>
            <w:vAlign w:val="center"/>
          </w:tcPr>
          <w:p w14:paraId="30829773">
            <w:pPr>
              <w:adjustRightInd w:val="0"/>
              <w:snapToGrid w:val="0"/>
              <w:spacing w:line="240" w:lineRule="auto"/>
              <w:ind w:firstLine="0" w:firstLineChars="0"/>
              <w:jc w:val="center"/>
              <w:rPr>
                <w:rFonts w:cs="Times New Roman"/>
                <w:b/>
                <w:sz w:val="21"/>
                <w:szCs w:val="21"/>
              </w:rPr>
            </w:pPr>
            <w:r>
              <w:rPr>
                <w:rFonts w:cs="Times New Roman"/>
                <w:b/>
                <w:sz w:val="21"/>
                <w:szCs w:val="21"/>
              </w:rPr>
              <w:t>检查依据</w:t>
            </w:r>
          </w:p>
        </w:tc>
        <w:tc>
          <w:tcPr>
            <w:tcW w:w="1658" w:type="pct"/>
            <w:tcBorders>
              <w:top w:val="single" w:color="auto" w:sz="4" w:space="0"/>
              <w:left w:val="single" w:color="auto" w:sz="4" w:space="0"/>
              <w:bottom w:val="single" w:color="auto" w:sz="4" w:space="0"/>
              <w:right w:val="single" w:color="auto" w:sz="4" w:space="0"/>
            </w:tcBorders>
            <w:vAlign w:val="center"/>
          </w:tcPr>
          <w:p w14:paraId="1CF8ED3F">
            <w:pPr>
              <w:adjustRightInd w:val="0"/>
              <w:spacing w:line="240" w:lineRule="auto"/>
              <w:ind w:firstLine="0" w:firstLineChars="0"/>
              <w:jc w:val="center"/>
              <w:rPr>
                <w:rFonts w:cs="Times New Roman"/>
                <w:b/>
                <w:sz w:val="21"/>
                <w:szCs w:val="21"/>
              </w:rPr>
            </w:pPr>
            <w:r>
              <w:rPr>
                <w:rFonts w:cs="Times New Roman"/>
                <w:b/>
                <w:sz w:val="21"/>
                <w:szCs w:val="21"/>
              </w:rPr>
              <w:t>可研情况及说明</w:t>
            </w:r>
          </w:p>
        </w:tc>
        <w:tc>
          <w:tcPr>
            <w:tcW w:w="406" w:type="pct"/>
            <w:tcBorders>
              <w:top w:val="single" w:color="auto" w:sz="4" w:space="0"/>
              <w:left w:val="single" w:color="auto" w:sz="4" w:space="0"/>
              <w:bottom w:val="single" w:color="auto" w:sz="4" w:space="0"/>
              <w:right w:val="single" w:color="auto" w:sz="4" w:space="0"/>
            </w:tcBorders>
            <w:vAlign w:val="center"/>
          </w:tcPr>
          <w:p w14:paraId="14B254E5">
            <w:pPr>
              <w:adjustRightInd w:val="0"/>
              <w:spacing w:line="240" w:lineRule="auto"/>
              <w:ind w:firstLine="0" w:firstLineChars="0"/>
              <w:jc w:val="center"/>
              <w:rPr>
                <w:rFonts w:cs="Times New Roman"/>
                <w:b/>
                <w:sz w:val="21"/>
                <w:szCs w:val="21"/>
              </w:rPr>
            </w:pPr>
            <w:r>
              <w:rPr>
                <w:rFonts w:cs="Times New Roman"/>
                <w:b/>
                <w:sz w:val="21"/>
                <w:szCs w:val="21"/>
              </w:rPr>
              <w:t>检查</w:t>
            </w:r>
          </w:p>
          <w:p w14:paraId="186F81DA">
            <w:pPr>
              <w:adjustRightInd w:val="0"/>
              <w:spacing w:line="240" w:lineRule="auto"/>
              <w:ind w:firstLine="0" w:firstLineChars="0"/>
              <w:jc w:val="center"/>
              <w:rPr>
                <w:rFonts w:cs="Times New Roman"/>
                <w:b/>
                <w:sz w:val="21"/>
                <w:szCs w:val="21"/>
              </w:rPr>
            </w:pPr>
            <w:r>
              <w:rPr>
                <w:rFonts w:cs="Times New Roman"/>
                <w:b/>
                <w:sz w:val="21"/>
                <w:szCs w:val="21"/>
              </w:rPr>
              <w:t>结果</w:t>
            </w:r>
          </w:p>
        </w:tc>
      </w:tr>
      <w:tr w14:paraId="6FF0F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78DA7615">
            <w:pPr>
              <w:adjustRightInd w:val="0"/>
              <w:snapToGrid w:val="0"/>
              <w:spacing w:line="240" w:lineRule="auto"/>
              <w:ind w:firstLine="0" w:firstLineChars="0"/>
              <w:jc w:val="center"/>
              <w:rPr>
                <w:rFonts w:cs="Times New Roman"/>
                <w:sz w:val="21"/>
                <w:szCs w:val="21"/>
              </w:rPr>
            </w:pPr>
            <w:r>
              <w:rPr>
                <w:rFonts w:cs="Times New Roman"/>
                <w:sz w:val="21"/>
                <w:szCs w:val="21"/>
              </w:rPr>
              <w:t>竖井</w:t>
            </w:r>
          </w:p>
        </w:tc>
      </w:tr>
      <w:tr w14:paraId="427B6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0B1320CE">
            <w:pPr>
              <w:adjustRightInd w:val="0"/>
              <w:spacing w:line="240" w:lineRule="auto"/>
              <w:ind w:firstLine="0" w:firstLineChars="0"/>
              <w:jc w:val="center"/>
              <w:rPr>
                <w:rFonts w:cs="Times New Roman"/>
                <w:sz w:val="21"/>
                <w:szCs w:val="21"/>
              </w:rPr>
            </w:pPr>
            <w:r>
              <w:rPr>
                <w:rFonts w:cs="Times New Roman"/>
                <w:sz w:val="21"/>
                <w:szCs w:val="21"/>
              </w:rPr>
              <w:t>1</w:t>
            </w:r>
          </w:p>
        </w:tc>
        <w:tc>
          <w:tcPr>
            <w:tcW w:w="1430" w:type="pct"/>
            <w:tcBorders>
              <w:top w:val="single" w:color="auto" w:sz="4" w:space="0"/>
              <w:left w:val="single" w:color="auto" w:sz="4" w:space="0"/>
              <w:bottom w:val="single" w:color="auto" w:sz="4" w:space="0"/>
              <w:right w:val="single" w:color="auto" w:sz="4" w:space="0"/>
            </w:tcBorders>
            <w:vAlign w:val="center"/>
          </w:tcPr>
          <w:p w14:paraId="77DE26C5">
            <w:pPr>
              <w:adjustRightInd w:val="0"/>
              <w:spacing w:line="240" w:lineRule="auto"/>
              <w:ind w:firstLine="0" w:firstLineChars="0"/>
              <w:rPr>
                <w:rFonts w:cs="Times New Roman"/>
                <w:kern w:val="0"/>
                <w:sz w:val="21"/>
                <w:szCs w:val="21"/>
              </w:rPr>
            </w:pPr>
            <w:r>
              <w:rPr>
                <w:rFonts w:cs="Times New Roman"/>
                <w:kern w:val="0"/>
                <w:sz w:val="21"/>
                <w:szCs w:val="21"/>
              </w:rPr>
              <w:t>提升容器和平衡锤在竖井中运行时应有罐道导向。缠绕式提升系统应采用木罐道或者钢丝绳罐道，摩擦式提升系统应采用型钢罐道、木罐道或者钢丝绳罐道。</w:t>
            </w:r>
          </w:p>
        </w:tc>
        <w:tc>
          <w:tcPr>
            <w:tcW w:w="1144" w:type="pct"/>
            <w:tcBorders>
              <w:top w:val="single" w:color="auto" w:sz="4" w:space="0"/>
              <w:left w:val="single" w:color="auto" w:sz="4" w:space="0"/>
              <w:bottom w:val="single" w:color="auto" w:sz="4" w:space="0"/>
              <w:right w:val="single" w:color="auto" w:sz="4" w:space="0"/>
            </w:tcBorders>
            <w:vAlign w:val="center"/>
          </w:tcPr>
          <w:p w14:paraId="20824CA7">
            <w:pPr>
              <w:tabs>
                <w:tab w:val="left" w:pos="1008"/>
              </w:tabs>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41C36A86">
            <w:pPr>
              <w:tabs>
                <w:tab w:val="left" w:pos="1008"/>
              </w:tabs>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00DA77F1">
            <w:pPr>
              <w:tabs>
                <w:tab w:val="left" w:pos="1008"/>
              </w:tabs>
              <w:adjustRightInd w:val="0"/>
              <w:snapToGrid w:val="0"/>
              <w:spacing w:line="240" w:lineRule="auto"/>
              <w:ind w:firstLine="0" w:firstLineChars="0"/>
              <w:jc w:val="center"/>
              <w:rPr>
                <w:rFonts w:cs="Times New Roman"/>
                <w:sz w:val="21"/>
                <w:szCs w:val="21"/>
              </w:rPr>
            </w:pPr>
            <w:r>
              <w:rPr>
                <w:rFonts w:cs="Times New Roman"/>
                <w:sz w:val="21"/>
                <w:szCs w:val="21"/>
              </w:rPr>
              <w:t>第6.4.4.1条</w:t>
            </w:r>
          </w:p>
        </w:tc>
        <w:tc>
          <w:tcPr>
            <w:tcW w:w="1658" w:type="pct"/>
            <w:tcBorders>
              <w:top w:val="single" w:color="auto" w:sz="4" w:space="0"/>
              <w:left w:val="single" w:color="auto" w:sz="4" w:space="0"/>
              <w:bottom w:val="single" w:color="auto" w:sz="4" w:space="0"/>
              <w:right w:val="single" w:color="auto" w:sz="4" w:space="0"/>
            </w:tcBorders>
            <w:vAlign w:val="center"/>
          </w:tcPr>
          <w:p w14:paraId="5838032F">
            <w:pPr>
              <w:adjustRightInd w:val="0"/>
              <w:spacing w:line="240" w:lineRule="auto"/>
              <w:ind w:firstLine="0" w:firstLineChars="0"/>
              <w:rPr>
                <w:rFonts w:cs="Times New Roman"/>
                <w:kern w:val="0"/>
                <w:sz w:val="21"/>
                <w:szCs w:val="21"/>
              </w:rPr>
            </w:pPr>
            <w:r>
              <w:rPr>
                <w:rFonts w:cs="Times New Roman"/>
                <w:kern w:val="0"/>
                <w:sz w:val="21"/>
                <w:szCs w:val="21"/>
              </w:rPr>
              <w:t>竖井提升均采用摩擦式提升机</w:t>
            </w:r>
            <w:r>
              <w:rPr>
                <w:rFonts w:hint="eastAsia" w:cs="Times New Roman"/>
                <w:kern w:val="0"/>
                <w:sz w:val="21"/>
                <w:szCs w:val="21"/>
              </w:rPr>
              <w:t>，主井、冯家庄副井采用钢丝绳罐道，副井罐笼采用刚性罐道</w:t>
            </w:r>
            <w:r>
              <w:rPr>
                <w:rFonts w:cs="Times New Roman"/>
                <w:kern w:val="0"/>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14:paraId="77DF0979">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5B105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12FAC407">
            <w:pPr>
              <w:adjustRightInd w:val="0"/>
              <w:spacing w:line="240" w:lineRule="auto"/>
              <w:ind w:firstLine="0" w:firstLineChars="0"/>
              <w:jc w:val="center"/>
              <w:rPr>
                <w:rFonts w:cs="Times New Roman"/>
                <w:sz w:val="21"/>
                <w:szCs w:val="21"/>
              </w:rPr>
            </w:pPr>
            <w:r>
              <w:rPr>
                <w:rFonts w:cs="Times New Roman"/>
                <w:sz w:val="21"/>
                <w:szCs w:val="21"/>
              </w:rPr>
              <w:t>2</w:t>
            </w:r>
          </w:p>
        </w:tc>
        <w:tc>
          <w:tcPr>
            <w:tcW w:w="1430" w:type="pct"/>
            <w:tcBorders>
              <w:top w:val="single" w:color="auto" w:sz="4" w:space="0"/>
              <w:left w:val="single" w:color="auto" w:sz="4" w:space="0"/>
              <w:bottom w:val="single" w:color="auto" w:sz="4" w:space="0"/>
              <w:right w:val="single" w:color="auto" w:sz="4" w:space="0"/>
            </w:tcBorders>
            <w:vAlign w:val="center"/>
          </w:tcPr>
          <w:p w14:paraId="393EF525">
            <w:pPr>
              <w:adjustRightInd w:val="0"/>
              <w:snapToGrid w:val="0"/>
              <w:spacing w:line="240" w:lineRule="auto"/>
              <w:ind w:firstLine="0" w:firstLineChars="0"/>
              <w:rPr>
                <w:rFonts w:cs="Times New Roman"/>
                <w:kern w:val="0"/>
                <w:sz w:val="21"/>
                <w:szCs w:val="21"/>
              </w:rPr>
            </w:pPr>
            <w:r>
              <w:rPr>
                <w:rFonts w:cs="Times New Roman"/>
                <w:kern w:val="0"/>
                <w:sz w:val="21"/>
                <w:szCs w:val="21"/>
              </w:rPr>
              <w:t>提升竖井的井塔或者井架内和竖井井底应设置过卷段。过卷段高度应符合下列规定：</w:t>
            </w:r>
          </w:p>
          <w:p w14:paraId="3F4F538C">
            <w:pPr>
              <w:adjustRightInd w:val="0"/>
              <w:snapToGrid w:val="0"/>
              <w:spacing w:line="240" w:lineRule="auto"/>
              <w:ind w:firstLine="0" w:firstLineChars="0"/>
              <w:rPr>
                <w:rFonts w:cs="Times New Roman"/>
                <w:kern w:val="0"/>
                <w:sz w:val="21"/>
                <w:szCs w:val="21"/>
              </w:rPr>
            </w:pPr>
            <w:r>
              <w:rPr>
                <w:rFonts w:cs="Times New Roman"/>
                <w:kern w:val="0"/>
                <w:sz w:val="21"/>
                <w:szCs w:val="21"/>
              </w:rPr>
              <w:t>——提升速度大于6m/s时，不小于最高提升速度下运行1s的距离或者10m；</w:t>
            </w:r>
          </w:p>
          <w:p w14:paraId="61450A28">
            <w:pPr>
              <w:adjustRightInd w:val="0"/>
              <w:snapToGrid w:val="0"/>
              <w:spacing w:line="240" w:lineRule="auto"/>
              <w:ind w:firstLine="0" w:firstLineChars="0"/>
              <w:rPr>
                <w:rFonts w:cs="Times New Roman"/>
                <w:kern w:val="0"/>
                <w:sz w:val="21"/>
                <w:szCs w:val="21"/>
              </w:rPr>
            </w:pPr>
            <w:r>
              <w:rPr>
                <w:rFonts w:cs="Times New Roman"/>
                <w:kern w:val="0"/>
                <w:sz w:val="21"/>
                <w:szCs w:val="21"/>
              </w:rPr>
              <w:t>——提升速度为3m/s～6m/s时，不小于6m；</w:t>
            </w:r>
          </w:p>
          <w:p w14:paraId="30A39ABE">
            <w:pPr>
              <w:adjustRightInd w:val="0"/>
              <w:snapToGrid w:val="0"/>
              <w:spacing w:line="240" w:lineRule="auto"/>
              <w:ind w:firstLine="0" w:firstLineChars="0"/>
              <w:rPr>
                <w:rFonts w:cs="Times New Roman"/>
                <w:kern w:val="0"/>
                <w:sz w:val="21"/>
                <w:szCs w:val="21"/>
              </w:rPr>
            </w:pPr>
            <w:r>
              <w:rPr>
                <w:rFonts w:cs="Times New Roman"/>
                <w:kern w:val="0"/>
                <w:sz w:val="21"/>
                <w:szCs w:val="21"/>
              </w:rPr>
              <w:t>——提升速度小于3m/s时，不小于4m；</w:t>
            </w:r>
          </w:p>
          <w:p w14:paraId="0F742851">
            <w:pPr>
              <w:adjustRightInd w:val="0"/>
              <w:snapToGrid w:val="0"/>
              <w:spacing w:line="240" w:lineRule="auto"/>
              <w:ind w:firstLine="0" w:firstLineChars="0"/>
              <w:rPr>
                <w:rFonts w:cs="Times New Roman"/>
                <w:kern w:val="0"/>
                <w:sz w:val="21"/>
                <w:szCs w:val="21"/>
              </w:rPr>
            </w:pPr>
            <w:r>
              <w:rPr>
                <w:rFonts w:cs="Times New Roman"/>
                <w:kern w:val="0"/>
                <w:sz w:val="21"/>
                <w:szCs w:val="21"/>
              </w:rPr>
              <w:t>——凿井期间用吊桶提升时，不小于4m。</w:t>
            </w:r>
          </w:p>
        </w:tc>
        <w:tc>
          <w:tcPr>
            <w:tcW w:w="1144" w:type="pct"/>
            <w:tcBorders>
              <w:top w:val="single" w:color="auto" w:sz="4" w:space="0"/>
              <w:left w:val="single" w:color="auto" w:sz="4" w:space="0"/>
              <w:bottom w:val="single" w:color="auto" w:sz="4" w:space="0"/>
              <w:right w:val="single" w:color="auto" w:sz="4" w:space="0"/>
            </w:tcBorders>
            <w:vAlign w:val="center"/>
          </w:tcPr>
          <w:p w14:paraId="763B753A">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620D2F0D">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ED2DEAA">
            <w:pPr>
              <w:adjustRightInd w:val="0"/>
              <w:snapToGrid w:val="0"/>
              <w:spacing w:line="240" w:lineRule="auto"/>
              <w:ind w:firstLine="0" w:firstLineChars="0"/>
              <w:jc w:val="center"/>
              <w:rPr>
                <w:rFonts w:cs="Times New Roman"/>
                <w:kern w:val="0"/>
                <w:sz w:val="21"/>
                <w:szCs w:val="21"/>
              </w:rPr>
            </w:pPr>
            <w:r>
              <w:rPr>
                <w:rFonts w:cs="Times New Roman"/>
                <w:sz w:val="21"/>
                <w:szCs w:val="21"/>
              </w:rPr>
              <w:t>第</w:t>
            </w:r>
            <w:r>
              <w:rPr>
                <w:rFonts w:cs="Times New Roman"/>
                <w:kern w:val="0"/>
                <w:sz w:val="21"/>
                <w:szCs w:val="21"/>
              </w:rPr>
              <w:t>6.4.4.14条</w:t>
            </w:r>
          </w:p>
        </w:tc>
        <w:tc>
          <w:tcPr>
            <w:tcW w:w="1658" w:type="pct"/>
            <w:tcBorders>
              <w:top w:val="single" w:color="auto" w:sz="4" w:space="0"/>
              <w:left w:val="single" w:color="auto" w:sz="4" w:space="0"/>
              <w:right w:val="single" w:color="auto" w:sz="4" w:space="0"/>
            </w:tcBorders>
            <w:vAlign w:val="center"/>
          </w:tcPr>
          <w:p w14:paraId="6AB4EA89">
            <w:pPr>
              <w:adjustRightInd w:val="0"/>
              <w:snapToGrid w:val="0"/>
              <w:spacing w:before="190" w:beforeLines="50" w:after="190" w:afterLines="50" w:line="240" w:lineRule="auto"/>
              <w:ind w:firstLine="0" w:firstLineChars="0"/>
              <w:rPr>
                <w:rFonts w:cs="Times New Roman"/>
                <w:kern w:val="0"/>
                <w:sz w:val="21"/>
                <w:szCs w:val="21"/>
              </w:rPr>
            </w:pPr>
            <w:r>
              <w:rPr>
                <w:rFonts w:hint="eastAsia" w:cs="Times New Roman"/>
                <w:kern w:val="0"/>
                <w:sz w:val="21"/>
                <w:szCs w:val="21"/>
              </w:rPr>
              <w:t>可研未提及竖井过卷高度设置情况。</w:t>
            </w:r>
          </w:p>
        </w:tc>
        <w:tc>
          <w:tcPr>
            <w:tcW w:w="406" w:type="pct"/>
            <w:tcBorders>
              <w:top w:val="single" w:color="auto" w:sz="4" w:space="0"/>
              <w:left w:val="single" w:color="auto" w:sz="4" w:space="0"/>
              <w:right w:val="single" w:color="auto" w:sz="4" w:space="0"/>
            </w:tcBorders>
            <w:vAlign w:val="center"/>
          </w:tcPr>
          <w:p w14:paraId="39966E40">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34510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1CE5AAD6">
            <w:pPr>
              <w:adjustRightInd w:val="0"/>
              <w:spacing w:line="240" w:lineRule="auto"/>
              <w:ind w:firstLine="0" w:firstLineChars="0"/>
              <w:jc w:val="center"/>
              <w:rPr>
                <w:rFonts w:cs="Times New Roman"/>
                <w:sz w:val="21"/>
                <w:szCs w:val="21"/>
              </w:rPr>
            </w:pPr>
            <w:r>
              <w:rPr>
                <w:rFonts w:cs="Times New Roman"/>
                <w:sz w:val="21"/>
                <w:szCs w:val="21"/>
              </w:rPr>
              <w:t>3</w:t>
            </w:r>
          </w:p>
        </w:tc>
        <w:tc>
          <w:tcPr>
            <w:tcW w:w="1430" w:type="pct"/>
            <w:tcBorders>
              <w:top w:val="single" w:color="auto" w:sz="4" w:space="0"/>
              <w:left w:val="single" w:color="auto" w:sz="4" w:space="0"/>
              <w:bottom w:val="single" w:color="auto" w:sz="4" w:space="0"/>
              <w:right w:val="single" w:color="auto" w:sz="4" w:space="0"/>
            </w:tcBorders>
            <w:vAlign w:val="center"/>
          </w:tcPr>
          <w:p w14:paraId="31D78A71">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过卷段终端应设置过卷挡梁；发生过卷事故后过卷挡梁应能正常使用。</w:t>
            </w:r>
          </w:p>
        </w:tc>
        <w:tc>
          <w:tcPr>
            <w:tcW w:w="1144" w:type="pct"/>
            <w:tcBorders>
              <w:top w:val="single" w:color="auto" w:sz="4" w:space="0"/>
              <w:left w:val="single" w:color="auto" w:sz="4" w:space="0"/>
              <w:bottom w:val="single" w:color="auto" w:sz="4" w:space="0"/>
              <w:right w:val="single" w:color="auto" w:sz="4" w:space="0"/>
            </w:tcBorders>
            <w:vAlign w:val="center"/>
          </w:tcPr>
          <w:p w14:paraId="34E6DB75">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177DD925">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2001869">
            <w:pPr>
              <w:adjustRightInd w:val="0"/>
              <w:snapToGrid w:val="0"/>
              <w:spacing w:line="240" w:lineRule="auto"/>
              <w:ind w:firstLine="0" w:firstLineChars="0"/>
              <w:jc w:val="center"/>
              <w:rPr>
                <w:rFonts w:cs="Times New Roman"/>
                <w:kern w:val="0"/>
                <w:sz w:val="21"/>
                <w:szCs w:val="21"/>
              </w:rPr>
            </w:pPr>
            <w:r>
              <w:rPr>
                <w:rFonts w:cs="Times New Roman"/>
                <w:sz w:val="21"/>
                <w:szCs w:val="21"/>
              </w:rPr>
              <w:t>第</w:t>
            </w:r>
            <w:r>
              <w:rPr>
                <w:rFonts w:cs="Times New Roman"/>
                <w:kern w:val="0"/>
                <w:sz w:val="21"/>
                <w:szCs w:val="21"/>
              </w:rPr>
              <w:t>6.4.4.15条</w:t>
            </w:r>
          </w:p>
        </w:tc>
        <w:tc>
          <w:tcPr>
            <w:tcW w:w="1658" w:type="pct"/>
            <w:tcBorders>
              <w:left w:val="single" w:color="auto" w:sz="4" w:space="0"/>
              <w:bottom w:val="single" w:color="auto" w:sz="4" w:space="0"/>
              <w:right w:val="single" w:color="auto" w:sz="4" w:space="0"/>
            </w:tcBorders>
            <w:vAlign w:val="center"/>
          </w:tcPr>
          <w:p w14:paraId="68B56848">
            <w:pPr>
              <w:adjustRightInd w:val="0"/>
              <w:snapToGrid w:val="0"/>
              <w:spacing w:before="190" w:beforeLines="50" w:after="190" w:afterLines="50" w:line="240" w:lineRule="auto"/>
              <w:ind w:firstLine="0" w:firstLineChars="0"/>
              <w:rPr>
                <w:rFonts w:cs="Times New Roman"/>
                <w:kern w:val="0"/>
                <w:sz w:val="21"/>
                <w:szCs w:val="21"/>
              </w:rPr>
            </w:pPr>
            <w:r>
              <w:rPr>
                <w:rFonts w:hint="eastAsia" w:cs="Times New Roman"/>
                <w:kern w:val="0"/>
                <w:sz w:val="21"/>
                <w:szCs w:val="21"/>
              </w:rPr>
              <w:t>可研未提及竖井过卷设置情况。</w:t>
            </w:r>
          </w:p>
        </w:tc>
        <w:tc>
          <w:tcPr>
            <w:tcW w:w="406" w:type="pct"/>
            <w:tcBorders>
              <w:left w:val="single" w:color="auto" w:sz="4" w:space="0"/>
              <w:bottom w:val="single" w:color="auto" w:sz="4" w:space="0"/>
              <w:right w:val="single" w:color="auto" w:sz="4" w:space="0"/>
            </w:tcBorders>
            <w:vAlign w:val="center"/>
          </w:tcPr>
          <w:p w14:paraId="126E80D4">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51407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22FA98B2">
            <w:pPr>
              <w:adjustRightInd w:val="0"/>
              <w:spacing w:line="240" w:lineRule="auto"/>
              <w:ind w:firstLine="0" w:firstLineChars="0"/>
              <w:jc w:val="center"/>
              <w:rPr>
                <w:rFonts w:cs="Times New Roman"/>
                <w:sz w:val="21"/>
                <w:szCs w:val="21"/>
              </w:rPr>
            </w:pPr>
            <w:r>
              <w:rPr>
                <w:rFonts w:cs="Times New Roman"/>
                <w:sz w:val="21"/>
                <w:szCs w:val="21"/>
              </w:rPr>
              <w:t>4</w:t>
            </w:r>
          </w:p>
        </w:tc>
        <w:tc>
          <w:tcPr>
            <w:tcW w:w="1430" w:type="pct"/>
            <w:tcBorders>
              <w:top w:val="single" w:color="auto" w:sz="4" w:space="0"/>
              <w:left w:val="single" w:color="auto" w:sz="4" w:space="0"/>
              <w:bottom w:val="single" w:color="auto" w:sz="4" w:space="0"/>
              <w:right w:val="single" w:color="auto" w:sz="4" w:space="0"/>
            </w:tcBorders>
            <w:vAlign w:val="center"/>
          </w:tcPr>
          <w:p w14:paraId="02C0A7F4">
            <w:pPr>
              <w:adjustRightInd w:val="0"/>
              <w:snapToGrid w:val="0"/>
              <w:spacing w:line="240" w:lineRule="auto"/>
              <w:ind w:firstLine="0" w:firstLineChars="0"/>
              <w:rPr>
                <w:rFonts w:cs="Times New Roman"/>
                <w:kern w:val="0"/>
                <w:sz w:val="21"/>
                <w:szCs w:val="21"/>
              </w:rPr>
            </w:pPr>
            <w:r>
              <w:rPr>
                <w:rFonts w:cs="Times New Roman"/>
                <w:kern w:val="0"/>
                <w:sz w:val="21"/>
                <w:szCs w:val="21"/>
              </w:rPr>
              <w:t>竖井提升系统应符合下列规定：</w:t>
            </w:r>
          </w:p>
          <w:p w14:paraId="33F7F377">
            <w:pPr>
              <w:adjustRightInd w:val="0"/>
              <w:snapToGrid w:val="0"/>
              <w:spacing w:line="240" w:lineRule="auto"/>
              <w:ind w:firstLine="0" w:firstLineChars="0"/>
              <w:rPr>
                <w:rFonts w:cs="Times New Roman"/>
                <w:kern w:val="0"/>
                <w:sz w:val="21"/>
                <w:szCs w:val="21"/>
              </w:rPr>
            </w:pPr>
            <w:r>
              <w:rPr>
                <w:rFonts w:cs="Times New Roman"/>
                <w:kern w:val="0"/>
                <w:sz w:val="21"/>
                <w:szCs w:val="21"/>
              </w:rPr>
              <w:t>——过卷段应设过卷缓冲装置或者楔形罐道，使过卷容器能够平稳地在过卷段内停住；</w:t>
            </w:r>
          </w:p>
          <w:p w14:paraId="4A43DC12">
            <w:pPr>
              <w:adjustRightInd w:val="0"/>
              <w:snapToGrid w:val="0"/>
              <w:spacing w:line="240" w:lineRule="auto"/>
              <w:ind w:firstLine="0" w:firstLineChars="0"/>
              <w:rPr>
                <w:rFonts w:cs="Times New Roman"/>
                <w:kern w:val="0"/>
                <w:sz w:val="21"/>
                <w:szCs w:val="21"/>
              </w:rPr>
            </w:pPr>
            <w:r>
              <w:rPr>
                <w:rFonts w:cs="Times New Roman"/>
                <w:kern w:val="0"/>
                <w:sz w:val="21"/>
                <w:szCs w:val="21"/>
              </w:rPr>
              <w:t>——深度大于800m的竖井应设过卷缓冲装置，使过卷容器在缓冲装置内平稳停住，并不再反向下滑或反弹。</w:t>
            </w:r>
          </w:p>
        </w:tc>
        <w:tc>
          <w:tcPr>
            <w:tcW w:w="1144" w:type="pct"/>
            <w:tcBorders>
              <w:top w:val="single" w:color="auto" w:sz="4" w:space="0"/>
              <w:left w:val="single" w:color="auto" w:sz="4" w:space="0"/>
              <w:bottom w:val="single" w:color="auto" w:sz="4" w:space="0"/>
              <w:right w:val="single" w:color="auto" w:sz="4" w:space="0"/>
            </w:tcBorders>
            <w:vAlign w:val="center"/>
          </w:tcPr>
          <w:p w14:paraId="285E8617">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4D4AFB3E">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0956006">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cs="Times New Roman"/>
                <w:kern w:val="0"/>
                <w:sz w:val="21"/>
                <w:szCs w:val="21"/>
              </w:rPr>
              <w:t>6.4.4.16条</w:t>
            </w:r>
          </w:p>
        </w:tc>
        <w:tc>
          <w:tcPr>
            <w:tcW w:w="1658" w:type="pct"/>
            <w:tcBorders>
              <w:left w:val="single" w:color="auto" w:sz="4" w:space="0"/>
              <w:bottom w:val="single" w:color="auto" w:sz="4" w:space="0"/>
              <w:right w:val="single" w:color="auto" w:sz="4" w:space="0"/>
            </w:tcBorders>
            <w:vAlign w:val="center"/>
          </w:tcPr>
          <w:p w14:paraId="0D91B29B">
            <w:pPr>
              <w:adjustRightInd w:val="0"/>
              <w:snapToGrid w:val="0"/>
              <w:spacing w:before="190" w:beforeLines="50" w:after="190" w:afterLines="50" w:line="240" w:lineRule="auto"/>
              <w:ind w:firstLine="0" w:firstLineChars="0"/>
              <w:rPr>
                <w:rFonts w:cs="Times New Roman"/>
                <w:kern w:val="0"/>
                <w:sz w:val="21"/>
                <w:szCs w:val="21"/>
              </w:rPr>
            </w:pPr>
            <w:r>
              <w:rPr>
                <w:rFonts w:hint="eastAsia" w:cs="Times New Roman"/>
                <w:kern w:val="0"/>
                <w:sz w:val="21"/>
                <w:szCs w:val="21"/>
              </w:rPr>
              <w:t>可研未提及竖井过卷设置情况。</w:t>
            </w:r>
          </w:p>
        </w:tc>
        <w:tc>
          <w:tcPr>
            <w:tcW w:w="406" w:type="pct"/>
            <w:tcBorders>
              <w:left w:val="single" w:color="auto" w:sz="4" w:space="0"/>
              <w:bottom w:val="single" w:color="auto" w:sz="4" w:space="0"/>
              <w:right w:val="single" w:color="auto" w:sz="4" w:space="0"/>
            </w:tcBorders>
            <w:vAlign w:val="center"/>
          </w:tcPr>
          <w:p w14:paraId="297D916B">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37FBC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3115F5FC">
            <w:pPr>
              <w:adjustRightInd w:val="0"/>
              <w:spacing w:line="240" w:lineRule="auto"/>
              <w:ind w:firstLine="0" w:firstLineChars="0"/>
              <w:jc w:val="center"/>
              <w:rPr>
                <w:rFonts w:cs="Times New Roman"/>
                <w:sz w:val="21"/>
                <w:szCs w:val="21"/>
              </w:rPr>
            </w:pPr>
            <w:r>
              <w:rPr>
                <w:rFonts w:cs="Times New Roman"/>
                <w:sz w:val="21"/>
                <w:szCs w:val="21"/>
              </w:rPr>
              <w:t>5</w:t>
            </w:r>
          </w:p>
        </w:tc>
        <w:tc>
          <w:tcPr>
            <w:tcW w:w="1430" w:type="pct"/>
            <w:tcBorders>
              <w:top w:val="single" w:color="auto" w:sz="4" w:space="0"/>
              <w:left w:val="single" w:color="auto" w:sz="4" w:space="0"/>
              <w:bottom w:val="single" w:color="auto" w:sz="4" w:space="0"/>
              <w:right w:val="single" w:color="auto" w:sz="4" w:space="0"/>
            </w:tcBorders>
            <w:vAlign w:val="center"/>
          </w:tcPr>
          <w:p w14:paraId="328A994B">
            <w:pPr>
              <w:adjustRightInd w:val="0"/>
              <w:snapToGrid w:val="0"/>
              <w:spacing w:line="240" w:lineRule="auto"/>
              <w:ind w:firstLine="0" w:firstLineChars="0"/>
              <w:rPr>
                <w:rFonts w:cs="Times New Roman"/>
                <w:kern w:val="0"/>
                <w:sz w:val="21"/>
                <w:szCs w:val="21"/>
              </w:rPr>
            </w:pPr>
            <w:r>
              <w:rPr>
                <w:rFonts w:cs="Times New Roman"/>
                <w:kern w:val="0"/>
                <w:sz w:val="21"/>
                <w:szCs w:val="21"/>
              </w:rPr>
              <w:t>箕斗提升系统应在箕斗装载地点、卸载地点设置信号装置；信号应与提升机启动有闭锁关系。</w:t>
            </w:r>
          </w:p>
        </w:tc>
        <w:tc>
          <w:tcPr>
            <w:tcW w:w="1144" w:type="pct"/>
            <w:tcBorders>
              <w:top w:val="single" w:color="auto" w:sz="4" w:space="0"/>
              <w:left w:val="single" w:color="auto" w:sz="4" w:space="0"/>
              <w:bottom w:val="single" w:color="auto" w:sz="4" w:space="0"/>
              <w:right w:val="single" w:color="auto" w:sz="4" w:space="0"/>
            </w:tcBorders>
            <w:vAlign w:val="center"/>
          </w:tcPr>
          <w:p w14:paraId="0A27966F">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2BC2DF0A">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DF35DBE">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cs="Times New Roman"/>
                <w:kern w:val="0"/>
                <w:sz w:val="21"/>
                <w:szCs w:val="21"/>
              </w:rPr>
              <w:t>6.4.4.27条</w:t>
            </w:r>
          </w:p>
        </w:tc>
        <w:tc>
          <w:tcPr>
            <w:tcW w:w="1658" w:type="pct"/>
            <w:tcBorders>
              <w:left w:val="single" w:color="auto" w:sz="4" w:space="0"/>
              <w:bottom w:val="single" w:color="auto" w:sz="4" w:space="0"/>
              <w:right w:val="single" w:color="auto" w:sz="4" w:space="0"/>
            </w:tcBorders>
            <w:vAlign w:val="center"/>
          </w:tcPr>
          <w:p w14:paraId="2C603D6F">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箕斗提升系统在箕斗装载地点、卸载地点设置信号装置；信号与提升机启动有闭锁关系。</w:t>
            </w:r>
          </w:p>
        </w:tc>
        <w:tc>
          <w:tcPr>
            <w:tcW w:w="406" w:type="pct"/>
            <w:tcBorders>
              <w:left w:val="single" w:color="auto" w:sz="4" w:space="0"/>
              <w:bottom w:val="single" w:color="auto" w:sz="4" w:space="0"/>
              <w:right w:val="single" w:color="auto" w:sz="4" w:space="0"/>
            </w:tcBorders>
            <w:vAlign w:val="center"/>
          </w:tcPr>
          <w:p w14:paraId="03218519">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752DB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0CC33A6">
            <w:pPr>
              <w:adjustRightInd w:val="0"/>
              <w:spacing w:line="240" w:lineRule="auto"/>
              <w:ind w:firstLine="0" w:firstLineChars="0"/>
              <w:jc w:val="center"/>
              <w:rPr>
                <w:rFonts w:cs="Times New Roman"/>
                <w:sz w:val="21"/>
                <w:szCs w:val="21"/>
              </w:rPr>
            </w:pPr>
            <w:r>
              <w:rPr>
                <w:rFonts w:cs="Times New Roman"/>
                <w:sz w:val="21"/>
                <w:szCs w:val="21"/>
              </w:rPr>
              <w:t>6</w:t>
            </w:r>
          </w:p>
        </w:tc>
        <w:tc>
          <w:tcPr>
            <w:tcW w:w="1430" w:type="pct"/>
            <w:tcBorders>
              <w:top w:val="single" w:color="auto" w:sz="4" w:space="0"/>
              <w:left w:val="single" w:color="auto" w:sz="4" w:space="0"/>
              <w:bottom w:val="single" w:color="auto" w:sz="4" w:space="0"/>
              <w:right w:val="single" w:color="auto" w:sz="4" w:space="0"/>
            </w:tcBorders>
            <w:vAlign w:val="center"/>
          </w:tcPr>
          <w:p w14:paraId="44E645A4">
            <w:pPr>
              <w:adjustRightInd w:val="0"/>
              <w:snapToGrid w:val="0"/>
              <w:spacing w:line="240" w:lineRule="auto"/>
              <w:ind w:firstLine="0" w:firstLineChars="0"/>
              <w:rPr>
                <w:rFonts w:cs="Times New Roman"/>
                <w:kern w:val="0"/>
                <w:sz w:val="21"/>
                <w:szCs w:val="21"/>
              </w:rPr>
            </w:pPr>
            <w:r>
              <w:rPr>
                <w:rFonts w:cs="Times New Roman"/>
                <w:kern w:val="0"/>
                <w:sz w:val="21"/>
                <w:szCs w:val="21"/>
              </w:rPr>
              <w:t>罐笼提升信号系统应符合下列规定：</w:t>
            </w:r>
          </w:p>
          <w:p w14:paraId="510A725A">
            <w:pPr>
              <w:adjustRightInd w:val="0"/>
              <w:snapToGrid w:val="0"/>
              <w:spacing w:line="240" w:lineRule="auto"/>
              <w:ind w:firstLine="0" w:firstLineChars="0"/>
              <w:rPr>
                <w:rFonts w:cs="Times New Roman"/>
                <w:kern w:val="0"/>
                <w:sz w:val="21"/>
                <w:szCs w:val="21"/>
              </w:rPr>
            </w:pPr>
            <w:r>
              <w:rPr>
                <w:rFonts w:cs="Times New Roman"/>
                <w:kern w:val="0"/>
                <w:sz w:val="21"/>
                <w:szCs w:val="21"/>
              </w:rPr>
              <w:t>——应在井口和井下各中段马头门设信号装置；</w:t>
            </w:r>
          </w:p>
          <w:p w14:paraId="18D1D55E">
            <w:pPr>
              <w:adjustRightInd w:val="0"/>
              <w:snapToGrid w:val="0"/>
              <w:spacing w:line="240" w:lineRule="auto"/>
              <w:ind w:firstLine="0" w:firstLineChars="0"/>
              <w:rPr>
                <w:rFonts w:cs="Times New Roman"/>
                <w:kern w:val="0"/>
                <w:sz w:val="21"/>
                <w:szCs w:val="21"/>
              </w:rPr>
            </w:pPr>
            <w:r>
              <w:rPr>
                <w:rFonts w:cs="Times New Roman"/>
                <w:kern w:val="0"/>
                <w:sz w:val="21"/>
                <w:szCs w:val="21"/>
              </w:rPr>
              <w:t>——不同地点发出的信号应有区别；</w:t>
            </w:r>
          </w:p>
          <w:p w14:paraId="44F3357D">
            <w:pPr>
              <w:adjustRightInd w:val="0"/>
              <w:snapToGrid w:val="0"/>
              <w:spacing w:line="240" w:lineRule="auto"/>
              <w:ind w:firstLine="0" w:firstLineChars="0"/>
              <w:rPr>
                <w:rFonts w:cs="Times New Roman"/>
                <w:kern w:val="0"/>
                <w:sz w:val="21"/>
                <w:szCs w:val="21"/>
              </w:rPr>
            </w:pPr>
            <w:r>
              <w:rPr>
                <w:rFonts w:cs="Times New Roman"/>
                <w:kern w:val="0"/>
                <w:sz w:val="21"/>
                <w:szCs w:val="21"/>
              </w:rPr>
              <w:t>——跟罐信号工使用的信号装置应便于跟罐信号工从罐内发信号；</w:t>
            </w:r>
          </w:p>
          <w:p w14:paraId="4157DB0B">
            <w:pPr>
              <w:adjustRightInd w:val="0"/>
              <w:snapToGrid w:val="0"/>
              <w:spacing w:line="240" w:lineRule="auto"/>
              <w:ind w:firstLine="0" w:firstLineChars="0"/>
              <w:rPr>
                <w:rFonts w:cs="Times New Roman"/>
                <w:kern w:val="0"/>
                <w:sz w:val="21"/>
                <w:szCs w:val="21"/>
              </w:rPr>
            </w:pPr>
            <w:r>
              <w:rPr>
                <w:rFonts w:cs="Times New Roman"/>
                <w:kern w:val="0"/>
                <w:sz w:val="21"/>
                <w:szCs w:val="21"/>
              </w:rPr>
              <w:t>——井口信号工或跟罐信号工可直接向提升机司机发信号；</w:t>
            </w:r>
          </w:p>
          <w:p w14:paraId="627B1EA5">
            <w:pPr>
              <w:adjustRightInd w:val="0"/>
              <w:snapToGrid w:val="0"/>
              <w:spacing w:line="240" w:lineRule="auto"/>
              <w:ind w:firstLine="0" w:firstLineChars="0"/>
              <w:rPr>
                <w:rFonts w:cs="Times New Roman"/>
                <w:kern w:val="0"/>
                <w:sz w:val="21"/>
                <w:szCs w:val="21"/>
              </w:rPr>
            </w:pPr>
            <w:r>
              <w:rPr>
                <w:rFonts w:cs="Times New Roman"/>
                <w:kern w:val="0"/>
                <w:sz w:val="21"/>
                <w:szCs w:val="21"/>
              </w:rPr>
              <w:t>——中段信号工经过井口信号工同意可以向提升机司机发信号；紧急情况下可直接向提升机司机发出紧急停车信号。</w:t>
            </w:r>
          </w:p>
        </w:tc>
        <w:tc>
          <w:tcPr>
            <w:tcW w:w="1144" w:type="pct"/>
            <w:tcBorders>
              <w:top w:val="single" w:color="auto" w:sz="4" w:space="0"/>
              <w:left w:val="single" w:color="auto" w:sz="4" w:space="0"/>
              <w:bottom w:val="single" w:color="auto" w:sz="4" w:space="0"/>
              <w:right w:val="single" w:color="auto" w:sz="4" w:space="0"/>
            </w:tcBorders>
            <w:vAlign w:val="center"/>
          </w:tcPr>
          <w:p w14:paraId="28537E21">
            <w:pPr>
              <w:adjustRightInd w:val="0"/>
              <w:snapToGrid w:val="0"/>
              <w:spacing w:line="240" w:lineRule="auto"/>
              <w:ind w:firstLine="0" w:firstLineChars="0"/>
              <w:jc w:val="center"/>
              <w:rPr>
                <w:rFonts w:cs="Times New Roman"/>
                <w:sz w:val="21"/>
                <w:szCs w:val="21"/>
              </w:rPr>
            </w:pPr>
            <w:r>
              <w:rPr>
                <w:rFonts w:hint="eastAsia" w:cs="Times New Roman"/>
                <w:sz w:val="21"/>
                <w:szCs w:val="21"/>
              </w:rPr>
              <w:t>《</w:t>
            </w:r>
            <w:r>
              <w:rPr>
                <w:rFonts w:cs="Times New Roman"/>
                <w:sz w:val="21"/>
                <w:szCs w:val="21"/>
              </w:rPr>
              <w:t>金属非金属矿山安全规程》</w:t>
            </w:r>
          </w:p>
          <w:p w14:paraId="261A77D4">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073D090">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cs="Times New Roman"/>
                <w:kern w:val="0"/>
                <w:sz w:val="21"/>
                <w:szCs w:val="21"/>
              </w:rPr>
              <w:t>6.4.4.28条</w:t>
            </w:r>
          </w:p>
        </w:tc>
        <w:tc>
          <w:tcPr>
            <w:tcW w:w="1658" w:type="pct"/>
            <w:tcBorders>
              <w:left w:val="single" w:color="auto" w:sz="4" w:space="0"/>
              <w:bottom w:val="single" w:color="auto" w:sz="4" w:space="0"/>
              <w:right w:val="single" w:color="auto" w:sz="4" w:space="0"/>
            </w:tcBorders>
            <w:vAlign w:val="center"/>
          </w:tcPr>
          <w:p w14:paraId="56150844">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摇台、安全门与提升系统实行联锁；阻车器与摇台、安全门实行联锁，按顺序动作。罐笼提升信号系统在井口和井下各中段马头门设信号装置；不同地点发出的信号应有区别；跟罐信号工使用的信号装置应便于跟罐信号工从罐内发信号；井口信号工或跟罐信号工可直接向提升机司机发信号；中段信号工经过井口信号工同意可以向提升机司机发信号；紧急情况下可直接向提升机司机发出紧急停车信号。</w:t>
            </w:r>
          </w:p>
        </w:tc>
        <w:tc>
          <w:tcPr>
            <w:tcW w:w="406" w:type="pct"/>
            <w:tcBorders>
              <w:left w:val="single" w:color="auto" w:sz="4" w:space="0"/>
              <w:bottom w:val="single" w:color="auto" w:sz="4" w:space="0"/>
              <w:right w:val="single" w:color="auto" w:sz="4" w:space="0"/>
            </w:tcBorders>
            <w:vAlign w:val="center"/>
          </w:tcPr>
          <w:p w14:paraId="7FEAFE61">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5035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7687F5BB">
            <w:pPr>
              <w:adjustRightInd w:val="0"/>
              <w:snapToGrid w:val="0"/>
              <w:spacing w:line="240" w:lineRule="auto"/>
              <w:ind w:firstLine="0" w:firstLineChars="0"/>
              <w:jc w:val="center"/>
              <w:rPr>
                <w:rFonts w:cs="Times New Roman"/>
                <w:sz w:val="21"/>
                <w:szCs w:val="21"/>
              </w:rPr>
            </w:pPr>
            <w:r>
              <w:rPr>
                <w:rFonts w:cs="Times New Roman"/>
                <w:sz w:val="21"/>
                <w:szCs w:val="21"/>
              </w:rPr>
              <w:t>6</w:t>
            </w:r>
          </w:p>
        </w:tc>
        <w:tc>
          <w:tcPr>
            <w:tcW w:w="1430" w:type="pct"/>
            <w:tcBorders>
              <w:top w:val="single" w:color="auto" w:sz="4" w:space="0"/>
              <w:left w:val="single" w:color="auto" w:sz="4" w:space="0"/>
              <w:bottom w:val="single" w:color="auto" w:sz="4" w:space="0"/>
              <w:right w:val="single" w:color="auto" w:sz="4" w:space="0"/>
            </w:tcBorders>
            <w:vAlign w:val="center"/>
          </w:tcPr>
          <w:p w14:paraId="58EB106D">
            <w:pPr>
              <w:adjustRightInd w:val="0"/>
              <w:snapToGrid w:val="0"/>
              <w:spacing w:line="240" w:lineRule="auto"/>
              <w:ind w:firstLine="0" w:firstLineChars="0"/>
              <w:rPr>
                <w:rFonts w:cs="Times New Roman"/>
                <w:kern w:val="0"/>
                <w:sz w:val="21"/>
                <w:szCs w:val="21"/>
              </w:rPr>
            </w:pPr>
            <w:r>
              <w:rPr>
                <w:rFonts w:cs="Times New Roman"/>
                <w:kern w:val="0"/>
                <w:sz w:val="21"/>
                <w:szCs w:val="21"/>
              </w:rPr>
              <w:t>竖井升降人员时，加速度和减速度应不超过0.75m/s</w:t>
            </w:r>
            <w:r>
              <w:rPr>
                <w:rFonts w:cs="Times New Roman"/>
                <w:kern w:val="0"/>
                <w:sz w:val="21"/>
                <w:szCs w:val="21"/>
                <w:vertAlign w:val="superscript"/>
              </w:rPr>
              <w:t>2</w:t>
            </w:r>
            <w:r>
              <w:rPr>
                <w:rFonts w:cs="Times New Roman"/>
                <w:kern w:val="0"/>
                <w:sz w:val="21"/>
                <w:szCs w:val="21"/>
              </w:rPr>
              <w:t>；升降物料时，加速度和减速度应不超过1.0m/s</w:t>
            </w:r>
            <w:r>
              <w:rPr>
                <w:rFonts w:cs="Times New Roman"/>
                <w:kern w:val="0"/>
                <w:sz w:val="21"/>
                <w:szCs w:val="21"/>
                <w:vertAlign w:val="superscript"/>
              </w:rPr>
              <w:t>2</w:t>
            </w:r>
            <w:r>
              <w:rPr>
                <w:rFonts w:cs="Times New Roman"/>
                <w:kern w:val="0"/>
                <w:sz w:val="21"/>
                <w:szCs w:val="21"/>
              </w:rPr>
              <w:t>。</w:t>
            </w:r>
          </w:p>
        </w:tc>
        <w:tc>
          <w:tcPr>
            <w:tcW w:w="1144" w:type="pct"/>
            <w:tcBorders>
              <w:top w:val="single" w:color="auto" w:sz="4" w:space="0"/>
              <w:left w:val="single" w:color="auto" w:sz="4" w:space="0"/>
              <w:bottom w:val="single" w:color="auto" w:sz="4" w:space="0"/>
              <w:right w:val="single" w:color="auto" w:sz="4" w:space="0"/>
            </w:tcBorders>
            <w:vAlign w:val="center"/>
          </w:tcPr>
          <w:p w14:paraId="4CE20B6D">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16DD28AC">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3D6DFA51">
            <w:pPr>
              <w:adjustRightInd w:val="0"/>
              <w:snapToGrid w:val="0"/>
              <w:spacing w:line="240" w:lineRule="auto"/>
              <w:ind w:firstLine="0" w:firstLineChars="0"/>
              <w:jc w:val="center"/>
              <w:rPr>
                <w:rFonts w:cs="Times New Roman"/>
                <w:kern w:val="0"/>
                <w:sz w:val="21"/>
                <w:szCs w:val="21"/>
              </w:rPr>
            </w:pPr>
            <w:r>
              <w:rPr>
                <w:rFonts w:cs="Times New Roman"/>
                <w:sz w:val="21"/>
                <w:szCs w:val="21"/>
              </w:rPr>
              <w:t>第</w:t>
            </w:r>
            <w:r>
              <w:rPr>
                <w:rFonts w:cs="Times New Roman"/>
                <w:kern w:val="0"/>
                <w:sz w:val="21"/>
                <w:szCs w:val="21"/>
              </w:rPr>
              <w:t>6.4.8.10条</w:t>
            </w:r>
          </w:p>
        </w:tc>
        <w:tc>
          <w:tcPr>
            <w:tcW w:w="1658" w:type="pct"/>
            <w:tcBorders>
              <w:top w:val="single" w:color="auto" w:sz="4" w:space="0"/>
              <w:left w:val="single" w:color="auto" w:sz="4" w:space="0"/>
              <w:bottom w:val="single" w:color="auto" w:sz="4" w:space="0"/>
              <w:right w:val="single" w:color="auto" w:sz="4" w:space="0"/>
            </w:tcBorders>
            <w:vAlign w:val="center"/>
          </w:tcPr>
          <w:p w14:paraId="3F28D93B">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主井最大</w:t>
            </w:r>
            <w:r>
              <w:rPr>
                <w:rFonts w:cs="Times New Roman"/>
                <w:kern w:val="0"/>
                <w:sz w:val="21"/>
                <w:szCs w:val="21"/>
              </w:rPr>
              <w:t>提升速度13.54m/s，</w:t>
            </w:r>
            <w:r>
              <w:rPr>
                <w:rFonts w:cs="Times New Roman"/>
                <w:sz w:val="21"/>
                <w:szCs w:val="21"/>
              </w:rPr>
              <w:t>加速度和减速度0.8</w:t>
            </w:r>
            <w:r>
              <w:rPr>
                <w:rFonts w:cs="Times New Roman"/>
                <w:kern w:val="0"/>
                <w:sz w:val="21"/>
                <w:szCs w:val="21"/>
              </w:rPr>
              <w:t>m</w:t>
            </w:r>
            <w:r>
              <w:rPr>
                <w:rFonts w:cs="Times New Roman"/>
                <w:sz w:val="21"/>
                <w:szCs w:val="21"/>
              </w:rPr>
              <w:t>/s</w:t>
            </w:r>
            <w:r>
              <w:rPr>
                <w:rFonts w:cs="Times New Roman"/>
                <w:sz w:val="21"/>
                <w:szCs w:val="21"/>
                <w:vertAlign w:val="superscript"/>
              </w:rPr>
              <w:t>2</w:t>
            </w:r>
            <w:r>
              <w:rPr>
                <w:rFonts w:cs="Times New Roman"/>
                <w:kern w:val="0"/>
                <w:sz w:val="21"/>
                <w:szCs w:val="21"/>
              </w:rPr>
              <w:t>。</w:t>
            </w:r>
            <w:r>
              <w:rPr>
                <w:rFonts w:hint="eastAsia" w:cs="Times New Roman"/>
                <w:kern w:val="0"/>
                <w:sz w:val="21"/>
                <w:szCs w:val="21"/>
              </w:rPr>
              <w:t>副井大罐笼提升系统最大提升速度7.61m/s，加减速度0.7m/s</w:t>
            </w:r>
            <w:r>
              <w:rPr>
                <w:rFonts w:hint="eastAsia" w:cs="Times New Roman"/>
                <w:kern w:val="0"/>
                <w:sz w:val="21"/>
                <w:szCs w:val="21"/>
                <w:vertAlign w:val="superscript"/>
              </w:rPr>
              <w:t>2</w:t>
            </w:r>
            <w:r>
              <w:rPr>
                <w:rFonts w:hint="eastAsia" w:cs="Times New Roman"/>
                <w:kern w:val="0"/>
                <w:sz w:val="21"/>
                <w:szCs w:val="21"/>
              </w:rPr>
              <w:t>，小罐笼提升系统最大提升速度4.54m/s，加、减速度0.7m/s</w:t>
            </w:r>
            <w:r>
              <w:rPr>
                <w:rFonts w:hint="eastAsia" w:cs="Times New Roman"/>
                <w:kern w:val="0"/>
                <w:sz w:val="21"/>
                <w:szCs w:val="21"/>
                <w:vertAlign w:val="superscript"/>
              </w:rPr>
              <w:t>2</w:t>
            </w:r>
            <w:r>
              <w:rPr>
                <w:rFonts w:hint="eastAsia" w:cs="Times New Roman"/>
                <w:kern w:val="0"/>
                <w:sz w:val="21"/>
                <w:szCs w:val="21"/>
              </w:rPr>
              <w:t>。冯家庄副井提升系统最大提升速度6.68m/s，提升加、减速度0.7m/s</w:t>
            </w:r>
            <w:r>
              <w:rPr>
                <w:rFonts w:hint="eastAsia" w:cs="Times New Roman"/>
                <w:kern w:val="0"/>
                <w:sz w:val="21"/>
                <w:szCs w:val="21"/>
                <w:vertAlign w:val="superscript"/>
              </w:rPr>
              <w:t>2</w:t>
            </w:r>
            <w:r>
              <w:rPr>
                <w:rFonts w:hint="eastAsia" w:cs="Times New Roman"/>
                <w:kern w:val="0"/>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14:paraId="1D22842D">
            <w:pPr>
              <w:adjustRightInd w:val="0"/>
              <w:snapToGrid w:val="0"/>
              <w:spacing w:line="240" w:lineRule="auto"/>
              <w:ind w:firstLine="0" w:firstLineChars="0"/>
              <w:jc w:val="left"/>
              <w:rPr>
                <w:rFonts w:cs="Times New Roman"/>
                <w:kern w:val="0"/>
                <w:sz w:val="21"/>
                <w:szCs w:val="21"/>
              </w:rPr>
            </w:pPr>
            <w:r>
              <w:rPr>
                <w:rFonts w:cs="Times New Roman"/>
                <w:sz w:val="21"/>
                <w:szCs w:val="21"/>
              </w:rPr>
              <w:t>符合要求</w:t>
            </w:r>
          </w:p>
        </w:tc>
      </w:tr>
      <w:tr w14:paraId="11CBE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2F9812E6">
            <w:pPr>
              <w:adjustRightInd w:val="0"/>
              <w:spacing w:line="240" w:lineRule="auto"/>
              <w:ind w:firstLine="0" w:firstLineChars="0"/>
              <w:jc w:val="center"/>
              <w:rPr>
                <w:rFonts w:cs="Times New Roman"/>
                <w:sz w:val="21"/>
                <w:szCs w:val="21"/>
              </w:rPr>
            </w:pPr>
            <w:r>
              <w:rPr>
                <w:rFonts w:cs="Times New Roman"/>
                <w:sz w:val="21"/>
                <w:szCs w:val="21"/>
              </w:rPr>
              <w:t>7</w:t>
            </w:r>
          </w:p>
        </w:tc>
        <w:tc>
          <w:tcPr>
            <w:tcW w:w="1430" w:type="pct"/>
            <w:tcBorders>
              <w:top w:val="single" w:color="auto" w:sz="4" w:space="0"/>
              <w:left w:val="single" w:color="auto" w:sz="4" w:space="0"/>
              <w:bottom w:val="single" w:color="auto" w:sz="4" w:space="0"/>
              <w:right w:val="single" w:color="auto" w:sz="4" w:space="0"/>
            </w:tcBorders>
            <w:vAlign w:val="center"/>
          </w:tcPr>
          <w:p w14:paraId="7819C549">
            <w:pPr>
              <w:adjustRightInd w:val="0"/>
              <w:snapToGrid w:val="0"/>
              <w:spacing w:line="240" w:lineRule="auto"/>
              <w:ind w:firstLine="0" w:firstLineChars="0"/>
              <w:rPr>
                <w:rFonts w:cs="Times New Roman"/>
                <w:kern w:val="0"/>
                <w:sz w:val="21"/>
                <w:szCs w:val="21"/>
              </w:rPr>
            </w:pPr>
            <w:r>
              <w:rPr>
                <w:rFonts w:cs="Times New Roman"/>
                <w:kern w:val="0"/>
                <w:sz w:val="21"/>
                <w:szCs w:val="21"/>
              </w:rPr>
              <w:t>提升人员的罐笼提升系统应符合下列规定：同一层罐笼不应同时升降人员和物料。</w:t>
            </w:r>
          </w:p>
        </w:tc>
        <w:tc>
          <w:tcPr>
            <w:tcW w:w="1144" w:type="pct"/>
            <w:tcBorders>
              <w:top w:val="single" w:color="auto" w:sz="4" w:space="0"/>
              <w:left w:val="single" w:color="auto" w:sz="4" w:space="0"/>
              <w:bottom w:val="single" w:color="auto" w:sz="4" w:space="0"/>
              <w:right w:val="single" w:color="auto" w:sz="4" w:space="0"/>
            </w:tcBorders>
            <w:vAlign w:val="center"/>
          </w:tcPr>
          <w:p w14:paraId="0FB28985">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4F525A81">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566E0A1">
            <w:pPr>
              <w:adjustRightInd w:val="0"/>
              <w:snapToGrid w:val="0"/>
              <w:spacing w:line="240" w:lineRule="auto"/>
              <w:ind w:firstLine="0" w:firstLineChars="0"/>
              <w:jc w:val="center"/>
              <w:rPr>
                <w:rFonts w:cs="Times New Roman"/>
                <w:kern w:val="0"/>
                <w:sz w:val="21"/>
                <w:szCs w:val="21"/>
              </w:rPr>
            </w:pPr>
            <w:r>
              <w:rPr>
                <w:rFonts w:cs="Times New Roman"/>
                <w:sz w:val="21"/>
                <w:szCs w:val="21"/>
              </w:rPr>
              <w:t>第</w:t>
            </w:r>
            <w:r>
              <w:rPr>
                <w:rFonts w:cs="Times New Roman"/>
                <w:kern w:val="0"/>
                <w:sz w:val="21"/>
                <w:szCs w:val="21"/>
              </w:rPr>
              <w:t>6.4.4.19条</w:t>
            </w:r>
          </w:p>
        </w:tc>
        <w:tc>
          <w:tcPr>
            <w:tcW w:w="1658" w:type="pct"/>
            <w:tcBorders>
              <w:top w:val="single" w:color="auto" w:sz="4" w:space="0"/>
              <w:left w:val="single" w:color="auto" w:sz="4" w:space="0"/>
              <w:bottom w:val="single" w:color="auto" w:sz="4" w:space="0"/>
              <w:right w:val="single" w:color="auto" w:sz="4" w:space="0"/>
            </w:tcBorders>
            <w:vAlign w:val="center"/>
          </w:tcPr>
          <w:p w14:paraId="76C44B30">
            <w:pPr>
              <w:adjustRightInd w:val="0"/>
              <w:spacing w:line="240" w:lineRule="auto"/>
              <w:ind w:firstLine="0" w:firstLineChars="0"/>
              <w:rPr>
                <w:rFonts w:cs="Times New Roman"/>
                <w:kern w:val="0"/>
                <w:sz w:val="21"/>
                <w:szCs w:val="21"/>
              </w:rPr>
            </w:pPr>
            <w:r>
              <w:rPr>
                <w:rFonts w:hint="eastAsia" w:cs="Times New Roman"/>
                <w:kern w:val="0"/>
                <w:sz w:val="21"/>
                <w:szCs w:val="21"/>
              </w:rPr>
              <w:t>副井</w:t>
            </w:r>
            <w:r>
              <w:rPr>
                <w:rFonts w:cs="Times New Roman"/>
                <w:kern w:val="0"/>
                <w:sz w:val="21"/>
                <w:szCs w:val="21"/>
              </w:rPr>
              <w:t>同一层罐笼不同时升降人员和物料。</w:t>
            </w:r>
          </w:p>
        </w:tc>
        <w:tc>
          <w:tcPr>
            <w:tcW w:w="406" w:type="pct"/>
            <w:tcBorders>
              <w:top w:val="single" w:color="auto" w:sz="4" w:space="0"/>
              <w:left w:val="single" w:color="auto" w:sz="4" w:space="0"/>
              <w:bottom w:val="single" w:color="auto" w:sz="4" w:space="0"/>
              <w:right w:val="single" w:color="auto" w:sz="4" w:space="0"/>
            </w:tcBorders>
            <w:vAlign w:val="center"/>
          </w:tcPr>
          <w:p w14:paraId="6385744F">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3445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7995648">
            <w:pPr>
              <w:adjustRightInd w:val="0"/>
              <w:spacing w:line="240" w:lineRule="auto"/>
              <w:ind w:firstLine="0" w:firstLineChars="0"/>
              <w:jc w:val="center"/>
              <w:rPr>
                <w:rFonts w:cs="Times New Roman"/>
                <w:sz w:val="21"/>
                <w:szCs w:val="21"/>
              </w:rPr>
            </w:pPr>
            <w:r>
              <w:rPr>
                <w:rFonts w:cs="Times New Roman"/>
                <w:sz w:val="21"/>
                <w:szCs w:val="21"/>
              </w:rPr>
              <w:t>8</w:t>
            </w:r>
          </w:p>
        </w:tc>
        <w:tc>
          <w:tcPr>
            <w:tcW w:w="1430" w:type="pct"/>
            <w:tcBorders>
              <w:top w:val="single" w:color="auto" w:sz="4" w:space="0"/>
              <w:left w:val="single" w:color="auto" w:sz="4" w:space="0"/>
              <w:bottom w:val="single" w:color="auto" w:sz="4" w:space="0"/>
              <w:right w:val="single" w:color="auto" w:sz="4" w:space="0"/>
            </w:tcBorders>
            <w:vAlign w:val="center"/>
          </w:tcPr>
          <w:p w14:paraId="308FE8BD">
            <w:pPr>
              <w:adjustRightInd w:val="0"/>
              <w:snapToGrid w:val="0"/>
              <w:spacing w:line="240" w:lineRule="auto"/>
              <w:ind w:firstLine="0" w:firstLineChars="0"/>
              <w:rPr>
                <w:rFonts w:cs="Times New Roman"/>
                <w:sz w:val="21"/>
                <w:szCs w:val="21"/>
              </w:rPr>
            </w:pPr>
            <w:r>
              <w:rPr>
                <w:rFonts w:cs="Times New Roman"/>
                <w:sz w:val="21"/>
                <w:szCs w:val="21"/>
              </w:rPr>
              <w:t>摩擦式提升系统应符合下列规定：井底应设尾绳隔离装置。</w:t>
            </w:r>
          </w:p>
        </w:tc>
        <w:tc>
          <w:tcPr>
            <w:tcW w:w="1144" w:type="pct"/>
            <w:tcBorders>
              <w:top w:val="single" w:color="auto" w:sz="4" w:space="0"/>
              <w:left w:val="single" w:color="auto" w:sz="4" w:space="0"/>
              <w:bottom w:val="single" w:color="auto" w:sz="4" w:space="0"/>
              <w:right w:val="single" w:color="auto" w:sz="4" w:space="0"/>
            </w:tcBorders>
            <w:vAlign w:val="center"/>
          </w:tcPr>
          <w:p w14:paraId="12373AE5">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6BDB1252">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38D0FD5">
            <w:pPr>
              <w:adjustRightInd w:val="0"/>
              <w:snapToGrid w:val="0"/>
              <w:spacing w:line="240" w:lineRule="auto"/>
              <w:ind w:firstLine="0" w:firstLineChars="0"/>
              <w:jc w:val="center"/>
              <w:rPr>
                <w:rFonts w:cs="Times New Roman"/>
                <w:sz w:val="21"/>
                <w:szCs w:val="21"/>
              </w:rPr>
            </w:pPr>
            <w:r>
              <w:rPr>
                <w:rFonts w:cs="Times New Roman"/>
                <w:sz w:val="21"/>
                <w:szCs w:val="21"/>
              </w:rPr>
              <w:t>第6.4.4.13条</w:t>
            </w:r>
          </w:p>
        </w:tc>
        <w:tc>
          <w:tcPr>
            <w:tcW w:w="1658" w:type="pct"/>
            <w:tcBorders>
              <w:top w:val="single" w:color="auto" w:sz="4" w:space="0"/>
              <w:left w:val="single" w:color="auto" w:sz="4" w:space="0"/>
              <w:bottom w:val="single" w:color="auto" w:sz="4" w:space="0"/>
              <w:right w:val="single" w:color="auto" w:sz="4" w:space="0"/>
            </w:tcBorders>
            <w:vAlign w:val="center"/>
          </w:tcPr>
          <w:p w14:paraId="25A52018">
            <w:pPr>
              <w:adjustRightInd w:val="0"/>
              <w:spacing w:line="240" w:lineRule="auto"/>
              <w:ind w:firstLine="0" w:firstLineChars="0"/>
              <w:rPr>
                <w:rFonts w:cs="Times New Roman"/>
                <w:kern w:val="0"/>
                <w:sz w:val="21"/>
                <w:szCs w:val="21"/>
              </w:rPr>
            </w:pPr>
            <w:r>
              <w:rPr>
                <w:rFonts w:cs="Times New Roman"/>
                <w:sz w:val="21"/>
                <w:szCs w:val="21"/>
              </w:rPr>
              <w:t>竖井井底设尾绳隔离装置</w:t>
            </w:r>
            <w:r>
              <w:rPr>
                <w:rFonts w:cs="Times New Roman"/>
                <w:kern w:val="0"/>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14:paraId="4ACCF7A8">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7D652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48F86C72">
            <w:pPr>
              <w:adjustRightInd w:val="0"/>
              <w:spacing w:line="240" w:lineRule="auto"/>
              <w:ind w:firstLine="0" w:firstLineChars="0"/>
              <w:jc w:val="center"/>
              <w:rPr>
                <w:rFonts w:cs="Times New Roman"/>
                <w:sz w:val="21"/>
                <w:szCs w:val="21"/>
              </w:rPr>
            </w:pPr>
            <w:r>
              <w:rPr>
                <w:rFonts w:hint="eastAsia" w:cs="Times New Roman"/>
                <w:sz w:val="21"/>
                <w:szCs w:val="21"/>
              </w:rPr>
              <w:t>胶带斜井</w:t>
            </w:r>
          </w:p>
        </w:tc>
      </w:tr>
      <w:tr w14:paraId="5F46B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24BF416">
            <w:pPr>
              <w:adjustRightInd w:val="0"/>
              <w:spacing w:line="240" w:lineRule="auto"/>
              <w:ind w:firstLine="0" w:firstLineChars="0"/>
              <w:jc w:val="center"/>
              <w:rPr>
                <w:rFonts w:cs="Times New Roman"/>
                <w:sz w:val="21"/>
                <w:szCs w:val="21"/>
              </w:rPr>
            </w:pPr>
            <w:r>
              <w:rPr>
                <w:rFonts w:hint="eastAsia" w:cs="Times New Roman"/>
                <w:sz w:val="21"/>
                <w:szCs w:val="21"/>
              </w:rPr>
              <w:t>1</w:t>
            </w:r>
          </w:p>
        </w:tc>
        <w:tc>
          <w:tcPr>
            <w:tcW w:w="1430" w:type="pct"/>
            <w:tcBorders>
              <w:top w:val="single" w:color="auto" w:sz="4" w:space="0"/>
              <w:left w:val="single" w:color="auto" w:sz="4" w:space="0"/>
              <w:bottom w:val="single" w:color="auto" w:sz="4" w:space="0"/>
              <w:right w:val="single" w:color="auto" w:sz="4" w:space="0"/>
            </w:tcBorders>
            <w:vAlign w:val="center"/>
          </w:tcPr>
          <w:p w14:paraId="46DFD8F7">
            <w:pPr>
              <w:adjustRightInd w:val="0"/>
              <w:snapToGrid w:val="0"/>
              <w:spacing w:line="240" w:lineRule="auto"/>
              <w:ind w:firstLine="0" w:firstLineChars="0"/>
              <w:rPr>
                <w:rFonts w:cs="Times New Roman"/>
                <w:sz w:val="21"/>
                <w:szCs w:val="21"/>
              </w:rPr>
            </w:pPr>
            <w:r>
              <w:rPr>
                <w:rFonts w:hint="eastAsia" w:cs="Times New Roman"/>
                <w:sz w:val="21"/>
                <w:szCs w:val="21"/>
              </w:rPr>
              <w:t>井下带式输送机应采用阻燃型输送带。</w:t>
            </w:r>
          </w:p>
        </w:tc>
        <w:tc>
          <w:tcPr>
            <w:tcW w:w="1144" w:type="pct"/>
            <w:tcBorders>
              <w:top w:val="single" w:color="auto" w:sz="4" w:space="0"/>
              <w:left w:val="single" w:color="auto" w:sz="4" w:space="0"/>
              <w:bottom w:val="single" w:color="auto" w:sz="4" w:space="0"/>
              <w:right w:val="single" w:color="auto" w:sz="4" w:space="0"/>
            </w:tcBorders>
            <w:vAlign w:val="center"/>
          </w:tcPr>
          <w:p w14:paraId="09369A7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0ED1192F">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49367EE">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6.4.3.1</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7606D406">
            <w:pPr>
              <w:adjustRightInd w:val="0"/>
              <w:spacing w:line="240" w:lineRule="auto"/>
              <w:ind w:firstLine="0" w:firstLineChars="0"/>
              <w:rPr>
                <w:rFonts w:cs="Times New Roman"/>
                <w:sz w:val="21"/>
                <w:szCs w:val="21"/>
              </w:rPr>
            </w:pPr>
            <w:r>
              <w:rPr>
                <w:rFonts w:hint="eastAsia" w:cs="Times New Roman"/>
                <w:sz w:val="21"/>
                <w:szCs w:val="21"/>
              </w:rPr>
              <w:t>选用</w:t>
            </w:r>
            <w:r>
              <w:rPr>
                <w:rFonts w:cs="Times New Roman"/>
                <w:sz w:val="21"/>
                <w:szCs w:val="21"/>
              </w:rPr>
              <w:t>ST2500</w:t>
            </w:r>
            <w:r>
              <w:rPr>
                <w:rFonts w:hint="eastAsia" w:cs="Times New Roman"/>
                <w:sz w:val="21"/>
                <w:szCs w:val="21"/>
              </w:rPr>
              <w:t>钢丝绳芯阻燃输送带。</w:t>
            </w:r>
          </w:p>
        </w:tc>
        <w:tc>
          <w:tcPr>
            <w:tcW w:w="406" w:type="pct"/>
            <w:tcBorders>
              <w:top w:val="single" w:color="auto" w:sz="4" w:space="0"/>
              <w:left w:val="single" w:color="auto" w:sz="4" w:space="0"/>
              <w:bottom w:val="single" w:color="auto" w:sz="4" w:space="0"/>
              <w:right w:val="single" w:color="auto" w:sz="4" w:space="0"/>
            </w:tcBorders>
            <w:vAlign w:val="center"/>
          </w:tcPr>
          <w:p w14:paraId="7F00DDB7">
            <w:pPr>
              <w:adjustRightInd w:val="0"/>
              <w:spacing w:line="240" w:lineRule="auto"/>
              <w:ind w:firstLine="0" w:firstLineChars="0"/>
              <w:jc w:val="center"/>
              <w:rPr>
                <w:rFonts w:cs="Times New Roman"/>
                <w:sz w:val="21"/>
                <w:szCs w:val="21"/>
              </w:rPr>
            </w:pPr>
            <w:r>
              <w:rPr>
                <w:rFonts w:hint="eastAsia" w:cs="Times New Roman"/>
                <w:sz w:val="21"/>
                <w:szCs w:val="21"/>
              </w:rPr>
              <w:t>符合要求</w:t>
            </w:r>
          </w:p>
        </w:tc>
      </w:tr>
      <w:tr w14:paraId="4200C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71EC5E7">
            <w:pPr>
              <w:adjustRightInd w:val="0"/>
              <w:spacing w:line="240" w:lineRule="auto"/>
              <w:ind w:firstLine="0" w:firstLineChars="0"/>
              <w:jc w:val="center"/>
              <w:rPr>
                <w:rFonts w:cs="Times New Roman"/>
                <w:sz w:val="21"/>
                <w:szCs w:val="21"/>
              </w:rPr>
            </w:pPr>
            <w:r>
              <w:rPr>
                <w:rFonts w:hint="eastAsia" w:cs="Times New Roman"/>
                <w:sz w:val="21"/>
                <w:szCs w:val="21"/>
              </w:rPr>
              <w:t>2</w:t>
            </w:r>
          </w:p>
        </w:tc>
        <w:tc>
          <w:tcPr>
            <w:tcW w:w="1430" w:type="pct"/>
            <w:tcBorders>
              <w:top w:val="single" w:color="auto" w:sz="4" w:space="0"/>
              <w:left w:val="single" w:color="auto" w:sz="4" w:space="0"/>
              <w:bottom w:val="single" w:color="auto" w:sz="4" w:space="0"/>
              <w:right w:val="single" w:color="auto" w:sz="4" w:space="0"/>
            </w:tcBorders>
            <w:vAlign w:val="center"/>
          </w:tcPr>
          <w:p w14:paraId="529B04DC">
            <w:pPr>
              <w:adjustRightInd w:val="0"/>
              <w:snapToGrid w:val="0"/>
              <w:spacing w:line="240" w:lineRule="auto"/>
              <w:ind w:firstLine="0" w:firstLineChars="0"/>
              <w:rPr>
                <w:rFonts w:cs="Times New Roman"/>
                <w:sz w:val="21"/>
                <w:szCs w:val="21"/>
              </w:rPr>
            </w:pPr>
            <w:r>
              <w:rPr>
                <w:rFonts w:hint="eastAsia" w:cs="Times New Roman"/>
                <w:sz w:val="21"/>
                <w:szCs w:val="21"/>
              </w:rPr>
              <w:t>钢丝绳芯输送带静荷载安全系数不小于7；棉织物芯输送带静载荷安全系数不小于8；其他织物芯输送带静载荷安全系数不小于10。</w:t>
            </w:r>
          </w:p>
        </w:tc>
        <w:tc>
          <w:tcPr>
            <w:tcW w:w="1144" w:type="pct"/>
            <w:tcBorders>
              <w:top w:val="single" w:color="auto" w:sz="4" w:space="0"/>
              <w:left w:val="single" w:color="auto" w:sz="4" w:space="0"/>
              <w:bottom w:val="single" w:color="auto" w:sz="4" w:space="0"/>
              <w:right w:val="single" w:color="auto" w:sz="4" w:space="0"/>
            </w:tcBorders>
            <w:vAlign w:val="center"/>
          </w:tcPr>
          <w:p w14:paraId="07E45CBE">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5EC6A5FC">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01652E0">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6.4.3.2</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137624E2">
            <w:pPr>
              <w:adjustRightInd w:val="0"/>
              <w:spacing w:line="240" w:lineRule="auto"/>
              <w:ind w:firstLine="0" w:firstLineChars="0"/>
              <w:rPr>
                <w:rFonts w:cs="Times New Roman"/>
                <w:sz w:val="21"/>
                <w:szCs w:val="21"/>
              </w:rPr>
            </w:pPr>
            <w:r>
              <w:rPr>
                <w:rFonts w:hint="eastAsia" w:cs="Times New Roman"/>
                <w:sz w:val="21"/>
                <w:szCs w:val="21"/>
              </w:rPr>
              <w:t>K</w:t>
            </w:r>
            <w:r>
              <w:rPr>
                <w:rFonts w:cs="Times New Roman"/>
                <w:sz w:val="21"/>
                <w:szCs w:val="21"/>
              </w:rPr>
              <w:t>1</w:t>
            </w:r>
            <w:r>
              <w:rPr>
                <w:rFonts w:hint="eastAsia" w:cs="Times New Roman"/>
                <w:sz w:val="21"/>
                <w:szCs w:val="21"/>
              </w:rPr>
              <w:t>胶带安全系数为8</w:t>
            </w:r>
            <w:r>
              <w:rPr>
                <w:rFonts w:cs="Times New Roman"/>
                <w:sz w:val="21"/>
                <w:szCs w:val="21"/>
              </w:rPr>
              <w:t>.72</w:t>
            </w:r>
            <w:r>
              <w:rPr>
                <w:rFonts w:hint="eastAsia" w:cs="Times New Roman"/>
                <w:sz w:val="21"/>
                <w:szCs w:val="21"/>
              </w:rPr>
              <w:t>，K</w:t>
            </w:r>
            <w:r>
              <w:rPr>
                <w:rFonts w:cs="Times New Roman"/>
                <w:sz w:val="21"/>
                <w:szCs w:val="21"/>
              </w:rPr>
              <w:t>2</w:t>
            </w:r>
            <w:r>
              <w:rPr>
                <w:rFonts w:hint="eastAsia" w:cs="Times New Roman"/>
                <w:sz w:val="21"/>
                <w:szCs w:val="21"/>
              </w:rPr>
              <w:t>胶带安全系数为7</w:t>
            </w:r>
            <w:r>
              <w:rPr>
                <w:rFonts w:cs="Times New Roman"/>
                <w:sz w:val="21"/>
                <w:szCs w:val="21"/>
              </w:rPr>
              <w:t>.82</w:t>
            </w:r>
            <w:r>
              <w:rPr>
                <w:rFonts w:hint="eastAsia" w:cs="Times New Roman"/>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14:paraId="3671ACD9">
            <w:pPr>
              <w:adjustRightInd w:val="0"/>
              <w:spacing w:line="240" w:lineRule="auto"/>
              <w:ind w:firstLine="0" w:firstLineChars="0"/>
              <w:jc w:val="center"/>
              <w:rPr>
                <w:rFonts w:cs="Times New Roman"/>
                <w:sz w:val="21"/>
                <w:szCs w:val="21"/>
              </w:rPr>
            </w:pPr>
            <w:r>
              <w:rPr>
                <w:rFonts w:hint="eastAsia" w:cs="Times New Roman"/>
                <w:sz w:val="21"/>
                <w:szCs w:val="21"/>
              </w:rPr>
              <w:t>符合要求</w:t>
            </w:r>
          </w:p>
        </w:tc>
      </w:tr>
      <w:tr w14:paraId="1D43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B47955E">
            <w:pPr>
              <w:adjustRightInd w:val="0"/>
              <w:spacing w:line="240" w:lineRule="auto"/>
              <w:ind w:firstLine="0" w:firstLineChars="0"/>
              <w:jc w:val="center"/>
              <w:rPr>
                <w:rFonts w:cs="Times New Roman"/>
                <w:sz w:val="21"/>
                <w:szCs w:val="21"/>
              </w:rPr>
            </w:pPr>
            <w:r>
              <w:rPr>
                <w:rFonts w:hint="eastAsia" w:cs="Times New Roman"/>
                <w:sz w:val="21"/>
                <w:szCs w:val="21"/>
              </w:rPr>
              <w:t>3</w:t>
            </w:r>
          </w:p>
        </w:tc>
        <w:tc>
          <w:tcPr>
            <w:tcW w:w="1430" w:type="pct"/>
            <w:tcBorders>
              <w:top w:val="single" w:color="auto" w:sz="4" w:space="0"/>
              <w:left w:val="single" w:color="auto" w:sz="4" w:space="0"/>
              <w:bottom w:val="single" w:color="auto" w:sz="4" w:space="0"/>
              <w:right w:val="single" w:color="auto" w:sz="4" w:space="0"/>
            </w:tcBorders>
            <w:vAlign w:val="center"/>
          </w:tcPr>
          <w:p w14:paraId="19204D29">
            <w:pPr>
              <w:adjustRightInd w:val="0"/>
              <w:snapToGrid w:val="0"/>
              <w:spacing w:line="240" w:lineRule="auto"/>
              <w:ind w:firstLine="0" w:firstLineChars="0"/>
              <w:rPr>
                <w:rFonts w:cs="Times New Roman"/>
                <w:sz w:val="21"/>
                <w:szCs w:val="21"/>
              </w:rPr>
            </w:pPr>
            <w:r>
              <w:rPr>
                <w:rFonts w:hint="eastAsia" w:cs="Times New Roman"/>
                <w:sz w:val="21"/>
                <w:szCs w:val="21"/>
              </w:rPr>
              <w:t>使用带式输送机应遵守下列规定：</w:t>
            </w:r>
          </w:p>
          <w:p w14:paraId="073CCF5A">
            <w:pPr>
              <w:adjustRightInd w:val="0"/>
              <w:snapToGrid w:val="0"/>
              <w:spacing w:line="240" w:lineRule="auto"/>
              <w:ind w:firstLine="0" w:firstLineChars="0"/>
              <w:rPr>
                <w:rFonts w:cs="Times New Roman"/>
                <w:sz w:val="21"/>
                <w:szCs w:val="21"/>
              </w:rPr>
            </w:pPr>
            <w:r>
              <w:rPr>
                <w:rFonts w:hint="eastAsia" w:cs="Times New Roman"/>
                <w:sz w:val="21"/>
                <w:szCs w:val="21"/>
              </w:rPr>
              <w:t>——物料不应从输送带上向下滚落；</w:t>
            </w:r>
          </w:p>
          <w:p w14:paraId="42EB5EAD">
            <w:pPr>
              <w:adjustRightInd w:val="0"/>
              <w:snapToGrid w:val="0"/>
              <w:spacing w:line="240" w:lineRule="auto"/>
              <w:ind w:firstLine="0" w:firstLineChars="0"/>
              <w:rPr>
                <w:rFonts w:cs="Times New Roman"/>
                <w:sz w:val="21"/>
                <w:szCs w:val="21"/>
              </w:rPr>
            </w:pPr>
            <w:r>
              <w:rPr>
                <w:rFonts w:hint="eastAsia" w:cs="Times New Roman"/>
                <w:sz w:val="21"/>
                <w:szCs w:val="21"/>
              </w:rPr>
              <w:t>——带式输送机倾角：向上不大于15°，向下不大于12°；大倾角输送机不受此限；</w:t>
            </w:r>
          </w:p>
          <w:p w14:paraId="5A9BE86A">
            <w:pPr>
              <w:adjustRightInd w:val="0"/>
              <w:snapToGrid w:val="0"/>
              <w:spacing w:line="240" w:lineRule="auto"/>
              <w:ind w:firstLine="0" w:firstLineChars="0"/>
              <w:rPr>
                <w:rFonts w:cs="Times New Roman"/>
                <w:sz w:val="21"/>
                <w:szCs w:val="21"/>
              </w:rPr>
            </w:pPr>
            <w:r>
              <w:rPr>
                <w:rFonts w:hint="eastAsia" w:cs="Times New Roman"/>
                <w:sz w:val="21"/>
                <w:szCs w:val="21"/>
              </w:rPr>
              <w:t>——任何人员均不应搭乘非载人带式输送机；</w:t>
            </w:r>
          </w:p>
          <w:p w14:paraId="2A3014FC">
            <w:pPr>
              <w:adjustRightInd w:val="0"/>
              <w:snapToGrid w:val="0"/>
              <w:spacing w:line="240" w:lineRule="auto"/>
              <w:ind w:firstLine="0" w:firstLineChars="0"/>
              <w:rPr>
                <w:rFonts w:cs="Times New Roman"/>
                <w:sz w:val="21"/>
                <w:szCs w:val="21"/>
              </w:rPr>
            </w:pPr>
            <w:r>
              <w:rPr>
                <w:rFonts w:hint="eastAsia" w:cs="Times New Roman"/>
                <w:sz w:val="21"/>
                <w:szCs w:val="21"/>
              </w:rPr>
              <w:t>——跨越输送机的地点应设置带有安全栏杆的跨越桥；</w:t>
            </w:r>
          </w:p>
          <w:p w14:paraId="11A1BF4C">
            <w:pPr>
              <w:adjustRightInd w:val="0"/>
              <w:snapToGrid w:val="0"/>
              <w:spacing w:line="240" w:lineRule="auto"/>
              <w:ind w:firstLine="0" w:firstLineChars="0"/>
              <w:rPr>
                <w:rFonts w:cs="Times New Roman"/>
                <w:sz w:val="21"/>
                <w:szCs w:val="21"/>
              </w:rPr>
            </w:pPr>
            <w:r>
              <w:rPr>
                <w:rFonts w:hint="eastAsia" w:cs="Times New Roman"/>
                <w:sz w:val="21"/>
                <w:szCs w:val="21"/>
              </w:rPr>
              <w:t>——清除附着在输送带、滚筒和托辊上的物料，应停车进行；</w:t>
            </w:r>
          </w:p>
          <w:p w14:paraId="05347F7C">
            <w:pPr>
              <w:adjustRightInd w:val="0"/>
              <w:snapToGrid w:val="0"/>
              <w:spacing w:line="240" w:lineRule="auto"/>
              <w:ind w:firstLine="0" w:firstLineChars="0"/>
              <w:rPr>
                <w:rFonts w:cs="Times New Roman"/>
                <w:sz w:val="21"/>
                <w:szCs w:val="21"/>
              </w:rPr>
            </w:pPr>
            <w:r>
              <w:rPr>
                <w:rFonts w:hint="eastAsia" w:cs="Times New Roman"/>
                <w:sz w:val="21"/>
                <w:szCs w:val="21"/>
              </w:rPr>
              <w:t>——不应在运行的输送带下清理物料；</w:t>
            </w:r>
          </w:p>
          <w:p w14:paraId="4A0B665A">
            <w:pPr>
              <w:adjustRightInd w:val="0"/>
              <w:snapToGrid w:val="0"/>
              <w:spacing w:line="240" w:lineRule="auto"/>
              <w:ind w:firstLine="0" w:firstLineChars="0"/>
              <w:rPr>
                <w:rFonts w:cs="Times New Roman"/>
                <w:sz w:val="21"/>
                <w:szCs w:val="21"/>
              </w:rPr>
            </w:pPr>
            <w:r>
              <w:rPr>
                <w:rFonts w:hint="eastAsia" w:cs="Times New Roman"/>
                <w:sz w:val="21"/>
                <w:szCs w:val="21"/>
              </w:rPr>
              <w:t>——输送机运转时不应进行注油、检查和修理等工作；</w:t>
            </w:r>
          </w:p>
          <w:p w14:paraId="643A20CC">
            <w:pPr>
              <w:adjustRightInd w:val="0"/>
              <w:snapToGrid w:val="0"/>
              <w:spacing w:line="240" w:lineRule="auto"/>
              <w:ind w:firstLine="0" w:firstLineChars="0"/>
              <w:rPr>
                <w:rFonts w:cs="Times New Roman"/>
                <w:sz w:val="21"/>
                <w:szCs w:val="21"/>
              </w:rPr>
            </w:pPr>
            <w:r>
              <w:rPr>
                <w:rFonts w:hint="eastAsia" w:cs="Times New Roman"/>
                <w:sz w:val="21"/>
                <w:szCs w:val="21"/>
              </w:rPr>
              <w:t>——维修或者更换备件时，应停车并切断电源，并由专人监护不许送电。</w:t>
            </w:r>
          </w:p>
        </w:tc>
        <w:tc>
          <w:tcPr>
            <w:tcW w:w="1144" w:type="pct"/>
            <w:tcBorders>
              <w:top w:val="single" w:color="auto" w:sz="4" w:space="0"/>
              <w:left w:val="single" w:color="auto" w:sz="4" w:space="0"/>
              <w:bottom w:val="single" w:color="auto" w:sz="4" w:space="0"/>
              <w:right w:val="single" w:color="auto" w:sz="4" w:space="0"/>
            </w:tcBorders>
            <w:vAlign w:val="center"/>
          </w:tcPr>
          <w:p w14:paraId="052D5CA2">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847673A">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509104C">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6.4.3.4</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67C2F372">
            <w:pPr>
              <w:adjustRightInd w:val="0"/>
              <w:spacing w:line="240" w:lineRule="auto"/>
              <w:ind w:firstLine="0" w:firstLineChars="0"/>
              <w:rPr>
                <w:rFonts w:cs="Times New Roman"/>
                <w:sz w:val="21"/>
                <w:szCs w:val="21"/>
              </w:rPr>
            </w:pPr>
            <w:r>
              <w:rPr>
                <w:rFonts w:hint="eastAsia" w:cs="Times New Roman"/>
                <w:sz w:val="21"/>
                <w:szCs w:val="21"/>
              </w:rPr>
              <w:t>K</w:t>
            </w:r>
            <w:r>
              <w:rPr>
                <w:rFonts w:cs="Times New Roman"/>
                <w:sz w:val="21"/>
                <w:szCs w:val="21"/>
              </w:rPr>
              <w:t>1</w:t>
            </w:r>
            <w:r>
              <w:rPr>
                <w:rFonts w:hint="eastAsia" w:cs="Times New Roman"/>
                <w:sz w:val="21"/>
                <w:szCs w:val="21"/>
              </w:rPr>
              <w:t>胶带倾角1</w:t>
            </w:r>
            <w:r>
              <w:rPr>
                <w:rFonts w:cs="Times New Roman"/>
                <w:sz w:val="21"/>
                <w:szCs w:val="21"/>
              </w:rPr>
              <w:t>3.848</w:t>
            </w:r>
            <w:r>
              <w:rPr>
                <w:rFonts w:hint="eastAsia" w:cs="Times New Roman"/>
                <w:sz w:val="21"/>
                <w:szCs w:val="21"/>
              </w:rPr>
              <w:t>°，K</w:t>
            </w:r>
            <w:r>
              <w:rPr>
                <w:rFonts w:cs="Times New Roman"/>
                <w:sz w:val="21"/>
                <w:szCs w:val="21"/>
              </w:rPr>
              <w:t>2</w:t>
            </w:r>
            <w:r>
              <w:rPr>
                <w:rFonts w:hint="eastAsia" w:cs="Times New Roman"/>
                <w:sz w:val="21"/>
                <w:szCs w:val="21"/>
              </w:rPr>
              <w:t>胶带倾角1</w:t>
            </w:r>
            <w:r>
              <w:rPr>
                <w:rFonts w:cs="Times New Roman"/>
                <w:sz w:val="21"/>
                <w:szCs w:val="21"/>
              </w:rPr>
              <w:t>2.853</w:t>
            </w:r>
            <w:r>
              <w:rPr>
                <w:rFonts w:hint="eastAsia" w:cs="Times New Roman"/>
                <w:sz w:val="21"/>
                <w:szCs w:val="21"/>
              </w:rPr>
              <w:t>°；其他要求可研未提及。</w:t>
            </w:r>
          </w:p>
        </w:tc>
        <w:tc>
          <w:tcPr>
            <w:tcW w:w="406" w:type="pct"/>
            <w:tcBorders>
              <w:top w:val="single" w:color="auto" w:sz="4" w:space="0"/>
              <w:left w:val="single" w:color="auto" w:sz="4" w:space="0"/>
              <w:bottom w:val="single" w:color="auto" w:sz="4" w:space="0"/>
              <w:right w:val="single" w:color="auto" w:sz="4" w:space="0"/>
            </w:tcBorders>
            <w:vAlign w:val="center"/>
          </w:tcPr>
          <w:p w14:paraId="3D025353">
            <w:pPr>
              <w:adjustRightInd w:val="0"/>
              <w:spacing w:line="240" w:lineRule="auto"/>
              <w:ind w:firstLine="0" w:firstLineChars="0"/>
              <w:jc w:val="center"/>
              <w:rPr>
                <w:rFonts w:cs="Times New Roman"/>
                <w:sz w:val="21"/>
                <w:szCs w:val="21"/>
              </w:rPr>
            </w:pPr>
            <w:r>
              <w:rPr>
                <w:rFonts w:hint="eastAsia" w:cs="Times New Roman"/>
                <w:sz w:val="21"/>
                <w:szCs w:val="21"/>
              </w:rPr>
              <w:t>下阶段设计中需完</w:t>
            </w:r>
          </w:p>
        </w:tc>
      </w:tr>
      <w:tr w14:paraId="3968E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7F1A74A8">
            <w:pPr>
              <w:adjustRightInd w:val="0"/>
              <w:spacing w:line="240" w:lineRule="auto"/>
              <w:ind w:firstLine="0" w:firstLineChars="0"/>
              <w:jc w:val="center"/>
              <w:rPr>
                <w:rFonts w:cs="Times New Roman"/>
                <w:sz w:val="21"/>
                <w:szCs w:val="21"/>
              </w:rPr>
            </w:pPr>
            <w:r>
              <w:rPr>
                <w:rFonts w:hint="eastAsia" w:cs="Times New Roman"/>
                <w:sz w:val="21"/>
                <w:szCs w:val="21"/>
              </w:rPr>
              <w:t>4</w:t>
            </w:r>
          </w:p>
        </w:tc>
        <w:tc>
          <w:tcPr>
            <w:tcW w:w="1430" w:type="pct"/>
            <w:tcBorders>
              <w:top w:val="single" w:color="auto" w:sz="4" w:space="0"/>
              <w:left w:val="single" w:color="auto" w:sz="4" w:space="0"/>
              <w:bottom w:val="single" w:color="auto" w:sz="4" w:space="0"/>
              <w:right w:val="single" w:color="auto" w:sz="4" w:space="0"/>
            </w:tcBorders>
            <w:vAlign w:val="center"/>
          </w:tcPr>
          <w:p w14:paraId="7D43355E">
            <w:pPr>
              <w:adjustRightInd w:val="0"/>
              <w:snapToGrid w:val="0"/>
              <w:spacing w:line="240" w:lineRule="auto"/>
              <w:ind w:firstLine="0" w:firstLineChars="0"/>
              <w:rPr>
                <w:rFonts w:cs="Times New Roman"/>
                <w:sz w:val="21"/>
                <w:szCs w:val="21"/>
              </w:rPr>
            </w:pPr>
            <w:r>
              <w:rPr>
                <w:rFonts w:hint="eastAsia" w:cs="Times New Roman"/>
                <w:sz w:val="21"/>
                <w:szCs w:val="21"/>
              </w:rPr>
              <w:t>带式输送机应有下列安全保护装置：</w:t>
            </w:r>
          </w:p>
          <w:p w14:paraId="1663593A">
            <w:pPr>
              <w:adjustRightInd w:val="0"/>
              <w:snapToGrid w:val="0"/>
              <w:spacing w:line="240" w:lineRule="auto"/>
              <w:ind w:firstLine="0" w:firstLineChars="0"/>
              <w:rPr>
                <w:rFonts w:cs="Times New Roman"/>
                <w:sz w:val="21"/>
                <w:szCs w:val="21"/>
              </w:rPr>
            </w:pPr>
            <w:r>
              <w:rPr>
                <w:rFonts w:hint="eastAsia" w:cs="Times New Roman"/>
                <w:sz w:val="21"/>
                <w:szCs w:val="21"/>
              </w:rPr>
              <w:t>——装料点和卸料点设空仓、满仓等保护和报警装置，并与输送机联锁；</w:t>
            </w:r>
          </w:p>
          <w:p w14:paraId="7C62C621">
            <w:pPr>
              <w:adjustRightInd w:val="0"/>
              <w:snapToGrid w:val="0"/>
              <w:spacing w:line="240" w:lineRule="auto"/>
              <w:ind w:firstLine="0" w:firstLineChars="0"/>
              <w:rPr>
                <w:rFonts w:cs="Times New Roman"/>
                <w:sz w:val="21"/>
                <w:szCs w:val="21"/>
              </w:rPr>
            </w:pPr>
            <w:r>
              <w:rPr>
                <w:rFonts w:hint="eastAsia" w:cs="Times New Roman"/>
                <w:sz w:val="21"/>
                <w:szCs w:val="21"/>
              </w:rPr>
              <w:t>——输送带清扫装置以及防大块冲击、防输送带跑偏等的保护装置；</w:t>
            </w:r>
          </w:p>
          <w:p w14:paraId="7457EBCD">
            <w:pPr>
              <w:adjustRightInd w:val="0"/>
              <w:snapToGrid w:val="0"/>
              <w:spacing w:line="240" w:lineRule="auto"/>
              <w:ind w:firstLine="0" w:firstLineChars="0"/>
              <w:rPr>
                <w:rFonts w:cs="Times New Roman"/>
                <w:sz w:val="21"/>
                <w:szCs w:val="21"/>
              </w:rPr>
            </w:pPr>
            <w:r>
              <w:rPr>
                <w:rFonts w:hint="eastAsia" w:cs="Times New Roman"/>
                <w:sz w:val="21"/>
                <w:szCs w:val="21"/>
              </w:rPr>
              <w:t>——紧急停车装置；</w:t>
            </w:r>
          </w:p>
          <w:p w14:paraId="34FA5A9A">
            <w:pPr>
              <w:adjustRightInd w:val="0"/>
              <w:snapToGrid w:val="0"/>
              <w:spacing w:line="240" w:lineRule="auto"/>
              <w:ind w:firstLine="0" w:firstLineChars="0"/>
              <w:rPr>
                <w:rFonts w:cs="Times New Roman"/>
                <w:sz w:val="21"/>
                <w:szCs w:val="21"/>
              </w:rPr>
            </w:pPr>
            <w:r>
              <w:rPr>
                <w:rFonts w:hint="eastAsia" w:cs="Times New Roman"/>
                <w:sz w:val="21"/>
                <w:szCs w:val="21"/>
              </w:rPr>
              <w:t>——制动装置。</w:t>
            </w:r>
          </w:p>
        </w:tc>
        <w:tc>
          <w:tcPr>
            <w:tcW w:w="1144" w:type="pct"/>
            <w:tcBorders>
              <w:top w:val="single" w:color="auto" w:sz="4" w:space="0"/>
              <w:left w:val="single" w:color="auto" w:sz="4" w:space="0"/>
              <w:bottom w:val="single" w:color="auto" w:sz="4" w:space="0"/>
              <w:right w:val="single" w:color="auto" w:sz="4" w:space="0"/>
            </w:tcBorders>
            <w:vAlign w:val="center"/>
          </w:tcPr>
          <w:p w14:paraId="0D8E9D38">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33227B7">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03728C4F">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6.4.3.5</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5C7D5551">
            <w:pPr>
              <w:adjustRightInd w:val="0"/>
              <w:spacing w:line="240" w:lineRule="auto"/>
              <w:ind w:firstLine="0" w:firstLineChars="0"/>
              <w:rPr>
                <w:rFonts w:cs="Times New Roman"/>
                <w:sz w:val="21"/>
                <w:szCs w:val="21"/>
              </w:rPr>
            </w:pPr>
            <w:r>
              <w:rPr>
                <w:rFonts w:hint="eastAsia" w:cs="Times New Roman"/>
                <w:sz w:val="21"/>
                <w:szCs w:val="21"/>
              </w:rPr>
              <w:t>可研未提及安全保护装置设置。</w:t>
            </w:r>
          </w:p>
        </w:tc>
        <w:tc>
          <w:tcPr>
            <w:tcW w:w="406" w:type="pct"/>
            <w:tcBorders>
              <w:top w:val="single" w:color="auto" w:sz="4" w:space="0"/>
              <w:left w:val="single" w:color="auto" w:sz="4" w:space="0"/>
              <w:bottom w:val="single" w:color="auto" w:sz="4" w:space="0"/>
              <w:right w:val="single" w:color="auto" w:sz="4" w:space="0"/>
            </w:tcBorders>
            <w:vAlign w:val="center"/>
          </w:tcPr>
          <w:p w14:paraId="4F3EDB1E">
            <w:pPr>
              <w:adjustRightInd w:val="0"/>
              <w:spacing w:line="240" w:lineRule="auto"/>
              <w:ind w:firstLine="0" w:firstLineChars="0"/>
              <w:jc w:val="left"/>
              <w:rPr>
                <w:rFonts w:cs="Times New Roman"/>
                <w:sz w:val="21"/>
                <w:szCs w:val="21"/>
              </w:rPr>
            </w:pPr>
            <w:r>
              <w:rPr>
                <w:rFonts w:hint="eastAsia" w:cs="Times New Roman"/>
                <w:sz w:val="21"/>
                <w:szCs w:val="21"/>
              </w:rPr>
              <w:t>下阶段设计中需完善</w:t>
            </w:r>
          </w:p>
        </w:tc>
      </w:tr>
      <w:tr w14:paraId="3A552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37A977AE">
            <w:pPr>
              <w:adjustRightInd w:val="0"/>
              <w:spacing w:line="240" w:lineRule="auto"/>
              <w:ind w:firstLine="0" w:firstLineChars="0"/>
              <w:jc w:val="center"/>
              <w:rPr>
                <w:rFonts w:cs="Times New Roman"/>
                <w:sz w:val="21"/>
                <w:szCs w:val="21"/>
              </w:rPr>
            </w:pPr>
            <w:r>
              <w:rPr>
                <w:rFonts w:hint="eastAsia" w:cs="Times New Roman"/>
                <w:sz w:val="21"/>
                <w:szCs w:val="21"/>
              </w:rPr>
              <w:t>5</w:t>
            </w:r>
          </w:p>
        </w:tc>
        <w:tc>
          <w:tcPr>
            <w:tcW w:w="1430" w:type="pct"/>
            <w:tcBorders>
              <w:top w:val="single" w:color="auto" w:sz="4" w:space="0"/>
              <w:left w:val="single" w:color="auto" w:sz="4" w:space="0"/>
              <w:bottom w:val="single" w:color="auto" w:sz="4" w:space="0"/>
              <w:right w:val="single" w:color="auto" w:sz="4" w:space="0"/>
            </w:tcBorders>
            <w:vAlign w:val="center"/>
          </w:tcPr>
          <w:p w14:paraId="426769B3">
            <w:pPr>
              <w:adjustRightInd w:val="0"/>
              <w:snapToGrid w:val="0"/>
              <w:spacing w:line="240" w:lineRule="auto"/>
              <w:ind w:firstLine="0" w:firstLineChars="0"/>
              <w:rPr>
                <w:rFonts w:cs="Times New Roman"/>
                <w:sz w:val="21"/>
                <w:szCs w:val="21"/>
              </w:rPr>
            </w:pPr>
            <w:r>
              <w:rPr>
                <w:rFonts w:hint="eastAsia" w:cs="Times New Roman"/>
                <w:sz w:val="21"/>
                <w:szCs w:val="21"/>
              </w:rPr>
              <w:t>长度超过400m的带式输送机应设下列保护装置：</w:t>
            </w:r>
          </w:p>
          <w:p w14:paraId="144EC25C">
            <w:pPr>
              <w:adjustRightInd w:val="0"/>
              <w:snapToGrid w:val="0"/>
              <w:spacing w:line="240" w:lineRule="auto"/>
              <w:ind w:firstLine="0" w:firstLineChars="0"/>
              <w:rPr>
                <w:rFonts w:cs="Times New Roman"/>
                <w:sz w:val="21"/>
                <w:szCs w:val="21"/>
              </w:rPr>
            </w:pPr>
            <w:r>
              <w:rPr>
                <w:rFonts w:hint="eastAsia" w:cs="Times New Roman"/>
                <w:sz w:val="21"/>
                <w:szCs w:val="21"/>
              </w:rPr>
              <w:t>——防输送带撕裂、断带等保护装置；</w:t>
            </w:r>
          </w:p>
          <w:p w14:paraId="2C82FE18">
            <w:pPr>
              <w:adjustRightInd w:val="0"/>
              <w:snapToGrid w:val="0"/>
              <w:spacing w:line="240" w:lineRule="auto"/>
              <w:ind w:firstLine="0" w:firstLineChars="0"/>
              <w:rPr>
                <w:rFonts w:cs="Times New Roman"/>
                <w:sz w:val="21"/>
                <w:szCs w:val="21"/>
              </w:rPr>
            </w:pPr>
            <w:r>
              <w:rPr>
                <w:rFonts w:hint="eastAsia" w:cs="Times New Roman"/>
                <w:sz w:val="21"/>
                <w:szCs w:val="21"/>
              </w:rPr>
              <w:t>——防止过速、过载、打滑等的保护装置；</w:t>
            </w:r>
          </w:p>
          <w:p w14:paraId="7B6125A6">
            <w:pPr>
              <w:adjustRightInd w:val="0"/>
              <w:snapToGrid w:val="0"/>
              <w:spacing w:line="240" w:lineRule="auto"/>
              <w:ind w:firstLine="0" w:firstLineChars="0"/>
              <w:rPr>
                <w:rFonts w:cs="Times New Roman"/>
                <w:sz w:val="21"/>
                <w:szCs w:val="21"/>
              </w:rPr>
            </w:pPr>
            <w:r>
              <w:rPr>
                <w:rFonts w:hint="eastAsia" w:cs="Times New Roman"/>
                <w:sz w:val="21"/>
                <w:szCs w:val="21"/>
              </w:rPr>
              <w:t>——线路上的信号、电气联锁和紧急停车装置。</w:t>
            </w:r>
          </w:p>
        </w:tc>
        <w:tc>
          <w:tcPr>
            <w:tcW w:w="1144" w:type="pct"/>
            <w:tcBorders>
              <w:top w:val="single" w:color="auto" w:sz="4" w:space="0"/>
              <w:left w:val="single" w:color="auto" w:sz="4" w:space="0"/>
              <w:bottom w:val="single" w:color="auto" w:sz="4" w:space="0"/>
              <w:right w:val="single" w:color="auto" w:sz="4" w:space="0"/>
            </w:tcBorders>
            <w:vAlign w:val="center"/>
          </w:tcPr>
          <w:p w14:paraId="06F1EAF8">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09CFD190">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8EE5088">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6.4.3.6</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49945BBB">
            <w:pPr>
              <w:adjustRightInd w:val="0"/>
              <w:spacing w:line="240" w:lineRule="auto"/>
              <w:ind w:firstLine="0" w:firstLineChars="0"/>
              <w:rPr>
                <w:rFonts w:cs="Times New Roman"/>
                <w:sz w:val="21"/>
                <w:szCs w:val="21"/>
              </w:rPr>
            </w:pPr>
            <w:r>
              <w:rPr>
                <w:rFonts w:hint="eastAsia" w:cs="Times New Roman"/>
                <w:sz w:val="21"/>
                <w:szCs w:val="21"/>
              </w:rPr>
              <w:t>K</w:t>
            </w:r>
            <w:r>
              <w:rPr>
                <w:rFonts w:cs="Times New Roman"/>
                <w:sz w:val="21"/>
                <w:szCs w:val="21"/>
              </w:rPr>
              <w:t>1</w:t>
            </w:r>
            <w:r>
              <w:rPr>
                <w:rFonts w:hint="eastAsia" w:cs="Times New Roman"/>
                <w:sz w:val="21"/>
                <w:szCs w:val="21"/>
              </w:rPr>
              <w:t>胶带长7</w:t>
            </w:r>
            <w:r>
              <w:rPr>
                <w:rFonts w:cs="Times New Roman"/>
                <w:sz w:val="21"/>
                <w:szCs w:val="21"/>
              </w:rPr>
              <w:t>45</w:t>
            </w:r>
            <w:r>
              <w:rPr>
                <w:rFonts w:hint="eastAsia" w:cs="Times New Roman"/>
                <w:sz w:val="21"/>
                <w:szCs w:val="21"/>
              </w:rPr>
              <w:t>m，K</w:t>
            </w:r>
            <w:r>
              <w:rPr>
                <w:rFonts w:cs="Times New Roman"/>
                <w:sz w:val="21"/>
                <w:szCs w:val="21"/>
              </w:rPr>
              <w:t>2</w:t>
            </w:r>
            <w:r>
              <w:rPr>
                <w:rFonts w:hint="eastAsia" w:cs="Times New Roman"/>
                <w:sz w:val="21"/>
                <w:szCs w:val="21"/>
              </w:rPr>
              <w:t>胶带长8</w:t>
            </w:r>
            <w:r>
              <w:rPr>
                <w:rFonts w:cs="Times New Roman"/>
                <w:sz w:val="21"/>
                <w:szCs w:val="21"/>
              </w:rPr>
              <w:t>67</w:t>
            </w:r>
            <w:r>
              <w:rPr>
                <w:rFonts w:hint="eastAsia" w:cs="Times New Roman"/>
                <w:sz w:val="21"/>
                <w:szCs w:val="21"/>
              </w:rPr>
              <w:t>m，带式输送机设有防跑偏、防打滑、防撕裂、拉绳开关等保护装置，其他要求未提及。</w:t>
            </w:r>
          </w:p>
        </w:tc>
        <w:tc>
          <w:tcPr>
            <w:tcW w:w="406" w:type="pct"/>
            <w:tcBorders>
              <w:top w:val="single" w:color="auto" w:sz="4" w:space="0"/>
              <w:left w:val="single" w:color="auto" w:sz="4" w:space="0"/>
              <w:bottom w:val="single" w:color="auto" w:sz="4" w:space="0"/>
              <w:right w:val="single" w:color="auto" w:sz="4" w:space="0"/>
            </w:tcBorders>
            <w:vAlign w:val="center"/>
          </w:tcPr>
          <w:p w14:paraId="5B8FE51B">
            <w:pPr>
              <w:adjustRightInd w:val="0"/>
              <w:spacing w:line="240" w:lineRule="auto"/>
              <w:ind w:firstLine="0" w:firstLineChars="0"/>
              <w:jc w:val="left"/>
              <w:rPr>
                <w:rFonts w:cs="Times New Roman"/>
                <w:sz w:val="21"/>
                <w:szCs w:val="21"/>
              </w:rPr>
            </w:pPr>
            <w:r>
              <w:rPr>
                <w:rFonts w:hint="eastAsia" w:cs="Times New Roman"/>
                <w:sz w:val="21"/>
                <w:szCs w:val="21"/>
              </w:rPr>
              <w:t>下阶段设计中需完善</w:t>
            </w:r>
          </w:p>
        </w:tc>
      </w:tr>
      <w:tr w14:paraId="5B4B4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117222EE">
            <w:pPr>
              <w:adjustRightInd w:val="0"/>
              <w:spacing w:line="240" w:lineRule="auto"/>
              <w:ind w:firstLine="0" w:firstLineChars="0"/>
              <w:jc w:val="center"/>
              <w:rPr>
                <w:rFonts w:cs="Times New Roman"/>
                <w:sz w:val="21"/>
                <w:szCs w:val="21"/>
              </w:rPr>
            </w:pPr>
            <w:r>
              <w:rPr>
                <w:rFonts w:hint="eastAsia" w:cs="Times New Roman"/>
                <w:sz w:val="21"/>
                <w:szCs w:val="21"/>
              </w:rPr>
              <w:t>6</w:t>
            </w:r>
          </w:p>
        </w:tc>
        <w:tc>
          <w:tcPr>
            <w:tcW w:w="1430" w:type="pct"/>
            <w:tcBorders>
              <w:top w:val="single" w:color="auto" w:sz="4" w:space="0"/>
              <w:left w:val="single" w:color="auto" w:sz="4" w:space="0"/>
              <w:bottom w:val="single" w:color="auto" w:sz="4" w:space="0"/>
              <w:right w:val="single" w:color="auto" w:sz="4" w:space="0"/>
            </w:tcBorders>
            <w:vAlign w:val="center"/>
          </w:tcPr>
          <w:p w14:paraId="62B2CFE9">
            <w:pPr>
              <w:adjustRightInd w:val="0"/>
              <w:snapToGrid w:val="0"/>
              <w:spacing w:line="240" w:lineRule="auto"/>
              <w:ind w:firstLine="0" w:firstLineChars="0"/>
              <w:rPr>
                <w:rFonts w:cs="Times New Roman"/>
                <w:sz w:val="21"/>
                <w:szCs w:val="21"/>
              </w:rPr>
            </w:pPr>
            <w:r>
              <w:rPr>
                <w:rFonts w:hint="eastAsia" w:cs="Times New Roman"/>
                <w:sz w:val="21"/>
                <w:szCs w:val="21"/>
              </w:rPr>
              <w:t>上行带式输送机应有防止输送带逆转的措施。</w:t>
            </w:r>
          </w:p>
        </w:tc>
        <w:tc>
          <w:tcPr>
            <w:tcW w:w="1144" w:type="pct"/>
            <w:tcBorders>
              <w:top w:val="single" w:color="auto" w:sz="4" w:space="0"/>
              <w:left w:val="single" w:color="auto" w:sz="4" w:space="0"/>
              <w:bottom w:val="single" w:color="auto" w:sz="4" w:space="0"/>
              <w:right w:val="single" w:color="auto" w:sz="4" w:space="0"/>
            </w:tcBorders>
            <w:vAlign w:val="center"/>
          </w:tcPr>
          <w:p w14:paraId="47C13762">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5A768AF5">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00DF1A7B">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6.4.3.7</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0A078554">
            <w:pPr>
              <w:adjustRightInd w:val="0"/>
              <w:spacing w:line="240" w:lineRule="auto"/>
              <w:ind w:firstLine="0" w:firstLineChars="0"/>
              <w:rPr>
                <w:rFonts w:cs="Times New Roman"/>
                <w:sz w:val="21"/>
                <w:szCs w:val="21"/>
              </w:rPr>
            </w:pPr>
            <w:r>
              <w:rPr>
                <w:rFonts w:hint="eastAsia" w:cs="Times New Roman"/>
                <w:sz w:val="21"/>
                <w:szCs w:val="21"/>
              </w:rPr>
              <w:t>可研未提及。</w:t>
            </w:r>
          </w:p>
        </w:tc>
        <w:tc>
          <w:tcPr>
            <w:tcW w:w="406" w:type="pct"/>
            <w:tcBorders>
              <w:top w:val="single" w:color="auto" w:sz="4" w:space="0"/>
              <w:left w:val="single" w:color="auto" w:sz="4" w:space="0"/>
              <w:bottom w:val="single" w:color="auto" w:sz="4" w:space="0"/>
              <w:right w:val="single" w:color="auto" w:sz="4" w:space="0"/>
            </w:tcBorders>
            <w:vAlign w:val="center"/>
          </w:tcPr>
          <w:p w14:paraId="5D92942C">
            <w:pPr>
              <w:adjustRightInd w:val="0"/>
              <w:spacing w:line="240" w:lineRule="auto"/>
              <w:ind w:firstLine="0" w:firstLineChars="0"/>
              <w:jc w:val="left"/>
              <w:rPr>
                <w:rFonts w:cs="Times New Roman"/>
                <w:sz w:val="21"/>
                <w:szCs w:val="21"/>
              </w:rPr>
            </w:pPr>
            <w:r>
              <w:rPr>
                <w:rFonts w:hint="eastAsia" w:cs="Times New Roman"/>
                <w:sz w:val="21"/>
                <w:szCs w:val="21"/>
              </w:rPr>
              <w:t>下阶段设计中需完善</w:t>
            </w:r>
          </w:p>
        </w:tc>
      </w:tr>
      <w:tr w14:paraId="5C3FE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68889EC5">
            <w:pPr>
              <w:adjustRightInd w:val="0"/>
              <w:snapToGrid w:val="0"/>
              <w:spacing w:line="240" w:lineRule="auto"/>
              <w:ind w:firstLine="0" w:firstLineChars="0"/>
              <w:jc w:val="center"/>
              <w:rPr>
                <w:rFonts w:cs="Times New Roman"/>
                <w:sz w:val="21"/>
                <w:szCs w:val="21"/>
              </w:rPr>
            </w:pPr>
            <w:r>
              <w:rPr>
                <w:rFonts w:cs="Times New Roman"/>
                <w:kern w:val="0"/>
                <w:sz w:val="21"/>
                <w:szCs w:val="21"/>
              </w:rPr>
              <w:t>钢丝绳和提升装置</w:t>
            </w:r>
          </w:p>
        </w:tc>
      </w:tr>
      <w:tr w14:paraId="2597D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19844A6A">
            <w:pPr>
              <w:adjustRightInd w:val="0"/>
              <w:spacing w:line="240" w:lineRule="auto"/>
              <w:ind w:firstLine="0" w:firstLineChars="0"/>
              <w:jc w:val="center"/>
              <w:rPr>
                <w:rFonts w:cs="Times New Roman"/>
                <w:sz w:val="21"/>
                <w:szCs w:val="21"/>
              </w:rPr>
            </w:pPr>
            <w:r>
              <w:rPr>
                <w:rFonts w:cs="Times New Roman"/>
                <w:sz w:val="21"/>
                <w:szCs w:val="21"/>
              </w:rPr>
              <w:t>1</w:t>
            </w:r>
          </w:p>
        </w:tc>
        <w:tc>
          <w:tcPr>
            <w:tcW w:w="1430" w:type="pct"/>
            <w:tcBorders>
              <w:top w:val="single" w:color="auto" w:sz="4" w:space="0"/>
              <w:left w:val="single" w:color="auto" w:sz="4" w:space="0"/>
              <w:bottom w:val="single" w:color="auto" w:sz="4" w:space="0"/>
              <w:right w:val="single" w:color="auto" w:sz="4" w:space="0"/>
            </w:tcBorders>
            <w:vAlign w:val="center"/>
          </w:tcPr>
          <w:p w14:paraId="0327949C">
            <w:pPr>
              <w:adjustRightInd w:val="0"/>
              <w:snapToGrid w:val="0"/>
              <w:spacing w:line="240" w:lineRule="auto"/>
              <w:ind w:firstLine="0" w:firstLineChars="0"/>
              <w:rPr>
                <w:rFonts w:cs="Times New Roman"/>
                <w:kern w:val="0"/>
                <w:sz w:val="21"/>
                <w:szCs w:val="21"/>
              </w:rPr>
            </w:pPr>
            <w:r>
              <w:rPr>
                <w:rFonts w:cs="Times New Roman"/>
                <w:kern w:val="0"/>
                <w:sz w:val="21"/>
                <w:szCs w:val="21"/>
              </w:rPr>
              <w:t>摩擦式提升钢丝绳悬挂时的安全系数应符合下列规定：专作升降人员用的，不小于8.0；升降人员和物料用的，升降人员时不小于8.0，升降物料时不小于7.5；专作升降物料用的，不小于7.0；平衡尾绳，不小于7.0。</w:t>
            </w:r>
          </w:p>
          <w:p w14:paraId="207CDED2">
            <w:pPr>
              <w:adjustRightInd w:val="0"/>
              <w:snapToGrid w:val="0"/>
              <w:spacing w:line="240" w:lineRule="auto"/>
              <w:ind w:firstLine="0" w:firstLineChars="0"/>
              <w:rPr>
                <w:rFonts w:cs="Times New Roman"/>
                <w:kern w:val="0"/>
                <w:sz w:val="21"/>
                <w:szCs w:val="21"/>
              </w:rPr>
            </w:pPr>
            <w:r>
              <w:rPr>
                <w:rFonts w:cs="Times New Roman"/>
                <w:kern w:val="0"/>
                <w:sz w:val="21"/>
                <w:szCs w:val="21"/>
              </w:rPr>
              <w:t>罐道钢丝绳和防撞钢丝绳安全系数不小于6.0。</w:t>
            </w:r>
          </w:p>
          <w:p w14:paraId="717CCFF7">
            <w:pPr>
              <w:adjustRightInd w:val="0"/>
              <w:snapToGrid w:val="0"/>
              <w:spacing w:line="240" w:lineRule="auto"/>
              <w:ind w:firstLine="0" w:firstLineChars="0"/>
              <w:rPr>
                <w:rFonts w:cs="Times New Roman"/>
                <w:kern w:val="0"/>
                <w:sz w:val="21"/>
                <w:szCs w:val="21"/>
              </w:rPr>
            </w:pPr>
            <w:r>
              <w:rPr>
                <w:rFonts w:cs="Times New Roman"/>
                <w:kern w:val="0"/>
                <w:sz w:val="21"/>
                <w:szCs w:val="21"/>
              </w:rPr>
              <w:t>制动钢丝绳安全系数不小于3.0。</w:t>
            </w:r>
          </w:p>
        </w:tc>
        <w:tc>
          <w:tcPr>
            <w:tcW w:w="1144" w:type="pct"/>
            <w:tcBorders>
              <w:top w:val="single" w:color="auto" w:sz="4" w:space="0"/>
              <w:left w:val="single" w:color="auto" w:sz="4" w:space="0"/>
              <w:bottom w:val="single" w:color="auto" w:sz="4" w:space="0"/>
              <w:right w:val="single" w:color="auto" w:sz="4" w:space="0"/>
            </w:tcBorders>
            <w:vAlign w:val="center"/>
          </w:tcPr>
          <w:p w14:paraId="5C4337F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19C77EC3">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556CBDE">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cs="Times New Roman"/>
                <w:kern w:val="0"/>
                <w:sz w:val="21"/>
                <w:szCs w:val="21"/>
              </w:rPr>
              <w:t>6.4.6.3、6.4.6.4、6.4.6.5条</w:t>
            </w:r>
          </w:p>
        </w:tc>
        <w:tc>
          <w:tcPr>
            <w:tcW w:w="1658" w:type="pct"/>
            <w:tcBorders>
              <w:top w:val="single" w:color="auto" w:sz="4" w:space="0"/>
              <w:left w:val="single" w:color="auto" w:sz="4" w:space="0"/>
              <w:bottom w:val="single" w:color="auto" w:sz="4" w:space="0"/>
              <w:right w:val="single" w:color="auto" w:sz="4" w:space="0"/>
            </w:tcBorders>
            <w:vAlign w:val="center"/>
          </w:tcPr>
          <w:p w14:paraId="3DD7D2FF">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竖井提升均为摩擦式提升机，主井提升首绳安全系数7.10，平衡尾绳安全系数20.47；副井大罐笼系统提升人员提升首绳安全系数9.39，提升物料提升首绳安全系数7.78，平衡尾绳安全系数15.36；小罐笼系统提升人员提升首绳安全系数9.62，提升物料提升首绳安全系数9.23，平衡尾绳安全系数17.21；冯家庄副井提升人员提升首绳安全系数10.27，提升物料提升首绳安全系数7.72，平衡尾绳安全系数28.99。</w:t>
            </w:r>
          </w:p>
        </w:tc>
        <w:tc>
          <w:tcPr>
            <w:tcW w:w="406" w:type="pct"/>
            <w:tcBorders>
              <w:top w:val="single" w:color="auto" w:sz="4" w:space="0"/>
              <w:left w:val="single" w:color="auto" w:sz="4" w:space="0"/>
              <w:bottom w:val="single" w:color="auto" w:sz="4" w:space="0"/>
              <w:right w:val="single" w:color="auto" w:sz="4" w:space="0"/>
            </w:tcBorders>
            <w:vAlign w:val="center"/>
          </w:tcPr>
          <w:p w14:paraId="1BC66831">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10974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4CB95AA7">
            <w:pPr>
              <w:adjustRightInd w:val="0"/>
              <w:spacing w:line="240" w:lineRule="auto"/>
              <w:ind w:firstLine="0" w:firstLineChars="0"/>
              <w:jc w:val="center"/>
              <w:rPr>
                <w:rFonts w:cs="Times New Roman"/>
                <w:sz w:val="21"/>
                <w:szCs w:val="21"/>
              </w:rPr>
            </w:pPr>
            <w:r>
              <w:rPr>
                <w:rFonts w:cs="Times New Roman"/>
                <w:sz w:val="21"/>
                <w:szCs w:val="21"/>
              </w:rPr>
              <w:t>2</w:t>
            </w:r>
          </w:p>
        </w:tc>
        <w:tc>
          <w:tcPr>
            <w:tcW w:w="1430" w:type="pct"/>
            <w:tcBorders>
              <w:top w:val="single" w:color="auto" w:sz="4" w:space="0"/>
              <w:left w:val="single" w:color="auto" w:sz="4" w:space="0"/>
              <w:bottom w:val="single" w:color="auto" w:sz="4" w:space="0"/>
              <w:right w:val="single" w:color="auto" w:sz="4" w:space="0"/>
            </w:tcBorders>
            <w:vAlign w:val="center"/>
          </w:tcPr>
          <w:p w14:paraId="7DD7A516">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提升装置的机电控制系统应采用双PLC控制系统，实现位置和速度的冗余保护，并具有下列保护功能：</w:t>
            </w:r>
          </w:p>
          <w:p w14:paraId="54E536D3">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限速保护；主电动机的短路及断电保护；过卷保护；过速保护；过负荷及无电压保护；闸瓦磨损保护；润滑系统油压过高、过低或制动油温过高的保护；直流电动机失励磁保护；测速回路断电保护。</w:t>
            </w:r>
          </w:p>
          <w:p w14:paraId="787523FA">
            <w:pPr>
              <w:adjustRightInd w:val="0"/>
              <w:snapToGrid w:val="0"/>
              <w:spacing w:before="190" w:beforeLines="50" w:after="190" w:afterLines="50" w:line="240" w:lineRule="auto"/>
              <w:ind w:firstLine="0" w:firstLineChars="0"/>
              <w:rPr>
                <w:rFonts w:cs="Times New Roman"/>
                <w:kern w:val="0"/>
                <w:sz w:val="21"/>
                <w:szCs w:val="21"/>
              </w:rPr>
            </w:pPr>
            <w:r>
              <w:rPr>
                <w:rFonts w:cs="Times New Roman"/>
                <w:kern w:val="0"/>
                <w:sz w:val="21"/>
                <w:szCs w:val="21"/>
              </w:rPr>
              <w:t>提升系统应设符合要求的闭锁装置、连锁装置、安全制动、过电流保护等。</w:t>
            </w:r>
          </w:p>
        </w:tc>
        <w:tc>
          <w:tcPr>
            <w:tcW w:w="1144" w:type="pct"/>
            <w:tcBorders>
              <w:top w:val="single" w:color="auto" w:sz="4" w:space="0"/>
              <w:left w:val="single" w:color="auto" w:sz="4" w:space="0"/>
              <w:bottom w:val="single" w:color="auto" w:sz="4" w:space="0"/>
              <w:right w:val="single" w:color="auto" w:sz="4" w:space="0"/>
            </w:tcBorders>
            <w:vAlign w:val="center"/>
          </w:tcPr>
          <w:p w14:paraId="40F21A2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22E2B04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D91404C">
            <w:pPr>
              <w:adjustRightInd w:val="0"/>
              <w:snapToGrid w:val="0"/>
              <w:spacing w:line="240" w:lineRule="auto"/>
              <w:ind w:firstLine="0" w:firstLineChars="0"/>
              <w:jc w:val="center"/>
              <w:rPr>
                <w:rFonts w:cs="Times New Roman"/>
                <w:kern w:val="0"/>
                <w:sz w:val="21"/>
                <w:szCs w:val="21"/>
              </w:rPr>
            </w:pPr>
            <w:r>
              <w:rPr>
                <w:rFonts w:cs="Times New Roman"/>
                <w:sz w:val="21"/>
                <w:szCs w:val="21"/>
              </w:rPr>
              <w:t>第</w:t>
            </w:r>
            <w:r>
              <w:rPr>
                <w:rFonts w:cs="Times New Roman"/>
                <w:kern w:val="0"/>
                <w:sz w:val="21"/>
                <w:szCs w:val="21"/>
              </w:rPr>
              <w:t>6.4.8.11、6.4.8.12、6.4.8.13、6.4.8.14条</w:t>
            </w:r>
          </w:p>
        </w:tc>
        <w:tc>
          <w:tcPr>
            <w:tcW w:w="1658" w:type="pct"/>
            <w:tcBorders>
              <w:top w:val="single" w:color="auto" w:sz="4" w:space="0"/>
              <w:left w:val="single" w:color="auto" w:sz="4" w:space="0"/>
              <w:bottom w:val="single" w:color="auto" w:sz="4" w:space="0"/>
              <w:right w:val="single" w:color="auto" w:sz="4" w:space="0"/>
            </w:tcBorders>
            <w:vAlign w:val="center"/>
          </w:tcPr>
          <w:p w14:paraId="785C9FC3">
            <w:pPr>
              <w:adjustRightInd w:val="0"/>
              <w:snapToGrid w:val="0"/>
              <w:spacing w:line="240" w:lineRule="auto"/>
              <w:ind w:firstLine="0" w:firstLineChars="0"/>
              <w:rPr>
                <w:rFonts w:cs="Times New Roman"/>
                <w:kern w:val="0"/>
                <w:sz w:val="21"/>
                <w:szCs w:val="21"/>
              </w:rPr>
            </w:pPr>
            <w:r>
              <w:rPr>
                <w:rFonts w:cs="Times New Roman"/>
                <w:kern w:val="0"/>
                <w:sz w:val="21"/>
                <w:szCs w:val="21"/>
              </w:rPr>
              <w:t>提升设备控制系统选用PLC控制器实现，完成提升机运行工艺要求的控制功能及各项安全保护，系统同时具备有软件和硬件冗余的安全回路。</w:t>
            </w:r>
          </w:p>
          <w:p w14:paraId="1469FB4C">
            <w:pPr>
              <w:adjustRightInd w:val="0"/>
              <w:snapToGrid w:val="0"/>
              <w:spacing w:line="240" w:lineRule="auto"/>
              <w:ind w:firstLine="0" w:firstLineChars="0"/>
              <w:rPr>
                <w:rFonts w:cs="Times New Roman"/>
                <w:kern w:val="0"/>
                <w:sz w:val="21"/>
                <w:szCs w:val="21"/>
              </w:rPr>
            </w:pPr>
            <w:r>
              <w:rPr>
                <w:rFonts w:cs="Times New Roman"/>
                <w:kern w:val="0"/>
                <w:sz w:val="21"/>
                <w:szCs w:val="21"/>
              </w:rPr>
              <w:t>控制系统PLC软件能完成提升机手动、半自动、自动、检修、紧急控制开车等运行方式的控制要求。</w:t>
            </w:r>
          </w:p>
        </w:tc>
        <w:tc>
          <w:tcPr>
            <w:tcW w:w="406" w:type="pct"/>
            <w:tcBorders>
              <w:top w:val="single" w:color="auto" w:sz="4" w:space="0"/>
              <w:left w:val="single" w:color="auto" w:sz="4" w:space="0"/>
              <w:bottom w:val="single" w:color="auto" w:sz="4" w:space="0"/>
              <w:right w:val="single" w:color="auto" w:sz="4" w:space="0"/>
            </w:tcBorders>
            <w:vAlign w:val="center"/>
          </w:tcPr>
          <w:p w14:paraId="40DA4509">
            <w:pPr>
              <w:adjustRightInd w:val="0"/>
              <w:spacing w:line="240" w:lineRule="auto"/>
              <w:ind w:firstLine="0" w:firstLineChars="0"/>
              <w:jc w:val="center"/>
              <w:rPr>
                <w:rFonts w:cs="Times New Roman"/>
                <w:sz w:val="21"/>
                <w:szCs w:val="21"/>
              </w:rPr>
            </w:pPr>
            <w:r>
              <w:rPr>
                <w:rFonts w:cs="Times New Roman"/>
                <w:sz w:val="21"/>
                <w:szCs w:val="21"/>
              </w:rPr>
              <w:t>符合要求</w:t>
            </w:r>
          </w:p>
        </w:tc>
      </w:tr>
      <w:tr w14:paraId="3F276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178407AE">
            <w:pPr>
              <w:adjustRightInd w:val="0"/>
              <w:snapToGrid w:val="0"/>
              <w:spacing w:line="240" w:lineRule="auto"/>
              <w:ind w:firstLine="0" w:firstLineChars="0"/>
              <w:jc w:val="center"/>
              <w:rPr>
                <w:rFonts w:cs="Times New Roman"/>
                <w:sz w:val="21"/>
                <w:szCs w:val="21"/>
              </w:rPr>
            </w:pPr>
            <w:r>
              <w:rPr>
                <w:rFonts w:cs="Times New Roman"/>
                <w:kern w:val="0"/>
                <w:sz w:val="21"/>
                <w:szCs w:val="21"/>
              </w:rPr>
              <w:t>中段运输</w:t>
            </w:r>
          </w:p>
        </w:tc>
      </w:tr>
      <w:tr w14:paraId="3C34E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65AE997E">
            <w:pPr>
              <w:adjustRightInd w:val="0"/>
              <w:spacing w:line="240" w:lineRule="auto"/>
              <w:ind w:firstLine="0" w:firstLineChars="0"/>
              <w:jc w:val="center"/>
              <w:rPr>
                <w:rFonts w:cs="Times New Roman"/>
                <w:sz w:val="21"/>
                <w:szCs w:val="21"/>
              </w:rPr>
            </w:pPr>
            <w:r>
              <w:rPr>
                <w:rFonts w:cs="Times New Roman"/>
                <w:sz w:val="21"/>
                <w:szCs w:val="21"/>
              </w:rPr>
              <w:t>1</w:t>
            </w:r>
          </w:p>
        </w:tc>
        <w:tc>
          <w:tcPr>
            <w:tcW w:w="1430" w:type="pct"/>
            <w:tcBorders>
              <w:top w:val="single" w:color="auto" w:sz="4" w:space="0"/>
              <w:left w:val="single" w:color="auto" w:sz="4" w:space="0"/>
              <w:bottom w:val="single" w:color="auto" w:sz="4" w:space="0"/>
              <w:right w:val="single" w:color="auto" w:sz="4" w:space="0"/>
            </w:tcBorders>
            <w:vAlign w:val="center"/>
          </w:tcPr>
          <w:p w14:paraId="764356AE">
            <w:pPr>
              <w:adjustRightInd w:val="0"/>
              <w:spacing w:line="240" w:lineRule="auto"/>
              <w:ind w:firstLine="0" w:firstLineChars="0"/>
              <w:rPr>
                <w:rFonts w:cs="Times New Roman"/>
                <w:sz w:val="21"/>
                <w:szCs w:val="21"/>
              </w:rPr>
            </w:pPr>
            <w:r>
              <w:rPr>
                <w:rFonts w:cs="Times New Roman"/>
                <w:sz w:val="21"/>
                <w:szCs w:val="21"/>
              </w:rPr>
              <w:t>电机车滑触线应设分段开关，分段距离不超过500m。每一条支线也应设分段开关。上下班时间，距井筒50m以内的滑触线应切断电源。</w:t>
            </w:r>
          </w:p>
        </w:tc>
        <w:tc>
          <w:tcPr>
            <w:tcW w:w="1144" w:type="pct"/>
            <w:tcBorders>
              <w:top w:val="single" w:color="auto" w:sz="4" w:space="0"/>
              <w:left w:val="single" w:color="auto" w:sz="4" w:space="0"/>
              <w:bottom w:val="single" w:color="auto" w:sz="4" w:space="0"/>
              <w:right w:val="single" w:color="auto" w:sz="4" w:space="0"/>
            </w:tcBorders>
            <w:vAlign w:val="center"/>
          </w:tcPr>
          <w:p w14:paraId="10613E3C">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7D9D425C">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507B6F7">
            <w:pPr>
              <w:adjustRightInd w:val="0"/>
              <w:snapToGrid w:val="0"/>
              <w:spacing w:line="240" w:lineRule="auto"/>
              <w:ind w:firstLine="0" w:firstLineChars="0"/>
              <w:jc w:val="center"/>
              <w:rPr>
                <w:rFonts w:cs="Times New Roman"/>
                <w:sz w:val="21"/>
                <w:szCs w:val="21"/>
              </w:rPr>
            </w:pPr>
            <w:r>
              <w:rPr>
                <w:rFonts w:cs="Times New Roman"/>
                <w:sz w:val="21"/>
                <w:szCs w:val="21"/>
              </w:rPr>
              <w:t>6.4.1.15</w:t>
            </w:r>
          </w:p>
        </w:tc>
        <w:tc>
          <w:tcPr>
            <w:tcW w:w="1658" w:type="pct"/>
            <w:tcBorders>
              <w:top w:val="single" w:color="auto" w:sz="4" w:space="0"/>
              <w:left w:val="single" w:color="auto" w:sz="4" w:space="0"/>
              <w:bottom w:val="single" w:color="auto" w:sz="4" w:space="0"/>
              <w:right w:val="single" w:color="auto" w:sz="4" w:space="0"/>
            </w:tcBorders>
            <w:vAlign w:val="center"/>
          </w:tcPr>
          <w:p w14:paraId="6402D8CD">
            <w:pPr>
              <w:adjustRightInd w:val="0"/>
              <w:spacing w:line="240" w:lineRule="auto"/>
              <w:ind w:firstLine="0" w:firstLineChars="0"/>
              <w:jc w:val="left"/>
              <w:rPr>
                <w:rFonts w:cs="Times New Roman"/>
                <w:sz w:val="21"/>
                <w:szCs w:val="21"/>
              </w:rPr>
            </w:pPr>
            <w:r>
              <w:rPr>
                <w:rFonts w:cs="Times New Roman"/>
                <w:sz w:val="21"/>
                <w:szCs w:val="21"/>
              </w:rPr>
              <w:t>可研报告中</w:t>
            </w:r>
            <w:r>
              <w:rPr>
                <w:rFonts w:hint="eastAsia" w:cs="Times New Roman"/>
                <w:sz w:val="21"/>
                <w:szCs w:val="21"/>
              </w:rPr>
              <w:t>未</w:t>
            </w:r>
            <w:r>
              <w:rPr>
                <w:rFonts w:cs="Times New Roman"/>
                <w:sz w:val="21"/>
                <w:szCs w:val="21"/>
              </w:rPr>
              <w:t>明确相关内容。</w:t>
            </w:r>
          </w:p>
        </w:tc>
        <w:tc>
          <w:tcPr>
            <w:tcW w:w="406" w:type="pct"/>
            <w:tcBorders>
              <w:top w:val="single" w:color="auto" w:sz="4" w:space="0"/>
              <w:left w:val="single" w:color="auto" w:sz="4" w:space="0"/>
              <w:bottom w:val="single" w:color="auto" w:sz="4" w:space="0"/>
              <w:right w:val="single" w:color="auto" w:sz="4" w:space="0"/>
            </w:tcBorders>
            <w:vAlign w:val="center"/>
          </w:tcPr>
          <w:p w14:paraId="5C441DB7">
            <w:pPr>
              <w:adjustRightInd w:val="0"/>
              <w:spacing w:line="240" w:lineRule="auto"/>
              <w:ind w:firstLine="0" w:firstLineChars="0"/>
              <w:jc w:val="left"/>
              <w:rPr>
                <w:rFonts w:cs="Times New Roman"/>
                <w:sz w:val="21"/>
                <w:szCs w:val="21"/>
              </w:rPr>
            </w:pPr>
            <w:r>
              <w:rPr>
                <w:rFonts w:hint="eastAsia" w:cs="Times New Roman"/>
                <w:sz w:val="21"/>
                <w:szCs w:val="21"/>
              </w:rPr>
              <w:t>下阶段设计中需完善</w:t>
            </w:r>
          </w:p>
        </w:tc>
      </w:tr>
      <w:tr w14:paraId="69930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5CAD75E">
            <w:pPr>
              <w:adjustRightInd w:val="0"/>
              <w:spacing w:line="240" w:lineRule="auto"/>
              <w:ind w:firstLine="0" w:firstLineChars="0"/>
              <w:jc w:val="center"/>
              <w:rPr>
                <w:rFonts w:cs="Times New Roman"/>
                <w:sz w:val="21"/>
                <w:szCs w:val="21"/>
              </w:rPr>
            </w:pPr>
            <w:r>
              <w:rPr>
                <w:rFonts w:cs="Times New Roman"/>
                <w:sz w:val="21"/>
                <w:szCs w:val="21"/>
              </w:rPr>
              <w:t>2</w:t>
            </w:r>
          </w:p>
        </w:tc>
        <w:tc>
          <w:tcPr>
            <w:tcW w:w="1430" w:type="pct"/>
            <w:tcBorders>
              <w:top w:val="single" w:color="auto" w:sz="4" w:space="0"/>
              <w:left w:val="single" w:color="auto" w:sz="4" w:space="0"/>
              <w:bottom w:val="single" w:color="auto" w:sz="4" w:space="0"/>
              <w:right w:val="single" w:color="auto" w:sz="4" w:space="0"/>
            </w:tcBorders>
            <w:vAlign w:val="center"/>
          </w:tcPr>
          <w:p w14:paraId="61B513AD">
            <w:pPr>
              <w:adjustRightInd w:val="0"/>
              <w:spacing w:line="240" w:lineRule="auto"/>
              <w:ind w:firstLine="0" w:firstLineChars="0"/>
              <w:rPr>
                <w:rFonts w:cs="Times New Roman"/>
                <w:sz w:val="21"/>
                <w:szCs w:val="21"/>
              </w:rPr>
            </w:pPr>
            <w:r>
              <w:rPr>
                <w:rFonts w:cs="Times New Roman"/>
                <w:sz w:val="21"/>
                <w:szCs w:val="21"/>
              </w:rPr>
              <w:t>车辆的连接装置不得自行脱钩，车辆两端的碰头或缓冲器的伸出长度不小于100mm。</w:t>
            </w:r>
          </w:p>
        </w:tc>
        <w:tc>
          <w:tcPr>
            <w:tcW w:w="1144" w:type="pct"/>
            <w:tcBorders>
              <w:top w:val="single" w:color="auto" w:sz="4" w:space="0"/>
              <w:left w:val="single" w:color="auto" w:sz="4" w:space="0"/>
              <w:bottom w:val="single" w:color="auto" w:sz="4" w:space="0"/>
              <w:right w:val="single" w:color="auto" w:sz="4" w:space="0"/>
            </w:tcBorders>
            <w:vAlign w:val="center"/>
          </w:tcPr>
          <w:p w14:paraId="7AC0CE94">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51C1F1D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18677224">
            <w:pPr>
              <w:adjustRightInd w:val="0"/>
              <w:snapToGrid w:val="0"/>
              <w:spacing w:line="240" w:lineRule="auto"/>
              <w:ind w:firstLine="0" w:firstLineChars="0"/>
              <w:jc w:val="center"/>
              <w:rPr>
                <w:rFonts w:cs="Times New Roman"/>
                <w:sz w:val="21"/>
                <w:szCs w:val="21"/>
              </w:rPr>
            </w:pPr>
            <w:r>
              <w:rPr>
                <w:rFonts w:cs="Times New Roman"/>
                <w:sz w:val="21"/>
                <w:szCs w:val="21"/>
              </w:rPr>
              <w:t>第6.4.1.4条</w:t>
            </w:r>
          </w:p>
        </w:tc>
        <w:tc>
          <w:tcPr>
            <w:tcW w:w="1658" w:type="pct"/>
            <w:tcBorders>
              <w:top w:val="single" w:color="auto" w:sz="4" w:space="0"/>
              <w:left w:val="single" w:color="auto" w:sz="4" w:space="0"/>
              <w:bottom w:val="single" w:color="auto" w:sz="4" w:space="0"/>
              <w:right w:val="single" w:color="auto" w:sz="4" w:space="0"/>
            </w:tcBorders>
            <w:vAlign w:val="center"/>
          </w:tcPr>
          <w:p w14:paraId="539288EC">
            <w:pPr>
              <w:adjustRightInd w:val="0"/>
              <w:spacing w:line="240" w:lineRule="auto"/>
              <w:ind w:firstLine="0" w:firstLineChars="0"/>
              <w:jc w:val="left"/>
              <w:rPr>
                <w:rFonts w:cs="Times New Roman"/>
                <w:sz w:val="21"/>
                <w:szCs w:val="21"/>
              </w:rPr>
            </w:pPr>
            <w:r>
              <w:rPr>
                <w:rFonts w:hint="eastAsia" w:cs="Times New Roman"/>
                <w:sz w:val="21"/>
                <w:szCs w:val="21"/>
              </w:rPr>
              <w:t>可研</w:t>
            </w:r>
            <w:r>
              <w:rPr>
                <w:rFonts w:cs="Times New Roman"/>
                <w:sz w:val="21"/>
                <w:szCs w:val="21"/>
              </w:rPr>
              <w:t>未明确</w:t>
            </w:r>
            <w:r>
              <w:rPr>
                <w:rFonts w:hint="eastAsia" w:cs="Times New Roman"/>
                <w:sz w:val="21"/>
                <w:szCs w:val="21"/>
              </w:rPr>
              <w:t>相关内容</w:t>
            </w:r>
          </w:p>
        </w:tc>
        <w:tc>
          <w:tcPr>
            <w:tcW w:w="406" w:type="pct"/>
            <w:tcBorders>
              <w:top w:val="single" w:color="auto" w:sz="4" w:space="0"/>
              <w:left w:val="single" w:color="auto" w:sz="4" w:space="0"/>
              <w:bottom w:val="single" w:color="auto" w:sz="4" w:space="0"/>
              <w:right w:val="single" w:color="auto" w:sz="4" w:space="0"/>
            </w:tcBorders>
            <w:vAlign w:val="center"/>
          </w:tcPr>
          <w:p w14:paraId="379BA844">
            <w:pPr>
              <w:adjustRightInd w:val="0"/>
              <w:spacing w:line="240" w:lineRule="auto"/>
              <w:ind w:firstLine="0" w:firstLineChars="0"/>
              <w:jc w:val="left"/>
              <w:rPr>
                <w:rFonts w:cs="Times New Roman"/>
                <w:sz w:val="21"/>
                <w:szCs w:val="21"/>
              </w:rPr>
            </w:pPr>
            <w:r>
              <w:rPr>
                <w:rFonts w:hint="eastAsia" w:cs="Times New Roman"/>
                <w:sz w:val="21"/>
                <w:szCs w:val="21"/>
              </w:rPr>
              <w:t>下阶段设计中需完善</w:t>
            </w:r>
          </w:p>
        </w:tc>
      </w:tr>
      <w:tr w14:paraId="0793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4969599C">
            <w:pPr>
              <w:adjustRightInd w:val="0"/>
              <w:spacing w:line="240" w:lineRule="auto"/>
              <w:ind w:firstLine="0" w:firstLineChars="0"/>
              <w:jc w:val="center"/>
              <w:rPr>
                <w:rFonts w:cs="Times New Roman"/>
                <w:sz w:val="21"/>
                <w:szCs w:val="21"/>
              </w:rPr>
            </w:pPr>
            <w:r>
              <w:rPr>
                <w:rFonts w:cs="Times New Roman"/>
                <w:sz w:val="21"/>
                <w:szCs w:val="21"/>
              </w:rPr>
              <w:t>3</w:t>
            </w:r>
          </w:p>
        </w:tc>
        <w:tc>
          <w:tcPr>
            <w:tcW w:w="1430" w:type="pct"/>
            <w:tcBorders>
              <w:top w:val="single" w:color="auto" w:sz="4" w:space="0"/>
              <w:left w:val="single" w:color="auto" w:sz="4" w:space="0"/>
              <w:bottom w:val="single" w:color="auto" w:sz="4" w:space="0"/>
              <w:right w:val="single" w:color="auto" w:sz="4" w:space="0"/>
            </w:tcBorders>
            <w:vAlign w:val="center"/>
          </w:tcPr>
          <w:p w14:paraId="699F88FD">
            <w:pPr>
              <w:adjustRightInd w:val="0"/>
              <w:snapToGrid w:val="0"/>
              <w:spacing w:line="240" w:lineRule="auto"/>
              <w:ind w:firstLine="0" w:firstLineChars="0"/>
              <w:rPr>
                <w:rFonts w:cs="Times New Roman"/>
                <w:sz w:val="21"/>
                <w:szCs w:val="21"/>
              </w:rPr>
            </w:pPr>
            <w:r>
              <w:rPr>
                <w:rFonts w:cs="Times New Roman"/>
                <w:sz w:val="21"/>
                <w:szCs w:val="21"/>
              </w:rPr>
              <w:t>采用无轨设备运输应遵守下列规定：</w:t>
            </w:r>
          </w:p>
          <w:p w14:paraId="28575184">
            <w:pPr>
              <w:adjustRightInd w:val="0"/>
              <w:snapToGrid w:val="0"/>
              <w:spacing w:line="240" w:lineRule="auto"/>
              <w:ind w:firstLine="0" w:firstLineChars="0"/>
              <w:rPr>
                <w:rFonts w:cs="Times New Roman"/>
                <w:sz w:val="21"/>
                <w:szCs w:val="21"/>
              </w:rPr>
            </w:pPr>
            <w:r>
              <w:rPr>
                <w:rFonts w:cs="Times New Roman"/>
                <w:sz w:val="21"/>
                <w:szCs w:val="21"/>
              </w:rPr>
              <w:t>——应采用地下矿山专用无轨设备；</w:t>
            </w:r>
          </w:p>
          <w:p w14:paraId="38DEF53E">
            <w:pPr>
              <w:adjustRightInd w:val="0"/>
              <w:snapToGrid w:val="0"/>
              <w:spacing w:line="240" w:lineRule="auto"/>
              <w:ind w:firstLine="0" w:firstLineChars="0"/>
              <w:rPr>
                <w:rFonts w:cs="Times New Roman"/>
                <w:sz w:val="21"/>
                <w:szCs w:val="21"/>
              </w:rPr>
            </w:pPr>
            <w:r>
              <w:rPr>
                <w:rFonts w:cs="Times New Roman"/>
                <w:sz w:val="21"/>
                <w:szCs w:val="21"/>
              </w:rPr>
              <w:t>——行驶速度不超过25km/h；</w:t>
            </w:r>
          </w:p>
          <w:p w14:paraId="5C731F84">
            <w:pPr>
              <w:adjustRightInd w:val="0"/>
              <w:snapToGrid w:val="0"/>
              <w:spacing w:line="240" w:lineRule="auto"/>
              <w:ind w:firstLine="0" w:firstLineChars="0"/>
              <w:rPr>
                <w:rFonts w:cs="Times New Roman"/>
                <w:sz w:val="21"/>
                <w:szCs w:val="21"/>
              </w:rPr>
            </w:pPr>
            <w:r>
              <w:rPr>
                <w:rFonts w:cs="Times New Roman"/>
                <w:sz w:val="21"/>
                <w:szCs w:val="21"/>
              </w:rPr>
              <w:t>——通过斜坡道运输人员时，应采用井下专用运人车，每辆车乘员数量不超过25人；</w:t>
            </w:r>
          </w:p>
          <w:p w14:paraId="478CFC8B">
            <w:pPr>
              <w:adjustRightInd w:val="0"/>
              <w:snapToGrid w:val="0"/>
              <w:spacing w:line="240" w:lineRule="auto"/>
              <w:ind w:firstLine="0" w:firstLineChars="0"/>
              <w:rPr>
                <w:rFonts w:cs="Times New Roman"/>
                <w:sz w:val="21"/>
                <w:szCs w:val="21"/>
              </w:rPr>
            </w:pPr>
            <w:r>
              <w:rPr>
                <w:rFonts w:cs="Times New Roman"/>
                <w:sz w:val="21"/>
                <w:szCs w:val="21"/>
              </w:rPr>
              <w:t>——油料运输车辆在井下的行驶速度不超过15km/h，与其他同向运行车辆距离不小于100m；</w:t>
            </w:r>
          </w:p>
          <w:p w14:paraId="06C1486D">
            <w:pPr>
              <w:adjustRightInd w:val="0"/>
              <w:snapToGrid w:val="0"/>
              <w:spacing w:line="240" w:lineRule="auto"/>
              <w:ind w:firstLine="0" w:firstLineChars="0"/>
              <w:rPr>
                <w:rFonts w:cs="Times New Roman"/>
                <w:sz w:val="21"/>
                <w:szCs w:val="21"/>
              </w:rPr>
            </w:pPr>
            <w:r>
              <w:rPr>
                <w:rFonts w:cs="Times New Roman"/>
                <w:sz w:val="21"/>
                <w:szCs w:val="21"/>
              </w:rPr>
              <w:t>——自动化作业采区应设置门禁系统；</w:t>
            </w:r>
          </w:p>
          <w:p w14:paraId="40042E9A">
            <w:pPr>
              <w:adjustRightInd w:val="0"/>
              <w:snapToGrid w:val="0"/>
              <w:spacing w:line="240" w:lineRule="auto"/>
              <w:ind w:firstLine="0" w:firstLineChars="0"/>
              <w:rPr>
                <w:rFonts w:cs="Times New Roman"/>
                <w:sz w:val="21"/>
                <w:szCs w:val="21"/>
              </w:rPr>
            </w:pPr>
            <w:r>
              <w:rPr>
                <w:rFonts w:cs="Times New Roman"/>
                <w:sz w:val="21"/>
                <w:szCs w:val="21"/>
              </w:rPr>
              <w:t>——按照设备要求定期进行检查和维护保养。</w:t>
            </w:r>
          </w:p>
        </w:tc>
        <w:tc>
          <w:tcPr>
            <w:tcW w:w="1144" w:type="pct"/>
            <w:tcBorders>
              <w:top w:val="single" w:color="auto" w:sz="4" w:space="0"/>
              <w:left w:val="single" w:color="auto" w:sz="4" w:space="0"/>
              <w:bottom w:val="single" w:color="auto" w:sz="4" w:space="0"/>
              <w:right w:val="single" w:color="auto" w:sz="4" w:space="0"/>
            </w:tcBorders>
            <w:vAlign w:val="center"/>
          </w:tcPr>
          <w:p w14:paraId="7B7C9BD7">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7673756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466BB248">
            <w:pPr>
              <w:adjustRightInd w:val="0"/>
              <w:snapToGrid w:val="0"/>
              <w:spacing w:line="240" w:lineRule="auto"/>
              <w:ind w:firstLine="0" w:firstLineChars="0"/>
              <w:jc w:val="center"/>
              <w:rPr>
                <w:rFonts w:cs="Times New Roman"/>
                <w:sz w:val="21"/>
                <w:szCs w:val="21"/>
              </w:rPr>
            </w:pPr>
            <w:r>
              <w:rPr>
                <w:rFonts w:cs="Times New Roman"/>
                <w:sz w:val="21"/>
                <w:szCs w:val="21"/>
              </w:rPr>
              <w:t>第6.3.4.3条</w:t>
            </w:r>
          </w:p>
        </w:tc>
        <w:tc>
          <w:tcPr>
            <w:tcW w:w="1658" w:type="pct"/>
            <w:tcBorders>
              <w:top w:val="single" w:color="auto" w:sz="4" w:space="0"/>
              <w:left w:val="single" w:color="auto" w:sz="4" w:space="0"/>
              <w:bottom w:val="single" w:color="auto" w:sz="4" w:space="0"/>
              <w:right w:val="single" w:color="auto" w:sz="4" w:space="0"/>
            </w:tcBorders>
            <w:vAlign w:val="center"/>
          </w:tcPr>
          <w:p w14:paraId="2CA3411C">
            <w:pPr>
              <w:adjustRightInd w:val="0"/>
              <w:spacing w:line="240" w:lineRule="auto"/>
              <w:ind w:firstLine="0" w:firstLineChars="0"/>
              <w:rPr>
                <w:rFonts w:cs="Times New Roman"/>
                <w:kern w:val="0"/>
                <w:sz w:val="21"/>
                <w:szCs w:val="21"/>
              </w:rPr>
            </w:pPr>
            <w:r>
              <w:rPr>
                <w:rFonts w:cs="Times New Roman"/>
                <w:kern w:val="0"/>
                <w:sz w:val="21"/>
                <w:szCs w:val="21"/>
              </w:rPr>
              <w:t>可研明确采场出矿采用铲运机</w:t>
            </w:r>
            <w:r>
              <w:rPr>
                <w:rFonts w:hint="eastAsia" w:cs="Times New Roman"/>
                <w:kern w:val="0"/>
                <w:sz w:val="21"/>
                <w:szCs w:val="21"/>
              </w:rPr>
              <w:t>、井下自卸车等</w:t>
            </w:r>
            <w:r>
              <w:rPr>
                <w:rFonts w:cs="Times New Roman"/>
                <w:kern w:val="0"/>
                <w:sz w:val="21"/>
                <w:szCs w:val="21"/>
              </w:rPr>
              <w:t>。可研报告中未明确其他内容。</w:t>
            </w:r>
          </w:p>
        </w:tc>
        <w:tc>
          <w:tcPr>
            <w:tcW w:w="406" w:type="pct"/>
            <w:tcBorders>
              <w:top w:val="single" w:color="auto" w:sz="4" w:space="0"/>
              <w:left w:val="single" w:color="auto" w:sz="4" w:space="0"/>
              <w:bottom w:val="single" w:color="auto" w:sz="4" w:space="0"/>
              <w:right w:val="single" w:color="auto" w:sz="4" w:space="0"/>
            </w:tcBorders>
            <w:vAlign w:val="center"/>
          </w:tcPr>
          <w:p w14:paraId="0E05978E">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5E3BF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503416B4">
            <w:pPr>
              <w:adjustRightInd w:val="0"/>
              <w:spacing w:line="240" w:lineRule="auto"/>
              <w:ind w:firstLine="0" w:firstLineChars="0"/>
              <w:jc w:val="center"/>
              <w:rPr>
                <w:rFonts w:cs="Times New Roman"/>
                <w:sz w:val="21"/>
                <w:szCs w:val="21"/>
              </w:rPr>
            </w:pPr>
            <w:r>
              <w:rPr>
                <w:rFonts w:hint="eastAsia" w:cs="Times New Roman"/>
                <w:sz w:val="21"/>
                <w:szCs w:val="21"/>
              </w:rPr>
              <w:t>4</w:t>
            </w:r>
          </w:p>
        </w:tc>
        <w:tc>
          <w:tcPr>
            <w:tcW w:w="1430" w:type="pct"/>
            <w:tcBorders>
              <w:top w:val="single" w:color="auto" w:sz="4" w:space="0"/>
              <w:left w:val="single" w:color="auto" w:sz="4" w:space="0"/>
              <w:bottom w:val="single" w:color="auto" w:sz="4" w:space="0"/>
              <w:right w:val="single" w:color="auto" w:sz="4" w:space="0"/>
            </w:tcBorders>
            <w:vAlign w:val="center"/>
          </w:tcPr>
          <w:p w14:paraId="7957E169">
            <w:pPr>
              <w:adjustRightInd w:val="0"/>
              <w:snapToGrid w:val="0"/>
              <w:spacing w:line="240" w:lineRule="auto"/>
              <w:ind w:firstLine="0" w:firstLineChars="0"/>
              <w:rPr>
                <w:rFonts w:cs="Times New Roman"/>
                <w:sz w:val="21"/>
                <w:szCs w:val="21"/>
              </w:rPr>
            </w:pPr>
            <w:r>
              <w:rPr>
                <w:rFonts w:hint="eastAsia" w:cs="Times New Roman"/>
                <w:sz w:val="21"/>
                <w:szCs w:val="21"/>
              </w:rPr>
              <w:t>采用电机车运输的矿井，由井底车场或平硐口到作业地点所经平巷长度超过1500m时，应设专用人车运送人员。</w:t>
            </w:r>
          </w:p>
          <w:p w14:paraId="3B6F7A2C">
            <w:pPr>
              <w:adjustRightInd w:val="0"/>
              <w:snapToGrid w:val="0"/>
              <w:spacing w:line="240" w:lineRule="auto"/>
              <w:ind w:firstLine="0" w:firstLineChars="0"/>
              <w:rPr>
                <w:rFonts w:cs="Times New Roman"/>
                <w:sz w:val="21"/>
                <w:szCs w:val="21"/>
              </w:rPr>
            </w:pPr>
            <w:r>
              <w:rPr>
                <w:rFonts w:hint="eastAsia" w:cs="Times New Roman"/>
                <w:sz w:val="21"/>
                <w:szCs w:val="21"/>
              </w:rPr>
              <w:t>专用人车应有坚固的金属顶棚和确保人员安全的车辆结构，车辆的顶棚、车厢和车架应有良好的连接，通过钢轨实现电气接地。</w:t>
            </w:r>
          </w:p>
        </w:tc>
        <w:tc>
          <w:tcPr>
            <w:tcW w:w="1144" w:type="pct"/>
            <w:tcBorders>
              <w:top w:val="single" w:color="auto" w:sz="4" w:space="0"/>
              <w:left w:val="single" w:color="auto" w:sz="4" w:space="0"/>
              <w:bottom w:val="single" w:color="auto" w:sz="4" w:space="0"/>
              <w:right w:val="single" w:color="auto" w:sz="4" w:space="0"/>
            </w:tcBorders>
            <w:vAlign w:val="center"/>
          </w:tcPr>
          <w:p w14:paraId="3EAEBBB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5064D54A">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4757685A">
            <w:pPr>
              <w:adjustRightInd w:val="0"/>
              <w:snapToGrid w:val="0"/>
              <w:spacing w:line="240" w:lineRule="auto"/>
              <w:ind w:firstLine="0" w:firstLineChars="0"/>
              <w:jc w:val="center"/>
              <w:rPr>
                <w:rFonts w:cs="Times New Roman"/>
                <w:sz w:val="21"/>
                <w:szCs w:val="21"/>
              </w:rPr>
            </w:pPr>
            <w:r>
              <w:rPr>
                <w:rFonts w:cs="Times New Roman"/>
                <w:sz w:val="21"/>
                <w:szCs w:val="21"/>
              </w:rPr>
              <w:t>第6.4.1.1条</w:t>
            </w:r>
          </w:p>
        </w:tc>
        <w:tc>
          <w:tcPr>
            <w:tcW w:w="1658" w:type="pct"/>
            <w:tcBorders>
              <w:top w:val="single" w:color="auto" w:sz="4" w:space="0"/>
              <w:left w:val="single" w:color="auto" w:sz="4" w:space="0"/>
              <w:bottom w:val="single" w:color="auto" w:sz="4" w:space="0"/>
              <w:right w:val="single" w:color="auto" w:sz="4" w:space="0"/>
            </w:tcBorders>
            <w:vAlign w:val="center"/>
          </w:tcPr>
          <w:p w14:paraId="7F4B10D2">
            <w:pPr>
              <w:adjustRightInd w:val="0"/>
              <w:spacing w:line="240" w:lineRule="auto"/>
              <w:ind w:firstLine="0" w:firstLineChars="0"/>
              <w:rPr>
                <w:rFonts w:cs="Times New Roman"/>
                <w:kern w:val="0"/>
                <w:sz w:val="21"/>
                <w:szCs w:val="21"/>
              </w:rPr>
            </w:pPr>
            <w:r>
              <w:rPr>
                <w:rFonts w:hint="eastAsia" w:cs="Times New Roman"/>
                <w:kern w:val="0"/>
                <w:sz w:val="21"/>
                <w:szCs w:val="21"/>
              </w:rPr>
              <w:t>采场人员由副井下井后，由停放在副井井口的井下运人车经采区斜坡道运送到各采矿水平工作地点。</w:t>
            </w:r>
          </w:p>
        </w:tc>
        <w:tc>
          <w:tcPr>
            <w:tcW w:w="406" w:type="pct"/>
            <w:tcBorders>
              <w:top w:val="single" w:color="auto" w:sz="4" w:space="0"/>
              <w:left w:val="single" w:color="auto" w:sz="4" w:space="0"/>
              <w:bottom w:val="single" w:color="auto" w:sz="4" w:space="0"/>
              <w:right w:val="single" w:color="auto" w:sz="4" w:space="0"/>
            </w:tcBorders>
            <w:vAlign w:val="center"/>
          </w:tcPr>
          <w:p w14:paraId="7DD1371B">
            <w:pPr>
              <w:adjustRightInd w:val="0"/>
              <w:spacing w:line="240" w:lineRule="auto"/>
              <w:ind w:firstLine="0" w:firstLineChars="0"/>
              <w:jc w:val="center"/>
              <w:rPr>
                <w:rFonts w:cs="Times New Roman"/>
                <w:sz w:val="21"/>
                <w:szCs w:val="21"/>
              </w:rPr>
            </w:pPr>
            <w:r>
              <w:rPr>
                <w:rFonts w:hint="eastAsia" w:cs="Times New Roman"/>
                <w:sz w:val="21"/>
                <w:szCs w:val="21"/>
              </w:rPr>
              <w:t>符合要求</w:t>
            </w:r>
          </w:p>
        </w:tc>
      </w:tr>
      <w:tr w14:paraId="4E7EC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3DE0671E">
            <w:pPr>
              <w:adjustRightInd w:val="0"/>
              <w:spacing w:line="240" w:lineRule="auto"/>
              <w:ind w:firstLine="0" w:firstLineChars="0"/>
              <w:jc w:val="center"/>
              <w:rPr>
                <w:rFonts w:cs="Times New Roman"/>
                <w:sz w:val="21"/>
                <w:szCs w:val="21"/>
              </w:rPr>
            </w:pPr>
            <w:r>
              <w:rPr>
                <w:rFonts w:hint="eastAsia" w:cs="Times New Roman"/>
                <w:sz w:val="21"/>
                <w:szCs w:val="21"/>
              </w:rPr>
              <w:t>5</w:t>
            </w:r>
          </w:p>
        </w:tc>
        <w:tc>
          <w:tcPr>
            <w:tcW w:w="1430" w:type="pct"/>
            <w:tcBorders>
              <w:top w:val="single" w:color="auto" w:sz="4" w:space="0"/>
              <w:left w:val="single" w:color="auto" w:sz="4" w:space="0"/>
              <w:bottom w:val="single" w:color="auto" w:sz="4" w:space="0"/>
              <w:right w:val="single" w:color="auto" w:sz="4" w:space="0"/>
            </w:tcBorders>
            <w:vAlign w:val="center"/>
          </w:tcPr>
          <w:p w14:paraId="64E0B0C7">
            <w:pPr>
              <w:adjustRightInd w:val="0"/>
              <w:snapToGrid w:val="0"/>
              <w:spacing w:line="240" w:lineRule="auto"/>
              <w:ind w:firstLine="0" w:firstLineChars="0"/>
              <w:rPr>
                <w:rFonts w:cs="Times New Roman"/>
                <w:sz w:val="21"/>
                <w:szCs w:val="21"/>
              </w:rPr>
            </w:pPr>
            <w:r>
              <w:rPr>
                <w:rFonts w:hint="eastAsia" w:cs="Times New Roman"/>
                <w:sz w:val="21"/>
                <w:szCs w:val="21"/>
              </w:rPr>
              <w:t>禁止使用内燃机车；有发生气体爆炸或自然发火危险的，严禁使用非防爆型电机车。</w:t>
            </w:r>
          </w:p>
        </w:tc>
        <w:tc>
          <w:tcPr>
            <w:tcW w:w="1144" w:type="pct"/>
            <w:tcBorders>
              <w:top w:val="single" w:color="auto" w:sz="4" w:space="0"/>
              <w:left w:val="single" w:color="auto" w:sz="4" w:space="0"/>
              <w:bottom w:val="single" w:color="auto" w:sz="4" w:space="0"/>
              <w:right w:val="single" w:color="auto" w:sz="4" w:space="0"/>
            </w:tcBorders>
            <w:vAlign w:val="center"/>
          </w:tcPr>
          <w:p w14:paraId="1AEABC0E">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A3D1EEE">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5D872FE">
            <w:pPr>
              <w:adjustRightInd w:val="0"/>
              <w:snapToGrid w:val="0"/>
              <w:spacing w:line="240" w:lineRule="auto"/>
              <w:ind w:firstLine="0" w:firstLineChars="0"/>
              <w:jc w:val="center"/>
              <w:rPr>
                <w:rFonts w:cs="Times New Roman"/>
                <w:sz w:val="21"/>
                <w:szCs w:val="21"/>
              </w:rPr>
            </w:pPr>
            <w:r>
              <w:rPr>
                <w:rFonts w:cs="Times New Roman"/>
                <w:sz w:val="21"/>
                <w:szCs w:val="21"/>
              </w:rPr>
              <w:t>第6.4.1.10条</w:t>
            </w:r>
          </w:p>
        </w:tc>
        <w:tc>
          <w:tcPr>
            <w:tcW w:w="1658" w:type="pct"/>
            <w:tcBorders>
              <w:top w:val="single" w:color="auto" w:sz="4" w:space="0"/>
              <w:left w:val="single" w:color="auto" w:sz="4" w:space="0"/>
              <w:bottom w:val="single" w:color="auto" w:sz="4" w:space="0"/>
              <w:right w:val="single" w:color="auto" w:sz="4" w:space="0"/>
            </w:tcBorders>
            <w:vAlign w:val="center"/>
          </w:tcPr>
          <w:p w14:paraId="6BC04EA4">
            <w:pPr>
              <w:adjustRightInd w:val="0"/>
              <w:spacing w:line="240" w:lineRule="auto"/>
              <w:ind w:firstLine="0" w:firstLineChars="0"/>
              <w:rPr>
                <w:rFonts w:cs="Times New Roman"/>
                <w:kern w:val="0"/>
                <w:sz w:val="21"/>
                <w:szCs w:val="21"/>
              </w:rPr>
            </w:pPr>
            <w:r>
              <w:rPr>
                <w:rFonts w:hint="eastAsia" w:cs="Times New Roman"/>
                <w:kern w:val="0"/>
                <w:sz w:val="21"/>
                <w:szCs w:val="21"/>
              </w:rPr>
              <w:t>未采用内燃机车。</w:t>
            </w:r>
          </w:p>
        </w:tc>
        <w:tc>
          <w:tcPr>
            <w:tcW w:w="406" w:type="pct"/>
            <w:tcBorders>
              <w:top w:val="single" w:color="auto" w:sz="4" w:space="0"/>
              <w:left w:val="single" w:color="auto" w:sz="4" w:space="0"/>
              <w:bottom w:val="single" w:color="auto" w:sz="4" w:space="0"/>
              <w:right w:val="single" w:color="auto" w:sz="4" w:space="0"/>
            </w:tcBorders>
            <w:vAlign w:val="center"/>
          </w:tcPr>
          <w:p w14:paraId="4B95D7A6">
            <w:pPr>
              <w:adjustRightInd w:val="0"/>
              <w:spacing w:line="240" w:lineRule="auto"/>
              <w:ind w:firstLine="0" w:firstLineChars="0"/>
              <w:jc w:val="center"/>
              <w:rPr>
                <w:rFonts w:cs="Times New Roman"/>
                <w:sz w:val="21"/>
                <w:szCs w:val="21"/>
              </w:rPr>
            </w:pPr>
            <w:r>
              <w:rPr>
                <w:rFonts w:hint="eastAsia" w:cs="Times New Roman"/>
                <w:sz w:val="21"/>
                <w:szCs w:val="21"/>
              </w:rPr>
              <w:t>符合要求</w:t>
            </w:r>
          </w:p>
        </w:tc>
      </w:tr>
      <w:tr w14:paraId="5622A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71CC893C">
            <w:pPr>
              <w:adjustRightInd w:val="0"/>
              <w:spacing w:line="240" w:lineRule="auto"/>
              <w:ind w:firstLine="0" w:firstLineChars="0"/>
              <w:jc w:val="center"/>
              <w:rPr>
                <w:rFonts w:cs="Times New Roman"/>
                <w:sz w:val="21"/>
                <w:szCs w:val="21"/>
              </w:rPr>
            </w:pPr>
            <w:r>
              <w:rPr>
                <w:rFonts w:hint="eastAsia" w:cs="Times New Roman"/>
                <w:sz w:val="21"/>
                <w:szCs w:val="21"/>
              </w:rPr>
              <w:t>6</w:t>
            </w:r>
          </w:p>
        </w:tc>
        <w:tc>
          <w:tcPr>
            <w:tcW w:w="1430" w:type="pct"/>
            <w:tcBorders>
              <w:top w:val="single" w:color="auto" w:sz="4" w:space="0"/>
              <w:left w:val="single" w:color="auto" w:sz="4" w:space="0"/>
              <w:bottom w:val="single" w:color="auto" w:sz="4" w:space="0"/>
              <w:right w:val="single" w:color="auto" w:sz="4" w:space="0"/>
            </w:tcBorders>
            <w:vAlign w:val="center"/>
          </w:tcPr>
          <w:p w14:paraId="4EB9A554">
            <w:pPr>
              <w:adjustRightInd w:val="0"/>
              <w:snapToGrid w:val="0"/>
              <w:spacing w:line="240" w:lineRule="auto"/>
              <w:ind w:firstLine="0" w:firstLineChars="0"/>
              <w:rPr>
                <w:rFonts w:cs="Times New Roman"/>
                <w:sz w:val="21"/>
                <w:szCs w:val="21"/>
              </w:rPr>
            </w:pPr>
            <w:r>
              <w:rPr>
                <w:rFonts w:hint="eastAsia" w:cs="Times New Roman"/>
                <w:sz w:val="21"/>
                <w:szCs w:val="21"/>
              </w:rPr>
              <w:t>无轨设备应符合下列规定：</w:t>
            </w:r>
          </w:p>
          <w:p w14:paraId="43085BF6">
            <w:pPr>
              <w:adjustRightInd w:val="0"/>
              <w:snapToGrid w:val="0"/>
              <w:spacing w:line="240" w:lineRule="auto"/>
              <w:ind w:firstLine="0" w:firstLineChars="0"/>
              <w:rPr>
                <w:rFonts w:cs="Times New Roman"/>
                <w:sz w:val="21"/>
                <w:szCs w:val="21"/>
              </w:rPr>
            </w:pPr>
            <w:r>
              <w:rPr>
                <w:rFonts w:hint="eastAsia" w:cs="Times New Roman"/>
                <w:sz w:val="21"/>
                <w:szCs w:val="21"/>
              </w:rPr>
              <w:t>——采用电动机或者柴油发动机驱动；</w:t>
            </w:r>
          </w:p>
          <w:p w14:paraId="32BCBB0B">
            <w:pPr>
              <w:adjustRightInd w:val="0"/>
              <w:snapToGrid w:val="0"/>
              <w:spacing w:line="240" w:lineRule="auto"/>
              <w:ind w:firstLine="0" w:firstLineChars="0"/>
              <w:rPr>
                <w:rFonts w:cs="Times New Roman"/>
                <w:sz w:val="21"/>
                <w:szCs w:val="21"/>
              </w:rPr>
            </w:pPr>
            <w:r>
              <w:rPr>
                <w:rFonts w:hint="eastAsia" w:cs="Times New Roman"/>
                <w:sz w:val="21"/>
                <w:szCs w:val="21"/>
              </w:rPr>
              <w:t>——柴油发动机尾气中：CO的体积浓度小于或等于1500×10</w:t>
            </w:r>
            <w:r>
              <w:rPr>
                <w:rFonts w:hint="eastAsia" w:cs="Times New Roman"/>
                <w:sz w:val="21"/>
                <w:szCs w:val="21"/>
                <w:vertAlign w:val="superscript"/>
              </w:rPr>
              <w:t>-6</w:t>
            </w:r>
            <w:r>
              <w:rPr>
                <w:rFonts w:hint="eastAsia" w:cs="Times New Roman"/>
                <w:sz w:val="21"/>
                <w:szCs w:val="21"/>
              </w:rPr>
              <w:t>，NO的体积浓度小于或等于900×10</w:t>
            </w:r>
            <w:r>
              <w:rPr>
                <w:rFonts w:hint="eastAsia" w:cs="Times New Roman"/>
                <w:sz w:val="21"/>
                <w:szCs w:val="21"/>
                <w:vertAlign w:val="superscript"/>
              </w:rPr>
              <w:t>-6</w:t>
            </w:r>
            <w:r>
              <w:rPr>
                <w:rFonts w:hint="eastAsia" w:cs="Times New Roman"/>
                <w:sz w:val="21"/>
                <w:szCs w:val="21"/>
              </w:rPr>
              <w:t>；</w:t>
            </w:r>
          </w:p>
          <w:p w14:paraId="0D606433">
            <w:pPr>
              <w:adjustRightInd w:val="0"/>
              <w:snapToGrid w:val="0"/>
              <w:spacing w:line="240" w:lineRule="auto"/>
              <w:ind w:firstLine="0" w:firstLineChars="0"/>
              <w:rPr>
                <w:rFonts w:cs="Times New Roman"/>
                <w:sz w:val="21"/>
                <w:szCs w:val="21"/>
              </w:rPr>
            </w:pPr>
            <w:r>
              <w:rPr>
                <w:rFonts w:hint="eastAsia" w:cs="Times New Roman"/>
                <w:sz w:val="21"/>
                <w:szCs w:val="21"/>
              </w:rPr>
              <w:t>——每台设备均应配备灭火装置；</w:t>
            </w:r>
          </w:p>
          <w:p w14:paraId="45F0ABC7">
            <w:pPr>
              <w:adjustRightInd w:val="0"/>
              <w:snapToGrid w:val="0"/>
              <w:spacing w:line="240" w:lineRule="auto"/>
              <w:ind w:firstLine="0" w:firstLineChars="0"/>
              <w:rPr>
                <w:rFonts w:cs="Times New Roman"/>
                <w:sz w:val="21"/>
                <w:szCs w:val="21"/>
              </w:rPr>
            </w:pPr>
            <w:r>
              <w:rPr>
                <w:rFonts w:hint="eastAsia" w:cs="Times New Roman"/>
                <w:sz w:val="21"/>
                <w:szCs w:val="21"/>
              </w:rPr>
              <w:t>——刹车系统、灯光系统、警报系统应齐全有效；</w:t>
            </w:r>
          </w:p>
          <w:p w14:paraId="3CFAD46C">
            <w:pPr>
              <w:adjustRightInd w:val="0"/>
              <w:snapToGrid w:val="0"/>
              <w:spacing w:line="240" w:lineRule="auto"/>
              <w:ind w:firstLine="0" w:firstLineChars="0"/>
              <w:rPr>
                <w:rFonts w:cs="Times New Roman"/>
                <w:sz w:val="21"/>
                <w:szCs w:val="21"/>
              </w:rPr>
            </w:pPr>
            <w:r>
              <w:rPr>
                <w:rFonts w:hint="eastAsia" w:cs="Times New Roman"/>
                <w:sz w:val="21"/>
                <w:szCs w:val="21"/>
              </w:rPr>
              <w:t>——操作人员上方应有防护板或者防护网；</w:t>
            </w:r>
          </w:p>
          <w:p w14:paraId="7DB418FC">
            <w:pPr>
              <w:adjustRightInd w:val="0"/>
              <w:snapToGrid w:val="0"/>
              <w:spacing w:line="240" w:lineRule="auto"/>
              <w:ind w:firstLine="0" w:firstLineChars="0"/>
              <w:rPr>
                <w:rFonts w:cs="Times New Roman"/>
                <w:sz w:val="21"/>
                <w:szCs w:val="21"/>
              </w:rPr>
            </w:pPr>
            <w:r>
              <w:rPr>
                <w:rFonts w:hint="eastAsia" w:cs="Times New Roman"/>
                <w:sz w:val="21"/>
                <w:szCs w:val="21"/>
              </w:rPr>
              <w:t>——用于运输人员、油料的无轨设备应采用湿式制动器；</w:t>
            </w:r>
          </w:p>
          <w:p w14:paraId="012F6F04">
            <w:pPr>
              <w:adjustRightInd w:val="0"/>
              <w:snapToGrid w:val="0"/>
              <w:spacing w:line="240" w:lineRule="auto"/>
              <w:ind w:firstLine="0" w:firstLineChars="0"/>
              <w:rPr>
                <w:rFonts w:cs="Times New Roman"/>
                <w:sz w:val="21"/>
                <w:szCs w:val="21"/>
              </w:rPr>
            </w:pPr>
            <w:r>
              <w:rPr>
                <w:rFonts w:hint="eastAsia" w:cs="Times New Roman"/>
                <w:sz w:val="21"/>
                <w:szCs w:val="21"/>
              </w:rPr>
              <w:t>——井下专用运人车应有行车制动系统、驻车制动系统和应急制动系统；</w:t>
            </w:r>
          </w:p>
          <w:p w14:paraId="13C29C7C">
            <w:pPr>
              <w:adjustRightInd w:val="0"/>
              <w:snapToGrid w:val="0"/>
              <w:spacing w:line="240" w:lineRule="auto"/>
              <w:ind w:firstLine="0" w:firstLineChars="0"/>
              <w:rPr>
                <w:rFonts w:cs="Times New Roman"/>
                <w:sz w:val="21"/>
                <w:szCs w:val="21"/>
              </w:rPr>
            </w:pPr>
            <w:r>
              <w:rPr>
                <w:rFonts w:hint="eastAsia" w:cs="Times New Roman"/>
                <w:sz w:val="21"/>
                <w:szCs w:val="21"/>
              </w:rPr>
              <w:t>——行车制动系统和应急制动系统至少有一个为失效安全型。</w:t>
            </w:r>
          </w:p>
        </w:tc>
        <w:tc>
          <w:tcPr>
            <w:tcW w:w="1144" w:type="pct"/>
            <w:tcBorders>
              <w:top w:val="single" w:color="auto" w:sz="4" w:space="0"/>
              <w:left w:val="single" w:color="auto" w:sz="4" w:space="0"/>
              <w:bottom w:val="single" w:color="auto" w:sz="4" w:space="0"/>
              <w:right w:val="single" w:color="auto" w:sz="4" w:space="0"/>
            </w:tcBorders>
            <w:vAlign w:val="center"/>
          </w:tcPr>
          <w:p w14:paraId="2BFA0516">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1A1D94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9191E12">
            <w:pPr>
              <w:adjustRightInd w:val="0"/>
              <w:snapToGrid w:val="0"/>
              <w:spacing w:line="240" w:lineRule="auto"/>
              <w:ind w:firstLine="0" w:firstLineChars="0"/>
              <w:jc w:val="center"/>
              <w:rPr>
                <w:rFonts w:cs="Times New Roman"/>
                <w:sz w:val="21"/>
                <w:szCs w:val="21"/>
              </w:rPr>
            </w:pPr>
            <w:r>
              <w:rPr>
                <w:rFonts w:cs="Times New Roman"/>
                <w:sz w:val="21"/>
                <w:szCs w:val="21"/>
              </w:rPr>
              <w:t>第6.3.4.2条</w:t>
            </w:r>
          </w:p>
        </w:tc>
        <w:tc>
          <w:tcPr>
            <w:tcW w:w="1658" w:type="pct"/>
            <w:tcBorders>
              <w:top w:val="single" w:color="auto" w:sz="4" w:space="0"/>
              <w:left w:val="single" w:color="auto" w:sz="4" w:space="0"/>
              <w:bottom w:val="single" w:color="auto" w:sz="4" w:space="0"/>
              <w:right w:val="single" w:color="auto" w:sz="4" w:space="0"/>
            </w:tcBorders>
            <w:vAlign w:val="center"/>
          </w:tcPr>
          <w:p w14:paraId="43A36D3F">
            <w:pPr>
              <w:adjustRightInd w:val="0"/>
              <w:spacing w:line="240" w:lineRule="auto"/>
              <w:ind w:firstLine="0" w:firstLineChars="0"/>
              <w:rPr>
                <w:rFonts w:cs="Times New Roman"/>
                <w:kern w:val="0"/>
                <w:sz w:val="21"/>
                <w:szCs w:val="21"/>
              </w:rPr>
            </w:pPr>
            <w:r>
              <w:rPr>
                <w:rFonts w:hint="eastAsia" w:cs="Times New Roman"/>
                <w:kern w:val="0"/>
                <w:sz w:val="21"/>
                <w:szCs w:val="21"/>
              </w:rPr>
              <w:t>可研未提及相关要求。</w:t>
            </w:r>
          </w:p>
        </w:tc>
        <w:tc>
          <w:tcPr>
            <w:tcW w:w="406" w:type="pct"/>
            <w:tcBorders>
              <w:top w:val="single" w:color="auto" w:sz="4" w:space="0"/>
              <w:left w:val="single" w:color="auto" w:sz="4" w:space="0"/>
              <w:bottom w:val="single" w:color="auto" w:sz="4" w:space="0"/>
              <w:right w:val="single" w:color="auto" w:sz="4" w:space="0"/>
            </w:tcBorders>
            <w:vAlign w:val="center"/>
          </w:tcPr>
          <w:p w14:paraId="6FA2DDC4">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20AAA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09C059AC">
            <w:pPr>
              <w:adjustRightInd w:val="0"/>
              <w:spacing w:line="240" w:lineRule="auto"/>
              <w:ind w:firstLine="0" w:firstLineChars="0"/>
              <w:jc w:val="center"/>
              <w:rPr>
                <w:rFonts w:cs="Times New Roman"/>
                <w:sz w:val="21"/>
                <w:szCs w:val="21"/>
              </w:rPr>
            </w:pPr>
            <w:r>
              <w:rPr>
                <w:rFonts w:hint="eastAsia" w:cs="Times New Roman"/>
                <w:sz w:val="21"/>
                <w:szCs w:val="21"/>
              </w:rPr>
              <w:t>7</w:t>
            </w:r>
          </w:p>
        </w:tc>
        <w:tc>
          <w:tcPr>
            <w:tcW w:w="1430" w:type="pct"/>
            <w:tcBorders>
              <w:top w:val="single" w:color="auto" w:sz="4" w:space="0"/>
              <w:left w:val="single" w:color="auto" w:sz="4" w:space="0"/>
              <w:bottom w:val="single" w:color="auto" w:sz="4" w:space="0"/>
              <w:right w:val="single" w:color="auto" w:sz="4" w:space="0"/>
            </w:tcBorders>
            <w:vAlign w:val="center"/>
          </w:tcPr>
          <w:p w14:paraId="333CE12B">
            <w:pPr>
              <w:adjustRightInd w:val="0"/>
              <w:snapToGrid w:val="0"/>
              <w:spacing w:line="240" w:lineRule="auto"/>
              <w:ind w:firstLine="0" w:firstLineChars="0"/>
              <w:rPr>
                <w:rFonts w:cs="Times New Roman"/>
                <w:sz w:val="21"/>
                <w:szCs w:val="21"/>
              </w:rPr>
            </w:pPr>
            <w:r>
              <w:rPr>
                <w:rFonts w:hint="eastAsia" w:cs="Times New Roman"/>
                <w:sz w:val="21"/>
                <w:szCs w:val="21"/>
              </w:rPr>
              <w:t>无轨运人车辆设计乘人数应小于或等于 25 人（含驾驶人）。</w:t>
            </w:r>
          </w:p>
        </w:tc>
        <w:tc>
          <w:tcPr>
            <w:tcW w:w="1144" w:type="pct"/>
            <w:tcBorders>
              <w:top w:val="single" w:color="auto" w:sz="4" w:space="0"/>
              <w:left w:val="single" w:color="auto" w:sz="4" w:space="0"/>
              <w:bottom w:val="single" w:color="auto" w:sz="4" w:space="0"/>
              <w:right w:val="single" w:color="auto" w:sz="4" w:space="0"/>
            </w:tcBorders>
            <w:vAlign w:val="center"/>
          </w:tcPr>
          <w:p w14:paraId="4197059D">
            <w:pPr>
              <w:adjustRightInd w:val="0"/>
              <w:snapToGrid w:val="0"/>
              <w:spacing w:line="240" w:lineRule="auto"/>
              <w:ind w:firstLine="0" w:firstLineChars="0"/>
              <w:jc w:val="center"/>
              <w:rPr>
                <w:rFonts w:cs="Times New Roman"/>
                <w:sz w:val="21"/>
                <w:szCs w:val="21"/>
              </w:rPr>
            </w:pPr>
            <w:r>
              <w:rPr>
                <w:rFonts w:hint="eastAsia" w:cs="Times New Roman"/>
                <w:sz w:val="21"/>
                <w:szCs w:val="21"/>
              </w:rPr>
              <w:t>《地下矿山无轨运人车辆安全技术要求》第4</w:t>
            </w:r>
            <w:r>
              <w:rPr>
                <w:rFonts w:cs="Times New Roman"/>
                <w:sz w:val="21"/>
                <w:szCs w:val="21"/>
              </w:rPr>
              <w:t>.1.6</w:t>
            </w:r>
            <w:r>
              <w:rPr>
                <w:rFonts w:hint="eastAsia"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59BF2D74">
            <w:pPr>
              <w:adjustRightInd w:val="0"/>
              <w:spacing w:line="240" w:lineRule="auto"/>
              <w:ind w:firstLine="0" w:firstLineChars="0"/>
              <w:rPr>
                <w:rFonts w:cs="Times New Roman"/>
                <w:kern w:val="0"/>
                <w:sz w:val="21"/>
                <w:szCs w:val="21"/>
              </w:rPr>
            </w:pPr>
            <w:r>
              <w:rPr>
                <w:rFonts w:hint="eastAsia" w:cs="Times New Roman"/>
                <w:kern w:val="0"/>
                <w:sz w:val="21"/>
                <w:szCs w:val="21"/>
              </w:rPr>
              <w:t>可研未明确无轨人车乘坐人数。</w:t>
            </w:r>
          </w:p>
        </w:tc>
        <w:tc>
          <w:tcPr>
            <w:tcW w:w="406" w:type="pct"/>
            <w:tcBorders>
              <w:top w:val="single" w:color="auto" w:sz="4" w:space="0"/>
              <w:left w:val="single" w:color="auto" w:sz="4" w:space="0"/>
              <w:bottom w:val="single" w:color="auto" w:sz="4" w:space="0"/>
              <w:right w:val="single" w:color="auto" w:sz="4" w:space="0"/>
            </w:tcBorders>
            <w:vAlign w:val="center"/>
          </w:tcPr>
          <w:p w14:paraId="163F97AE">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1D3FE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62EE074B">
            <w:pPr>
              <w:adjustRightInd w:val="0"/>
              <w:spacing w:line="240" w:lineRule="auto"/>
              <w:ind w:firstLine="0" w:firstLineChars="0"/>
              <w:jc w:val="center"/>
              <w:rPr>
                <w:rFonts w:cs="Times New Roman"/>
                <w:sz w:val="21"/>
                <w:szCs w:val="21"/>
              </w:rPr>
            </w:pPr>
            <w:r>
              <w:rPr>
                <w:rFonts w:hint="eastAsia" w:cs="Times New Roman"/>
                <w:sz w:val="21"/>
                <w:szCs w:val="21"/>
              </w:rPr>
              <w:t>8</w:t>
            </w:r>
          </w:p>
        </w:tc>
        <w:tc>
          <w:tcPr>
            <w:tcW w:w="1430" w:type="pct"/>
            <w:tcBorders>
              <w:top w:val="single" w:color="auto" w:sz="4" w:space="0"/>
              <w:left w:val="single" w:color="auto" w:sz="4" w:space="0"/>
              <w:bottom w:val="single" w:color="auto" w:sz="4" w:space="0"/>
              <w:right w:val="single" w:color="auto" w:sz="4" w:space="0"/>
            </w:tcBorders>
            <w:vAlign w:val="center"/>
          </w:tcPr>
          <w:p w14:paraId="31F8903E">
            <w:pPr>
              <w:adjustRightInd w:val="0"/>
              <w:snapToGrid w:val="0"/>
              <w:spacing w:line="240" w:lineRule="auto"/>
              <w:ind w:firstLine="0" w:firstLineChars="0"/>
              <w:rPr>
                <w:rFonts w:cs="Times New Roman"/>
                <w:sz w:val="21"/>
                <w:szCs w:val="21"/>
              </w:rPr>
            </w:pPr>
            <w:r>
              <w:rPr>
                <w:rFonts w:hint="eastAsia" w:cs="Times New Roman"/>
                <w:sz w:val="21"/>
                <w:szCs w:val="21"/>
              </w:rPr>
              <w:t>采用电机车运输的矿井，由井底车场或平硐口到作业地点所经平巷长度超过1500m时，应设专用人车运送人员。</w:t>
            </w:r>
          </w:p>
          <w:p w14:paraId="609AC094">
            <w:pPr>
              <w:adjustRightInd w:val="0"/>
              <w:snapToGrid w:val="0"/>
              <w:spacing w:line="240" w:lineRule="auto"/>
              <w:ind w:firstLine="0" w:firstLineChars="0"/>
              <w:rPr>
                <w:rFonts w:cs="Times New Roman"/>
                <w:sz w:val="21"/>
                <w:szCs w:val="21"/>
              </w:rPr>
            </w:pPr>
            <w:r>
              <w:rPr>
                <w:rFonts w:hint="eastAsia" w:cs="Times New Roman"/>
                <w:sz w:val="21"/>
                <w:szCs w:val="21"/>
              </w:rPr>
              <w:t>专用人车应有坚固的金属顶棚和确保人员安全的车辆结构，车辆的顶棚、车厢和车架应有良好的连接，通过钢轨实现电气接地。</w:t>
            </w:r>
          </w:p>
        </w:tc>
        <w:tc>
          <w:tcPr>
            <w:tcW w:w="1144" w:type="pct"/>
            <w:tcBorders>
              <w:top w:val="single" w:color="auto" w:sz="4" w:space="0"/>
              <w:left w:val="single" w:color="auto" w:sz="4" w:space="0"/>
              <w:bottom w:val="single" w:color="auto" w:sz="4" w:space="0"/>
              <w:right w:val="single" w:color="auto" w:sz="4" w:space="0"/>
            </w:tcBorders>
            <w:vAlign w:val="center"/>
          </w:tcPr>
          <w:p w14:paraId="04D45735">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612237DC">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2BDAE308">
            <w:pPr>
              <w:adjustRightInd w:val="0"/>
              <w:snapToGrid w:val="0"/>
              <w:spacing w:line="240" w:lineRule="auto"/>
              <w:ind w:firstLine="0" w:firstLineChars="0"/>
              <w:jc w:val="center"/>
              <w:rPr>
                <w:rFonts w:cs="Times New Roman"/>
                <w:sz w:val="21"/>
                <w:szCs w:val="21"/>
              </w:rPr>
            </w:pPr>
            <w:r>
              <w:rPr>
                <w:rFonts w:cs="Times New Roman"/>
                <w:sz w:val="21"/>
                <w:szCs w:val="21"/>
              </w:rPr>
              <w:t>第6.4.1.1条</w:t>
            </w:r>
          </w:p>
        </w:tc>
        <w:tc>
          <w:tcPr>
            <w:tcW w:w="1658" w:type="pct"/>
            <w:tcBorders>
              <w:top w:val="single" w:color="auto" w:sz="4" w:space="0"/>
              <w:left w:val="single" w:color="auto" w:sz="4" w:space="0"/>
              <w:bottom w:val="single" w:color="auto" w:sz="4" w:space="0"/>
              <w:right w:val="single" w:color="auto" w:sz="4" w:space="0"/>
            </w:tcBorders>
            <w:vAlign w:val="center"/>
          </w:tcPr>
          <w:p w14:paraId="074467A7">
            <w:pPr>
              <w:adjustRightInd w:val="0"/>
              <w:spacing w:line="240" w:lineRule="auto"/>
              <w:ind w:firstLine="0" w:firstLineChars="0"/>
              <w:rPr>
                <w:rFonts w:cs="Times New Roman"/>
                <w:kern w:val="0"/>
                <w:sz w:val="21"/>
                <w:szCs w:val="21"/>
              </w:rPr>
            </w:pPr>
            <w:r>
              <w:rPr>
                <w:rFonts w:hint="eastAsia" w:cs="Times New Roman"/>
                <w:kern w:val="0"/>
                <w:sz w:val="21"/>
                <w:szCs w:val="21"/>
              </w:rPr>
              <w:t>可研选用</w:t>
            </w:r>
            <w:r>
              <w:rPr>
                <w:rFonts w:cs="Times New Roman"/>
                <w:kern w:val="0"/>
                <w:sz w:val="21"/>
                <w:szCs w:val="21"/>
              </w:rPr>
              <w:t>PRC-18-9</w:t>
            </w:r>
            <w:r>
              <w:rPr>
                <w:rFonts w:hint="eastAsia" w:cs="Times New Roman"/>
                <w:kern w:val="0"/>
                <w:sz w:val="21"/>
                <w:szCs w:val="21"/>
              </w:rPr>
              <w:t>型人车运送人员，可研未提及人车安全装置要求。</w:t>
            </w:r>
          </w:p>
        </w:tc>
        <w:tc>
          <w:tcPr>
            <w:tcW w:w="406" w:type="pct"/>
            <w:tcBorders>
              <w:top w:val="single" w:color="auto" w:sz="4" w:space="0"/>
              <w:left w:val="single" w:color="auto" w:sz="4" w:space="0"/>
              <w:bottom w:val="single" w:color="auto" w:sz="4" w:space="0"/>
              <w:right w:val="single" w:color="auto" w:sz="4" w:space="0"/>
            </w:tcBorders>
            <w:vAlign w:val="center"/>
          </w:tcPr>
          <w:p w14:paraId="6649188E">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r w14:paraId="6EAB8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62" w:type="pct"/>
            <w:tcBorders>
              <w:top w:val="single" w:color="auto" w:sz="4" w:space="0"/>
              <w:left w:val="single" w:color="auto" w:sz="4" w:space="0"/>
              <w:bottom w:val="single" w:color="auto" w:sz="4" w:space="0"/>
              <w:right w:val="single" w:color="auto" w:sz="4" w:space="0"/>
            </w:tcBorders>
            <w:vAlign w:val="center"/>
          </w:tcPr>
          <w:p w14:paraId="690E9137">
            <w:pPr>
              <w:adjustRightInd w:val="0"/>
              <w:spacing w:line="240" w:lineRule="auto"/>
              <w:ind w:firstLine="0" w:firstLineChars="0"/>
              <w:jc w:val="center"/>
              <w:rPr>
                <w:rFonts w:cs="Times New Roman"/>
                <w:sz w:val="21"/>
                <w:szCs w:val="21"/>
              </w:rPr>
            </w:pPr>
            <w:r>
              <w:rPr>
                <w:rFonts w:hint="eastAsia" w:cs="Times New Roman"/>
                <w:sz w:val="21"/>
                <w:szCs w:val="21"/>
              </w:rPr>
              <w:t>9</w:t>
            </w:r>
          </w:p>
        </w:tc>
        <w:tc>
          <w:tcPr>
            <w:tcW w:w="1430" w:type="pct"/>
            <w:tcBorders>
              <w:top w:val="single" w:color="auto" w:sz="4" w:space="0"/>
              <w:left w:val="single" w:color="auto" w:sz="4" w:space="0"/>
              <w:bottom w:val="single" w:color="auto" w:sz="4" w:space="0"/>
              <w:right w:val="single" w:color="auto" w:sz="4" w:space="0"/>
            </w:tcBorders>
            <w:vAlign w:val="center"/>
          </w:tcPr>
          <w:p w14:paraId="2376A1D3">
            <w:pPr>
              <w:adjustRightInd w:val="0"/>
              <w:snapToGrid w:val="0"/>
              <w:spacing w:line="240" w:lineRule="auto"/>
              <w:ind w:firstLine="0" w:firstLineChars="0"/>
              <w:rPr>
                <w:rFonts w:cs="Times New Roman"/>
                <w:sz w:val="21"/>
                <w:szCs w:val="21"/>
              </w:rPr>
            </w:pPr>
            <w:r>
              <w:rPr>
                <w:rFonts w:hint="eastAsia" w:cs="Times New Roman"/>
                <w:sz w:val="21"/>
                <w:szCs w:val="21"/>
              </w:rPr>
              <w:t>专用人车运送人员应遵守下列规定：</w:t>
            </w:r>
          </w:p>
          <w:p w14:paraId="192AF33F">
            <w:pPr>
              <w:adjustRightInd w:val="0"/>
              <w:snapToGrid w:val="0"/>
              <w:spacing w:line="240" w:lineRule="auto"/>
              <w:ind w:firstLine="0" w:firstLineChars="0"/>
              <w:rPr>
                <w:rFonts w:cs="Times New Roman"/>
                <w:sz w:val="21"/>
                <w:szCs w:val="21"/>
              </w:rPr>
            </w:pPr>
            <w:r>
              <w:rPr>
                <w:rFonts w:hint="eastAsia" w:cs="Times New Roman"/>
                <w:sz w:val="21"/>
                <w:szCs w:val="21"/>
              </w:rPr>
              <w:t>——人员上、下车地点应有良好的照明和声光信号装置；</w:t>
            </w:r>
          </w:p>
          <w:p w14:paraId="1FC27854">
            <w:pPr>
              <w:adjustRightInd w:val="0"/>
              <w:snapToGrid w:val="0"/>
              <w:spacing w:line="240" w:lineRule="auto"/>
              <w:ind w:firstLine="0" w:firstLineChars="0"/>
              <w:rPr>
                <w:rFonts w:cs="Times New Roman"/>
                <w:sz w:val="21"/>
                <w:szCs w:val="21"/>
              </w:rPr>
            </w:pPr>
            <w:r>
              <w:rPr>
                <w:rFonts w:hint="eastAsia" w:cs="Times New Roman"/>
                <w:sz w:val="21"/>
                <w:szCs w:val="21"/>
              </w:rPr>
              <w:t>——人员上、下车时，其他车辆不应进入乘车区域；</w:t>
            </w:r>
          </w:p>
          <w:p w14:paraId="028EEA16">
            <w:pPr>
              <w:adjustRightInd w:val="0"/>
              <w:snapToGrid w:val="0"/>
              <w:spacing w:line="240" w:lineRule="auto"/>
              <w:ind w:firstLine="0" w:firstLineChars="0"/>
              <w:rPr>
                <w:rFonts w:cs="Times New Roman"/>
                <w:sz w:val="21"/>
                <w:szCs w:val="21"/>
              </w:rPr>
            </w:pPr>
            <w:r>
              <w:rPr>
                <w:rFonts w:hint="eastAsia" w:cs="Times New Roman"/>
                <w:sz w:val="21"/>
                <w:szCs w:val="21"/>
              </w:rPr>
              <w:t>——不应超员；</w:t>
            </w:r>
          </w:p>
          <w:p w14:paraId="3FB710FA">
            <w:pPr>
              <w:adjustRightInd w:val="0"/>
              <w:snapToGrid w:val="0"/>
              <w:spacing w:line="240" w:lineRule="auto"/>
              <w:ind w:firstLine="0" w:firstLineChars="0"/>
              <w:rPr>
                <w:rFonts w:cs="Times New Roman"/>
                <w:sz w:val="21"/>
                <w:szCs w:val="21"/>
              </w:rPr>
            </w:pPr>
            <w:r>
              <w:rPr>
                <w:rFonts w:hint="eastAsia" w:cs="Times New Roman"/>
                <w:sz w:val="21"/>
                <w:szCs w:val="21"/>
              </w:rPr>
              <w:t>——列车行驶前应挂好安全门链；</w:t>
            </w:r>
          </w:p>
          <w:p w14:paraId="6D132F7F">
            <w:pPr>
              <w:adjustRightInd w:val="0"/>
              <w:snapToGrid w:val="0"/>
              <w:spacing w:line="240" w:lineRule="auto"/>
              <w:ind w:firstLine="0" w:firstLineChars="0"/>
              <w:rPr>
                <w:rFonts w:cs="Times New Roman"/>
                <w:sz w:val="21"/>
                <w:szCs w:val="21"/>
              </w:rPr>
            </w:pPr>
            <w:r>
              <w:rPr>
                <w:rFonts w:hint="eastAsia" w:cs="Times New Roman"/>
                <w:sz w:val="21"/>
                <w:szCs w:val="21"/>
              </w:rPr>
              <w:t>——列车行驶速度不超过3m/s；</w:t>
            </w:r>
          </w:p>
          <w:p w14:paraId="14120277">
            <w:pPr>
              <w:adjustRightInd w:val="0"/>
              <w:snapToGrid w:val="0"/>
              <w:spacing w:line="240" w:lineRule="auto"/>
              <w:ind w:firstLine="0" w:firstLineChars="0"/>
              <w:rPr>
                <w:rFonts w:cs="Times New Roman"/>
                <w:sz w:val="21"/>
                <w:szCs w:val="21"/>
              </w:rPr>
            </w:pPr>
            <w:r>
              <w:rPr>
                <w:rFonts w:hint="eastAsia" w:cs="Times New Roman"/>
                <w:sz w:val="21"/>
                <w:szCs w:val="21"/>
              </w:rPr>
              <w:t>——架线式电机车的滑触线应设分段开关，人员上、下车时应切断电源；</w:t>
            </w:r>
          </w:p>
          <w:p w14:paraId="11F5554B">
            <w:pPr>
              <w:adjustRightInd w:val="0"/>
              <w:snapToGrid w:val="0"/>
              <w:spacing w:line="240" w:lineRule="auto"/>
              <w:ind w:firstLine="0" w:firstLineChars="0"/>
              <w:rPr>
                <w:rFonts w:cs="Times New Roman"/>
                <w:sz w:val="21"/>
                <w:szCs w:val="21"/>
              </w:rPr>
            </w:pPr>
            <w:r>
              <w:rPr>
                <w:rFonts w:hint="eastAsia" w:cs="Times New Roman"/>
                <w:sz w:val="21"/>
                <w:szCs w:val="21"/>
              </w:rPr>
              <w:t>——不应用人车运送具有爆炸性、易燃性、腐蚀性等危险特性的物品；</w:t>
            </w:r>
          </w:p>
          <w:p w14:paraId="6EE5DF6B">
            <w:pPr>
              <w:adjustRightInd w:val="0"/>
              <w:snapToGrid w:val="0"/>
              <w:spacing w:line="240" w:lineRule="auto"/>
              <w:ind w:firstLine="0" w:firstLineChars="0"/>
              <w:rPr>
                <w:rFonts w:cs="Times New Roman"/>
                <w:sz w:val="21"/>
                <w:szCs w:val="21"/>
              </w:rPr>
            </w:pPr>
            <w:r>
              <w:rPr>
                <w:rFonts w:hint="eastAsia" w:cs="Times New Roman"/>
                <w:sz w:val="21"/>
                <w:szCs w:val="21"/>
              </w:rPr>
              <w:t>——除了处理事故外，不应附挂材料车。</w:t>
            </w:r>
          </w:p>
        </w:tc>
        <w:tc>
          <w:tcPr>
            <w:tcW w:w="1144" w:type="pct"/>
            <w:tcBorders>
              <w:top w:val="single" w:color="auto" w:sz="4" w:space="0"/>
              <w:left w:val="single" w:color="auto" w:sz="4" w:space="0"/>
              <w:bottom w:val="single" w:color="auto" w:sz="4" w:space="0"/>
              <w:right w:val="single" w:color="auto" w:sz="4" w:space="0"/>
            </w:tcBorders>
            <w:vAlign w:val="center"/>
          </w:tcPr>
          <w:p w14:paraId="0B4837D9">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6C933B66">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03B8F00E">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6.4.1.2</w:t>
            </w:r>
            <w:r>
              <w:rPr>
                <w:rFonts w:cs="Times New Roman"/>
                <w:sz w:val="21"/>
                <w:szCs w:val="21"/>
              </w:rPr>
              <w:t>条</w:t>
            </w:r>
          </w:p>
        </w:tc>
        <w:tc>
          <w:tcPr>
            <w:tcW w:w="1658" w:type="pct"/>
            <w:tcBorders>
              <w:top w:val="single" w:color="auto" w:sz="4" w:space="0"/>
              <w:left w:val="single" w:color="auto" w:sz="4" w:space="0"/>
              <w:bottom w:val="single" w:color="auto" w:sz="4" w:space="0"/>
              <w:right w:val="single" w:color="auto" w:sz="4" w:space="0"/>
            </w:tcBorders>
            <w:vAlign w:val="center"/>
          </w:tcPr>
          <w:p w14:paraId="68DDF704">
            <w:pPr>
              <w:adjustRightInd w:val="0"/>
              <w:spacing w:line="240" w:lineRule="auto"/>
              <w:ind w:firstLine="0" w:firstLineChars="0"/>
              <w:rPr>
                <w:rFonts w:cs="Times New Roman"/>
                <w:kern w:val="0"/>
                <w:sz w:val="21"/>
                <w:szCs w:val="21"/>
              </w:rPr>
            </w:pPr>
            <w:r>
              <w:rPr>
                <w:rFonts w:hint="eastAsia" w:cs="Times New Roman"/>
                <w:kern w:val="0"/>
                <w:sz w:val="21"/>
                <w:szCs w:val="21"/>
              </w:rPr>
              <w:t>可研未提及相关要求。</w:t>
            </w:r>
          </w:p>
        </w:tc>
        <w:tc>
          <w:tcPr>
            <w:tcW w:w="406" w:type="pct"/>
            <w:tcBorders>
              <w:top w:val="single" w:color="auto" w:sz="4" w:space="0"/>
              <w:left w:val="single" w:color="auto" w:sz="4" w:space="0"/>
              <w:bottom w:val="single" w:color="auto" w:sz="4" w:space="0"/>
              <w:right w:val="single" w:color="auto" w:sz="4" w:space="0"/>
            </w:tcBorders>
            <w:vAlign w:val="center"/>
          </w:tcPr>
          <w:p w14:paraId="265A3B8E">
            <w:pPr>
              <w:adjustRightInd w:val="0"/>
              <w:spacing w:line="240" w:lineRule="auto"/>
              <w:ind w:firstLine="0" w:firstLineChars="0"/>
              <w:jc w:val="center"/>
              <w:rPr>
                <w:rFonts w:cs="Times New Roman"/>
                <w:sz w:val="21"/>
                <w:szCs w:val="21"/>
              </w:rPr>
            </w:pPr>
            <w:r>
              <w:rPr>
                <w:rFonts w:cs="Times New Roman"/>
                <w:sz w:val="21"/>
                <w:szCs w:val="21"/>
              </w:rPr>
              <w:t>下一阶段设计中需完善</w:t>
            </w:r>
          </w:p>
        </w:tc>
      </w:tr>
    </w:tbl>
    <w:p w14:paraId="7C5AAF2B">
      <w:pPr>
        <w:adjustRightInd w:val="0"/>
        <w:snapToGrid w:val="0"/>
        <w:spacing w:line="360" w:lineRule="auto"/>
        <w:ind w:firstLine="0" w:firstLineChars="0"/>
        <w:rPr>
          <w:rFonts w:asciiTheme="minorHAnsi" w:hAnsiTheme="minorHAnsi" w:cstheme="minorHAnsi"/>
          <w:b/>
          <w:szCs w:val="28"/>
        </w:rPr>
      </w:pPr>
    </w:p>
    <w:p w14:paraId="460C4A61">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3.3.4评价小结</w:t>
      </w:r>
    </w:p>
    <w:p w14:paraId="2BA02F5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提升运输系统主要危害是高处坠落、机械伤害和车辆伤害，应重点防范的是高处坠落（主要为坠罐）和车辆伤害。</w:t>
      </w:r>
    </w:p>
    <w:p w14:paraId="4F27A8FA">
      <w:pPr>
        <w:adjustRightInd w:val="0"/>
        <w:snapToGrid w:val="0"/>
        <w:spacing w:line="360" w:lineRule="auto"/>
        <w:ind w:firstLine="562"/>
        <w:rPr>
          <w:rFonts w:asciiTheme="minorHAnsi" w:hAnsiTheme="minorHAnsi" w:cstheme="minorHAnsi"/>
          <w:szCs w:val="28"/>
        </w:rPr>
      </w:pPr>
      <w:r>
        <w:rPr>
          <w:rFonts w:asciiTheme="minorHAnsi" w:hAnsiTheme="minorHAnsi" w:cstheme="minorHAnsi"/>
          <w:b/>
          <w:szCs w:val="28"/>
        </w:rPr>
        <w:t>下一阶段设计中应完善以下问题：</w:t>
      </w:r>
    </w:p>
    <w:p w14:paraId="68808B32">
      <w:pPr>
        <w:adjustRightInd w:val="0"/>
        <w:snapToGrid w:val="0"/>
        <w:spacing w:line="360" w:lineRule="auto"/>
        <w:ind w:firstLine="560"/>
        <w:rPr>
          <w:rFonts w:asciiTheme="minorHAnsi" w:hAnsiTheme="minorHAnsi" w:cstheme="minorHAnsi"/>
          <w:szCs w:val="28"/>
        </w:rPr>
      </w:pPr>
      <w:bookmarkStart w:id="97" w:name="_Hlk174366127"/>
      <w:bookmarkStart w:id="98" w:name="_Toc1954"/>
      <w:r>
        <w:rPr>
          <w:rFonts w:hint="eastAsia" w:asciiTheme="minorHAnsi" w:hAnsiTheme="minorHAnsi" w:cstheme="minorHAnsi"/>
          <w:szCs w:val="28"/>
        </w:rPr>
        <w:t>（1）应对提升竖井的井塔或者井架内和竖井井底过卷段和过卷装置进行详细设计。</w:t>
      </w:r>
    </w:p>
    <w:p w14:paraId="78C43AC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过卷段高度应符合下列规定：</w:t>
      </w:r>
    </w:p>
    <w:p w14:paraId="1B0F2C0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——提升速度大于6m/s时，不小于最高提升速度下运行1s的距离或者10m；</w:t>
      </w:r>
    </w:p>
    <w:p w14:paraId="3018AC4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——提升速度为3m/s～6m/s时，不小于6m；</w:t>
      </w:r>
    </w:p>
    <w:p w14:paraId="3D9638A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——提升速度小于3m/s时，不小于4m；</w:t>
      </w:r>
    </w:p>
    <w:p w14:paraId="470800C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——凿井期间用吊桶提升时，不小于4m。</w:t>
      </w:r>
    </w:p>
    <w:p w14:paraId="1912051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过卷段终端应设置过卷挡梁；发生过卷事故后过卷挡梁应能正常使用。</w:t>
      </w:r>
    </w:p>
    <w:p w14:paraId="635B264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竖井提升系统应符合下列规定：</w:t>
      </w:r>
    </w:p>
    <w:p w14:paraId="3AD8CF4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——过卷段应设过卷缓冲装置或者楔形罐道，使过卷容器能够平稳地在过卷段内停住；</w:t>
      </w:r>
    </w:p>
    <w:p w14:paraId="4D9CEA2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——深度大于800m的竖井应设过卷缓冲装置，使过卷容器在缓冲装置内平稳停住，并不再反向下滑或反弹。</w:t>
      </w:r>
    </w:p>
    <w:p w14:paraId="1C70CF5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w:t>
      </w:r>
      <w:r>
        <w:rPr>
          <w:rFonts w:hint="eastAsia"/>
          <w:szCs w:val="28"/>
        </w:rPr>
        <w:t>明确电机车滑触线分段开关的详细设计；</w:t>
      </w:r>
      <w:r>
        <w:rPr>
          <w:rFonts w:hint="eastAsia" w:asciiTheme="minorHAnsi" w:hAnsiTheme="minorHAnsi" w:cstheme="minorHAnsi"/>
          <w:szCs w:val="28"/>
        </w:rPr>
        <w:t>电机车滑触线应设分段开关，分段距离不超过500m。每一条支线也应设分段开关。上下班时间，距井筒50m以内的滑触线应切断电源。</w:t>
      </w:r>
    </w:p>
    <w:p w14:paraId="2ECEE46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（3）明确矿车连接装置设置情况；车辆的连接装置不得自行脱钩，车辆两端的碰头或缓冲器的伸出长度不小于100mm。</w:t>
      </w:r>
    </w:p>
    <w:p w14:paraId="3F8A627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（4）下一步设计阶段应对无轨设备发动机类型、尾气净化装置、刹车装置、灭火装置等进行详细设计。</w:t>
      </w:r>
    </w:p>
    <w:p w14:paraId="3AF0AC2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w:t>
      </w:r>
      <w:r>
        <w:rPr>
          <w:rFonts w:asciiTheme="minorHAnsi" w:hAnsiTheme="minorHAnsi" w:cstheme="minorHAnsi"/>
          <w:szCs w:val="28"/>
        </w:rPr>
        <w:t>采用无轨设备运输应遵守下列规定：应采用地下矿山专用无轨设备；行驶速度不超过25km/h；通过斜坡道运输人员时，应采用井下专用运人车，每辆车乘员数量不超过25人；油料运输车辆在井下的行驶速度不超过15km/h，与其他同向运行车辆距离不小于100m；自动化作业采区应设置门禁系统；按照设备要求定期进行检查和维护保养。</w:t>
      </w:r>
    </w:p>
    <w:p w14:paraId="587D097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）地下人车、井下运矿卡车都应取得矿用产品安全标志，并定期进行检验。</w:t>
      </w:r>
    </w:p>
    <w:p w14:paraId="04BAA95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（7）下一步设计阶段应对井下有轨人车进行说明，专用人车应有坚固的金属顶棚和确保人员安全的车辆结构，车辆的顶棚、车厢和车架应有良好的连接，通过钢轨实现电气接地。</w:t>
      </w:r>
    </w:p>
    <w:p w14:paraId="07FF157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（8）专用人车运送人员应遵守下列规定：</w:t>
      </w:r>
    </w:p>
    <w:p w14:paraId="5FE8670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——人员上、下车地点应有良好的照明和声光信号装置；</w:t>
      </w:r>
    </w:p>
    <w:p w14:paraId="71C552B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——人员上、下车时，其他车辆不应进入乘车区域；</w:t>
      </w:r>
    </w:p>
    <w:p w14:paraId="3A03ABF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——不应超员；</w:t>
      </w:r>
    </w:p>
    <w:p w14:paraId="39E83ED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——列车行驶前应挂好安全门链；</w:t>
      </w:r>
    </w:p>
    <w:p w14:paraId="1DC0062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——列车行驶速度不超过3m/s；</w:t>
      </w:r>
    </w:p>
    <w:p w14:paraId="6AB9525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——架线式电机车的滑触线应设分段开关，人员上、下车时应切断电源；</w:t>
      </w:r>
    </w:p>
    <w:p w14:paraId="6298F90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——不应用人车运送具有爆炸性、易燃性、腐蚀性等危险特性的物品；</w:t>
      </w:r>
    </w:p>
    <w:p w14:paraId="5BBD1AA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——除了处理事故外，不应附挂材料车。</w:t>
      </w:r>
    </w:p>
    <w:p w14:paraId="7665D0E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9）下一步设计阶段应明确无人驾驶电机车运行控制系统的安全功能及性能参数，地面操控系统的人机功效学与安全措施，井下电机车自动识别与自动避障的措施，井下运输线路和主溜井卸载站的安全保障措施（如人、机物理隔离、自动控制信号系统等）。</w:t>
      </w:r>
    </w:p>
    <w:p w14:paraId="1776B9C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0</w:t>
      </w:r>
      <w:r>
        <w:rPr>
          <w:rFonts w:hint="eastAsia" w:asciiTheme="minorHAnsi" w:hAnsiTheme="minorHAnsi" w:cstheme="minorHAnsi"/>
          <w:szCs w:val="28"/>
        </w:rPr>
        <w:t>）下一步设计阶段应对带式输送机运行安全提出详细措施：</w:t>
      </w:r>
    </w:p>
    <w:p w14:paraId="40C1C1A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——任何人员均不应搭乘非载人带式输送机；</w:t>
      </w:r>
    </w:p>
    <w:p w14:paraId="642F5D5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——跨越输送机的地点应设置带有安全栏杆的跨越桥；</w:t>
      </w:r>
    </w:p>
    <w:p w14:paraId="081CB07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——清除附着在输送带、滚筒和托辊上的物料，应停车进行；</w:t>
      </w:r>
    </w:p>
    <w:p w14:paraId="4FAB9C1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——不应在运行的输送带下清理物料；</w:t>
      </w:r>
    </w:p>
    <w:p w14:paraId="0590727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——输送机运转时不应进行注油、检查和修理等工作；</w:t>
      </w:r>
    </w:p>
    <w:p w14:paraId="118494C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——维修或者更换备件时，应停车并切断电源，并由专人监护不许送电。</w:t>
      </w:r>
    </w:p>
    <w:p w14:paraId="264C63B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带式输送机应有下列安全保护装置：</w:t>
      </w:r>
    </w:p>
    <w:p w14:paraId="5B996F7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——装料点和卸料点设空仓、满仓等保护和报警装置，并与输送机联锁；</w:t>
      </w:r>
    </w:p>
    <w:p w14:paraId="285707B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——输送带清扫装置以及防大块冲击、防输送带跑偏等的保护装置；</w:t>
      </w:r>
    </w:p>
    <w:p w14:paraId="2DCFFA9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——紧急停车装置；</w:t>
      </w:r>
    </w:p>
    <w:p w14:paraId="1ECDE13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——制动装置。</w:t>
      </w:r>
    </w:p>
    <w:p w14:paraId="5B455A0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1</w:t>
      </w:r>
      <w:r>
        <w:rPr>
          <w:rFonts w:hint="eastAsia" w:asciiTheme="minorHAnsi" w:hAnsiTheme="minorHAnsi" w:cstheme="minorHAnsi"/>
          <w:szCs w:val="28"/>
        </w:rPr>
        <w:t>）K</w:t>
      </w:r>
      <w:r>
        <w:rPr>
          <w:rFonts w:asciiTheme="minorHAnsi" w:hAnsiTheme="minorHAnsi" w:cstheme="minorHAnsi"/>
          <w:szCs w:val="28"/>
        </w:rPr>
        <w:t>1</w:t>
      </w:r>
      <w:r>
        <w:rPr>
          <w:rFonts w:hint="eastAsia" w:asciiTheme="minorHAnsi" w:hAnsiTheme="minorHAnsi" w:cstheme="minorHAnsi"/>
          <w:szCs w:val="28"/>
        </w:rPr>
        <w:t>、K</w:t>
      </w:r>
      <w:r>
        <w:rPr>
          <w:rFonts w:asciiTheme="minorHAnsi" w:hAnsiTheme="minorHAnsi" w:cstheme="minorHAnsi"/>
          <w:szCs w:val="28"/>
        </w:rPr>
        <w:t>2</w:t>
      </w:r>
      <w:r>
        <w:rPr>
          <w:rFonts w:hint="eastAsia" w:asciiTheme="minorHAnsi" w:hAnsiTheme="minorHAnsi" w:cstheme="minorHAnsi"/>
          <w:szCs w:val="28"/>
        </w:rPr>
        <w:t>胶带均超过400m，带式输送机应设下列保护装置：</w:t>
      </w:r>
    </w:p>
    <w:p w14:paraId="0E9B01E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——防输送带撕裂、断带等保护装置；</w:t>
      </w:r>
    </w:p>
    <w:p w14:paraId="6BA5BCF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——防止过速、过载、打滑等的保护装置；</w:t>
      </w:r>
    </w:p>
    <w:p w14:paraId="504EF75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——线路上的信号、电气联锁和紧急停车装置。</w:t>
      </w:r>
    </w:p>
    <w:p w14:paraId="4EF1433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2</w:t>
      </w:r>
      <w:r>
        <w:rPr>
          <w:rFonts w:hint="eastAsia" w:asciiTheme="minorHAnsi" w:hAnsiTheme="minorHAnsi" w:cstheme="minorHAnsi"/>
          <w:szCs w:val="28"/>
        </w:rPr>
        <w:t>）上行带式输送机应有防止输送带逆转的措施。</w:t>
      </w:r>
    </w:p>
    <w:bookmarkEnd w:id="97"/>
    <w:p w14:paraId="4FE0E502">
      <w:pPr>
        <w:pStyle w:val="4"/>
        <w:spacing w:before="190" w:after="190" w:line="360" w:lineRule="exact"/>
        <w:rPr>
          <w:rFonts w:asciiTheme="minorHAnsi" w:hAnsiTheme="minorHAnsi" w:cstheme="minorHAnsi"/>
        </w:rPr>
      </w:pPr>
      <w:bookmarkStart w:id="99" w:name="_Toc199426940"/>
      <w:r>
        <w:rPr>
          <w:rFonts w:asciiTheme="minorHAnsi" w:hAnsiTheme="minorHAnsi" w:cstheme="minorHAnsi"/>
        </w:rPr>
        <w:t>3.4采掘单元</w:t>
      </w:r>
      <w:bookmarkEnd w:id="98"/>
      <w:bookmarkEnd w:id="99"/>
    </w:p>
    <w:p w14:paraId="01BE6236">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3.4.1危险、有害因素辨识与分析</w:t>
      </w:r>
    </w:p>
    <w:p w14:paraId="7FCA54FB">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该项目地下开采回采作业中主要危害有冒顶片帮、水灾、爆破器材爆炸、中毒窒息、物体打击、高处坠落、机械伤害、触电等。</w:t>
      </w:r>
    </w:p>
    <w:p w14:paraId="102B1734">
      <w:pPr>
        <w:tabs>
          <w:tab w:val="left" w:pos="993"/>
        </w:tabs>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产生原因主要有：未及时处理浮石或处理浮石方法不当；未按设计进行回采作业；平台、梯子不稳固或未按要求布置；充填不及时(未及时充填的采空区数量过多、面积过大等)、不接顶、充填不实、充填强度不够、充填质量不合格，未按要求顺序进行充填等也会引发冒顶片帮，严重时会导致岩石移动范围内地表沉降。采场爆破后未进行有效的通风；作业环境没有必要的照明或照明度不够等。</w:t>
      </w:r>
    </w:p>
    <w:p w14:paraId="6025CD3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2</w:t>
      </w:r>
      <w:r>
        <w:rPr>
          <w:rFonts w:hint="eastAsia" w:asciiTheme="minorHAnsi" w:hAnsiTheme="minorHAnsi" w:cstheme="minorHAnsi"/>
          <w:szCs w:val="28"/>
        </w:rPr>
        <w:t>）凿岩作业</w:t>
      </w:r>
    </w:p>
    <w:p w14:paraId="253F11C6">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设计矿山采用凿岩机穿孔爆破，操作不当易引发下述危险与危害：</w:t>
      </w:r>
    </w:p>
    <w:p w14:paraId="7F999B63">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1）凿岩作业中可能会出现：凿岩机砸、夹、挤伤人；断钎伤人；风管断脱甩动伤人；打干眼、残眼、吹洗炮孔渣子伤人等危险与危害。</w:t>
      </w:r>
    </w:p>
    <w:p w14:paraId="42EB2997">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2）作业人员进入工作面未进行撬帮问顶等安全检查或检查不周，或操作方法不当，而导致浮石掉落伤人或设备损毁。</w:t>
      </w:r>
    </w:p>
    <w:p w14:paraId="52A74CD0">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3）采用多工作面或工序同时作业，且相互间安全距离不足及作业管理协调不当，而造成相互影响致人员伤亡或设备损毁事故。</w:t>
      </w:r>
    </w:p>
    <w:p w14:paraId="1F62DD30">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3</w:t>
      </w:r>
      <w:r>
        <w:rPr>
          <w:rFonts w:hint="eastAsia" w:asciiTheme="minorHAnsi" w:hAnsiTheme="minorHAnsi" w:cstheme="minorHAnsi"/>
          <w:szCs w:val="28"/>
        </w:rPr>
        <w:t>）爆破作业</w:t>
      </w:r>
    </w:p>
    <w:p w14:paraId="2ECC370E">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引起爆破事故的主要原因：</w:t>
      </w:r>
    </w:p>
    <w:p w14:paraId="6B68EBE6">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1）爆破作业中安排无证人员进行爆破作业，或爆破工违章接纳无证人员参与涉爆作业而引发爆破伤亡事故。涉爆人员未经培训持证上岗，发生爆破事故。</w:t>
      </w:r>
    </w:p>
    <w:p w14:paraId="332ED243">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2）爆破材料缺陷或起爆方式不正确或炸药装填方法错误或爆破网络连接有错误，造成早爆、迟爆事故。盲炮处理方法不正确，造成爆炸伤人。</w:t>
      </w:r>
    </w:p>
    <w:p w14:paraId="264529FC">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3）不了解爆破材料性质，搬运、装填过程中挤压、摔碰爆破材料，引起爆炸事故。搬运爆破材料和装药作业中不轻拿轻放，任意抛、投、撞、碰，可能损坏起爆药包，导致拒爆或引起爆炸事故。</w:t>
      </w:r>
    </w:p>
    <w:p w14:paraId="466873A0">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钻孔布置不当，抵抗线过小或装药量过大，填塞过小或出现虚填等原因，造成飞石伤害。炮孔中装填填塞物不合格，可能填塞不到位或损爆破网络连接有错误，产生盲炮；填塞中不按要求使用合格炮棍作业，可能造成盲炮或导致爆破事故。</w:t>
      </w:r>
    </w:p>
    <w:p w14:paraId="30289B1D">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5）爆破组织不细致，出现伤人、损物事故。</w:t>
      </w:r>
    </w:p>
    <w:p w14:paraId="20D38725">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6）由于爆破材料质量问题或装药量小，造成爆破岩层未正常松动，形成隐患。</w:t>
      </w:r>
    </w:p>
    <w:p w14:paraId="6DF46796">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7）爆破材料选择不当，使用电雷管引爆，受杂散电流影响，出现早爆事故。</w:t>
      </w:r>
    </w:p>
    <w:p w14:paraId="5436DAD4">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8）爆破警戒位置布置不当，信号不完善，措施不够严格、周密，装药量过大，人员、机械处在警戒范围内，或爆破工避炮位置不当，被爆破飞石或冲击波伤害。</w:t>
      </w:r>
    </w:p>
    <w:p w14:paraId="5775E23D">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9）爆破后通风不好或通风时间不够，人员过早进入作业面，造成炮烟中毒事故。</w:t>
      </w:r>
    </w:p>
    <w:p w14:paraId="6075153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10）</w:t>
      </w:r>
      <w:r>
        <w:rPr>
          <w:rFonts w:hint="eastAsia" w:asciiTheme="minorHAnsi" w:hAnsiTheme="minorHAnsi" w:cstheme="minorHAnsi"/>
          <w:szCs w:val="28"/>
        </w:rPr>
        <w:tab/>
      </w:r>
      <w:r>
        <w:rPr>
          <w:rFonts w:hint="eastAsia" w:asciiTheme="minorHAnsi" w:hAnsiTheme="minorHAnsi" w:cstheme="minorHAnsi"/>
          <w:szCs w:val="28"/>
        </w:rPr>
        <w:t>爆破前设备摆放位置不当，无防护装置，爆破飞石、滚石对其造成损坏。</w:t>
      </w:r>
    </w:p>
    <w:p w14:paraId="576FC82F">
      <w:pPr>
        <w:widowControl/>
        <w:spacing w:line="240" w:lineRule="auto"/>
        <w:ind w:firstLine="0" w:firstLineChars="0"/>
        <w:jc w:val="left"/>
        <w:rPr>
          <w:rFonts w:asciiTheme="minorHAnsi" w:hAnsiTheme="minorHAnsi" w:cstheme="minorHAnsi"/>
          <w:b/>
          <w:szCs w:val="28"/>
        </w:rPr>
      </w:pPr>
      <w:r>
        <w:rPr>
          <w:rFonts w:asciiTheme="minorHAnsi" w:hAnsiTheme="minorHAnsi" w:cstheme="minorHAnsi"/>
          <w:b/>
          <w:szCs w:val="28"/>
        </w:rPr>
        <w:br w:type="page"/>
      </w:r>
    </w:p>
    <w:p w14:paraId="06BC2E76">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3.4.2预先危险性分析表</w:t>
      </w:r>
    </w:p>
    <w:p w14:paraId="7C4F16EA">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表3.4-1采掘单元预先危险性分析表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3560"/>
        <w:gridCol w:w="1170"/>
        <w:gridCol w:w="997"/>
        <w:gridCol w:w="3077"/>
      </w:tblGrid>
      <w:tr w14:paraId="2B281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73" w:type="pct"/>
            <w:vAlign w:val="center"/>
          </w:tcPr>
          <w:p w14:paraId="012F1C1A">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危险因素</w:t>
            </w:r>
          </w:p>
        </w:tc>
        <w:tc>
          <w:tcPr>
            <w:tcW w:w="1871" w:type="pct"/>
            <w:vAlign w:val="center"/>
          </w:tcPr>
          <w:p w14:paraId="0755C620">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615" w:type="pct"/>
            <w:vAlign w:val="center"/>
          </w:tcPr>
          <w:p w14:paraId="009E6158">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524" w:type="pct"/>
            <w:vAlign w:val="center"/>
          </w:tcPr>
          <w:p w14:paraId="57090FEC">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11B4B39B">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617" w:type="pct"/>
            <w:vAlign w:val="center"/>
          </w:tcPr>
          <w:p w14:paraId="5C5B06FE">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57C3E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3BC4A71F">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冒顶片帮（地表塌陷）</w:t>
            </w:r>
          </w:p>
        </w:tc>
        <w:tc>
          <w:tcPr>
            <w:tcW w:w="1871" w:type="pct"/>
            <w:vAlign w:val="center"/>
          </w:tcPr>
          <w:p w14:paraId="024C2CCD">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采深较深，地压较大；采场暴露面积太大；采场矿柱设计不合理；空区未及时处理，采场暴露时间过长；破碎面未进行支护；地下水疏干，破坏了地下含水层结构；充填体强度不够或充填质量未满足要求。</w:t>
            </w:r>
          </w:p>
        </w:tc>
        <w:tc>
          <w:tcPr>
            <w:tcW w:w="615" w:type="pct"/>
            <w:vAlign w:val="center"/>
          </w:tcPr>
          <w:p w14:paraId="3F5F7476">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人员伤亡设备损坏</w:t>
            </w:r>
          </w:p>
        </w:tc>
        <w:tc>
          <w:tcPr>
            <w:tcW w:w="524" w:type="pct"/>
            <w:vAlign w:val="center"/>
          </w:tcPr>
          <w:p w14:paraId="4C03B15B">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sz w:val="21"/>
                <w:szCs w:val="21"/>
              </w:rPr>
              <w:t>Ⅳ</w:t>
            </w:r>
          </w:p>
        </w:tc>
        <w:tc>
          <w:tcPr>
            <w:tcW w:w="1617" w:type="pct"/>
            <w:vAlign w:val="center"/>
          </w:tcPr>
          <w:p w14:paraId="44B7BC69">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合理确定采场布置参数；对井下地压进行监测；及时、正确处理浮石；按设计要求进行回采作业及留设矿(岩)柱，地下水疏干及回采所形成的空区应及时充填，并保证充填质量。</w:t>
            </w:r>
          </w:p>
        </w:tc>
      </w:tr>
      <w:tr w14:paraId="364C2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11486C25">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爆破伤害</w:t>
            </w:r>
          </w:p>
        </w:tc>
        <w:tc>
          <w:tcPr>
            <w:tcW w:w="1871" w:type="pct"/>
            <w:vAlign w:val="center"/>
          </w:tcPr>
          <w:p w14:paraId="22697899">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凿岩、爆破位置不当、布孔不合理、</w:t>
            </w:r>
            <w:r>
              <w:rPr>
                <w:rFonts w:asciiTheme="minorHAnsi" w:hAnsiTheme="minorHAnsi" w:cstheme="minorHAnsi"/>
                <w:bCs/>
                <w:sz w:val="21"/>
                <w:szCs w:val="21"/>
              </w:rPr>
              <w:t>爆破设计不合理；未按爆破规程进行爆破作业；爆破材料选择不合适或质量不合格；静电影响；混装炸药质量不合格等。</w:t>
            </w:r>
          </w:p>
        </w:tc>
        <w:tc>
          <w:tcPr>
            <w:tcW w:w="615" w:type="pct"/>
            <w:vAlign w:val="center"/>
          </w:tcPr>
          <w:p w14:paraId="43443F0D">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人员伤亡设备损坏</w:t>
            </w:r>
          </w:p>
        </w:tc>
        <w:tc>
          <w:tcPr>
            <w:tcW w:w="524" w:type="pct"/>
            <w:vAlign w:val="center"/>
          </w:tcPr>
          <w:p w14:paraId="2C33BBC7">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sz w:val="21"/>
                <w:szCs w:val="21"/>
              </w:rPr>
              <w:t>Ⅳ</w:t>
            </w:r>
          </w:p>
        </w:tc>
        <w:tc>
          <w:tcPr>
            <w:tcW w:w="1617" w:type="pct"/>
            <w:vAlign w:val="center"/>
          </w:tcPr>
          <w:p w14:paraId="57B783E7">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凿岩、布孔应合理；</w:t>
            </w:r>
            <w:r>
              <w:rPr>
                <w:rFonts w:asciiTheme="minorHAnsi" w:hAnsiTheme="minorHAnsi" w:cstheme="minorHAnsi"/>
                <w:bCs/>
                <w:sz w:val="21"/>
                <w:szCs w:val="21"/>
              </w:rPr>
              <w:t>爆破设计应合理；按爆破规程进行爆破作业；选择质量合格的爆破器材；消除静电影响；尽量避免混装炸药质量不合格。</w:t>
            </w:r>
          </w:p>
        </w:tc>
      </w:tr>
      <w:tr w14:paraId="412A6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219F3A77">
            <w:pPr>
              <w:tabs>
                <w:tab w:val="left" w:pos="1260"/>
                <w:tab w:val="left" w:leader="middleDot" w:pos="7560"/>
              </w:tabs>
              <w:spacing w:line="30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机械伤害</w:t>
            </w:r>
          </w:p>
        </w:tc>
        <w:tc>
          <w:tcPr>
            <w:tcW w:w="1871" w:type="pct"/>
            <w:vAlign w:val="center"/>
          </w:tcPr>
          <w:p w14:paraId="7492B467">
            <w:pPr>
              <w:tabs>
                <w:tab w:val="left" w:pos="1260"/>
                <w:tab w:val="left" w:leader="middleDot" w:pos="7560"/>
              </w:tabs>
              <w:spacing w:line="300" w:lineRule="exact"/>
              <w:ind w:firstLine="0" w:firstLineChars="0"/>
              <w:rPr>
                <w:rFonts w:asciiTheme="minorHAnsi" w:hAnsiTheme="minorHAnsi" w:cstheme="minorHAnsi"/>
                <w:bCs/>
                <w:sz w:val="21"/>
                <w:szCs w:val="21"/>
              </w:rPr>
            </w:pPr>
            <w:r>
              <w:rPr>
                <w:rFonts w:asciiTheme="minorHAnsi" w:hAnsiTheme="minorHAnsi" w:cstheme="minorHAnsi"/>
                <w:sz w:val="21"/>
                <w:szCs w:val="21"/>
              </w:rPr>
              <w:t>钻机、铲运机等未采取防护措施或防护措施不合理；钻机、铲运机等设备自身缺陷，安装、维护、使用不当；违章作业或操作失误；弯道曲线半径不符合要求；采场、巷道照明度不够，钻机、铲运机等的危险部位未设置警示标志。</w:t>
            </w:r>
          </w:p>
        </w:tc>
        <w:tc>
          <w:tcPr>
            <w:tcW w:w="615" w:type="pct"/>
            <w:vAlign w:val="center"/>
          </w:tcPr>
          <w:p w14:paraId="3B1FD711">
            <w:pPr>
              <w:tabs>
                <w:tab w:val="left" w:pos="1260"/>
                <w:tab w:val="left" w:leader="middleDot" w:pos="7560"/>
              </w:tabs>
              <w:spacing w:line="30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tc>
        <w:tc>
          <w:tcPr>
            <w:tcW w:w="524" w:type="pct"/>
            <w:vAlign w:val="center"/>
          </w:tcPr>
          <w:p w14:paraId="4F8A868F">
            <w:pPr>
              <w:tabs>
                <w:tab w:val="left" w:pos="1260"/>
                <w:tab w:val="left" w:leader="middleDot" w:pos="7560"/>
              </w:tabs>
              <w:spacing w:line="30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Ⅲ</w:t>
            </w:r>
          </w:p>
        </w:tc>
        <w:tc>
          <w:tcPr>
            <w:tcW w:w="1617" w:type="pct"/>
            <w:vAlign w:val="center"/>
          </w:tcPr>
          <w:p w14:paraId="1058FE8F">
            <w:pPr>
              <w:tabs>
                <w:tab w:val="left" w:pos="1260"/>
                <w:tab w:val="left" w:leader="middleDot" w:pos="7560"/>
              </w:tabs>
              <w:spacing w:line="300" w:lineRule="exact"/>
              <w:ind w:firstLine="0" w:firstLineChars="0"/>
              <w:rPr>
                <w:rFonts w:asciiTheme="minorHAnsi" w:hAnsiTheme="minorHAnsi" w:cstheme="minorHAnsi"/>
                <w:bCs/>
                <w:sz w:val="21"/>
                <w:szCs w:val="21"/>
              </w:rPr>
            </w:pPr>
            <w:r>
              <w:rPr>
                <w:rFonts w:asciiTheme="minorHAnsi" w:hAnsiTheme="minorHAnsi" w:cstheme="minorHAnsi"/>
                <w:sz w:val="21"/>
                <w:szCs w:val="21"/>
              </w:rPr>
              <w:t>对机械设备采取合理有效的防护措施；选择正规的与设计相符的设备；加强对设备的维护、使用；提高照明度，在设备的危险部位设置警示标志；建立健全安全生产管理制度。</w:t>
            </w:r>
          </w:p>
        </w:tc>
      </w:tr>
      <w:tr w14:paraId="323FB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13080FB0">
            <w:pPr>
              <w:tabs>
                <w:tab w:val="left" w:pos="1260"/>
                <w:tab w:val="left" w:leader="middleDot" w:pos="7560"/>
              </w:tabs>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高处坠落</w:t>
            </w:r>
          </w:p>
        </w:tc>
        <w:tc>
          <w:tcPr>
            <w:tcW w:w="1871" w:type="pct"/>
            <w:vAlign w:val="center"/>
          </w:tcPr>
          <w:p w14:paraId="374E8045">
            <w:pPr>
              <w:tabs>
                <w:tab w:val="left" w:pos="1260"/>
                <w:tab w:val="left" w:leader="middleDot" w:pos="7560"/>
              </w:tabs>
              <w:spacing w:line="320" w:lineRule="exact"/>
              <w:ind w:firstLine="0" w:firstLineChars="0"/>
              <w:rPr>
                <w:rFonts w:asciiTheme="minorHAnsi" w:hAnsiTheme="minorHAnsi" w:cstheme="minorHAnsi"/>
                <w:bCs/>
                <w:sz w:val="21"/>
                <w:szCs w:val="21"/>
              </w:rPr>
            </w:pPr>
            <w:r>
              <w:rPr>
                <w:rFonts w:asciiTheme="minorHAnsi" w:hAnsiTheme="minorHAnsi" w:cstheme="minorHAnsi"/>
                <w:sz w:val="21"/>
                <w:szCs w:val="24"/>
              </w:rPr>
              <w:t>采场内高处作业而未采取安全防护措施或防护措施失效；</w:t>
            </w:r>
            <w:r>
              <w:rPr>
                <w:rFonts w:asciiTheme="minorHAnsi" w:hAnsiTheme="minorHAnsi" w:cstheme="minorHAnsi"/>
                <w:sz w:val="21"/>
                <w:szCs w:val="21"/>
              </w:rPr>
              <w:t>平台、梯子不稳固或未按要求布置；上下梯子时注意力不集中；照明不足；溜井口未设安全车挡；处理溜井堵塞方法不当；处理浮石方法不当；分层回采完毕后未及时封闭本分层的溜井口。</w:t>
            </w:r>
          </w:p>
        </w:tc>
        <w:tc>
          <w:tcPr>
            <w:tcW w:w="615" w:type="pct"/>
            <w:vAlign w:val="center"/>
          </w:tcPr>
          <w:p w14:paraId="599BACC8">
            <w:pPr>
              <w:tabs>
                <w:tab w:val="left" w:pos="1260"/>
                <w:tab w:val="left" w:leader="middleDot" w:pos="7560"/>
              </w:tabs>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tc>
        <w:tc>
          <w:tcPr>
            <w:tcW w:w="524" w:type="pct"/>
            <w:vAlign w:val="center"/>
          </w:tcPr>
          <w:p w14:paraId="44406D11">
            <w:pPr>
              <w:tabs>
                <w:tab w:val="left" w:pos="1260"/>
                <w:tab w:val="left" w:leader="middleDot" w:pos="7560"/>
              </w:tabs>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Ⅲ</w:t>
            </w:r>
          </w:p>
        </w:tc>
        <w:tc>
          <w:tcPr>
            <w:tcW w:w="1617" w:type="pct"/>
            <w:vAlign w:val="center"/>
          </w:tcPr>
          <w:p w14:paraId="76A4FB0A">
            <w:pPr>
              <w:tabs>
                <w:tab w:val="left" w:pos="1260"/>
                <w:tab w:val="left" w:leader="middleDot" w:pos="7560"/>
              </w:tabs>
              <w:spacing w:line="320" w:lineRule="exact"/>
              <w:ind w:firstLine="0" w:firstLineChars="0"/>
              <w:rPr>
                <w:rFonts w:asciiTheme="minorHAnsi" w:hAnsiTheme="minorHAnsi" w:cstheme="minorHAnsi"/>
                <w:bCs/>
                <w:sz w:val="21"/>
                <w:szCs w:val="21"/>
              </w:rPr>
            </w:pPr>
            <w:r>
              <w:rPr>
                <w:rFonts w:asciiTheme="minorHAnsi" w:hAnsiTheme="minorHAnsi" w:cstheme="minorHAnsi"/>
                <w:sz w:val="21"/>
                <w:szCs w:val="24"/>
              </w:rPr>
              <w:t>高处作业要采取有效的安全防护措施；人员上下梯子时注应集中注意力；采场等地应有足够的照明；溜井口应设安全车挡；人员不应直接站在溜井、漏斗的矿石上或进入溜井与漏斗内处理堵塞；应事先处理顶板及两帮浮石；不应在同一采场同时凿岩和处理浮石；</w:t>
            </w:r>
            <w:r>
              <w:rPr>
                <w:rFonts w:asciiTheme="minorHAnsi" w:hAnsiTheme="minorHAnsi" w:cstheme="minorHAnsi"/>
                <w:sz w:val="21"/>
                <w:szCs w:val="21"/>
              </w:rPr>
              <w:t>分层回采完毕后应及时封闭本分层的溜井口。</w:t>
            </w:r>
          </w:p>
        </w:tc>
      </w:tr>
      <w:tr w14:paraId="6452C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510ECEE2">
            <w:pPr>
              <w:tabs>
                <w:tab w:val="left" w:pos="1260"/>
                <w:tab w:val="left" w:leader="middleDot" w:pos="7560"/>
              </w:tabs>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触电</w:t>
            </w:r>
          </w:p>
        </w:tc>
        <w:tc>
          <w:tcPr>
            <w:tcW w:w="1871" w:type="pct"/>
            <w:vAlign w:val="center"/>
          </w:tcPr>
          <w:p w14:paraId="40239BCD">
            <w:pPr>
              <w:adjustRightInd w:val="0"/>
              <w:snapToGrid w:val="0"/>
              <w:spacing w:before="190" w:beforeLines="50" w:after="190" w:afterLines="50" w:line="360" w:lineRule="exact"/>
              <w:ind w:firstLine="0" w:firstLineChars="0"/>
              <w:rPr>
                <w:rFonts w:asciiTheme="minorHAnsi" w:hAnsiTheme="minorHAnsi" w:cstheme="minorHAnsi"/>
                <w:kern w:val="0"/>
                <w:sz w:val="21"/>
                <w:szCs w:val="21"/>
              </w:rPr>
            </w:pPr>
            <w:r>
              <w:rPr>
                <w:rFonts w:asciiTheme="minorHAnsi" w:hAnsiTheme="minorHAnsi" w:cstheme="minorHAnsi"/>
                <w:kern w:val="0"/>
                <w:sz w:val="21"/>
                <w:szCs w:val="21"/>
              </w:rPr>
              <w:t>机械设备及电线电缆等用电过程中漏电。</w:t>
            </w:r>
          </w:p>
        </w:tc>
        <w:tc>
          <w:tcPr>
            <w:tcW w:w="615" w:type="pct"/>
            <w:vAlign w:val="center"/>
          </w:tcPr>
          <w:p w14:paraId="311CF04C">
            <w:pPr>
              <w:tabs>
                <w:tab w:val="left" w:pos="1260"/>
                <w:tab w:val="left" w:leader="middleDot" w:pos="7560"/>
              </w:tabs>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w:t>
            </w:r>
          </w:p>
        </w:tc>
        <w:tc>
          <w:tcPr>
            <w:tcW w:w="524" w:type="pct"/>
            <w:vAlign w:val="center"/>
          </w:tcPr>
          <w:p w14:paraId="3E3B71DF">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617" w:type="pct"/>
            <w:vAlign w:val="center"/>
          </w:tcPr>
          <w:p w14:paraId="098C3ED3">
            <w:pPr>
              <w:adjustRightInd w:val="0"/>
              <w:snapToGrid w:val="0"/>
              <w:spacing w:before="190" w:beforeLines="50" w:after="190" w:afterLines="50" w:line="360" w:lineRule="exact"/>
              <w:ind w:firstLine="0" w:firstLineChars="0"/>
              <w:rPr>
                <w:rFonts w:asciiTheme="minorHAnsi" w:hAnsiTheme="minorHAnsi" w:cstheme="minorHAnsi"/>
                <w:kern w:val="0"/>
                <w:sz w:val="21"/>
                <w:szCs w:val="21"/>
              </w:rPr>
            </w:pPr>
            <w:r>
              <w:rPr>
                <w:rFonts w:asciiTheme="minorHAnsi" w:hAnsiTheme="minorHAnsi" w:cstheme="minorHAnsi"/>
                <w:kern w:val="0"/>
                <w:sz w:val="21"/>
                <w:szCs w:val="21"/>
              </w:rPr>
              <w:t>设置漏电保护装置，电线电缆按要求进行敷设。</w:t>
            </w:r>
          </w:p>
        </w:tc>
      </w:tr>
      <w:tr w14:paraId="02F82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5737B2CF">
            <w:pPr>
              <w:tabs>
                <w:tab w:val="left" w:pos="1260"/>
                <w:tab w:val="left" w:leader="middleDot" w:pos="7560"/>
              </w:tabs>
              <w:spacing w:line="32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起爆器材爆炸</w:t>
            </w:r>
          </w:p>
        </w:tc>
        <w:tc>
          <w:tcPr>
            <w:tcW w:w="1871" w:type="pct"/>
            <w:vAlign w:val="center"/>
          </w:tcPr>
          <w:p w14:paraId="0ED3915C">
            <w:pPr>
              <w:adjustRightInd w:val="0"/>
              <w:snapToGrid w:val="0"/>
              <w:spacing w:before="190" w:beforeLines="50" w:after="190" w:afterLines="50" w:line="360" w:lineRule="exact"/>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作业场地起爆器材搬运、存放不当，遇外界火源、振动、摩擦等引发爆炸。</w:t>
            </w:r>
          </w:p>
        </w:tc>
        <w:tc>
          <w:tcPr>
            <w:tcW w:w="615" w:type="pct"/>
            <w:vAlign w:val="center"/>
          </w:tcPr>
          <w:p w14:paraId="657C27F3">
            <w:pPr>
              <w:tabs>
                <w:tab w:val="left" w:pos="1260"/>
                <w:tab w:val="left" w:leader="middleDot" w:pos="7560"/>
              </w:tabs>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人员伤亡</w:t>
            </w:r>
          </w:p>
          <w:p w14:paraId="67157196">
            <w:pPr>
              <w:tabs>
                <w:tab w:val="left" w:pos="1260"/>
                <w:tab w:val="left" w:leader="middleDot" w:pos="7560"/>
              </w:tabs>
              <w:spacing w:line="320" w:lineRule="exact"/>
              <w:ind w:firstLine="0" w:firstLineChars="0"/>
              <w:rPr>
                <w:rFonts w:asciiTheme="minorHAnsi" w:hAnsiTheme="minorHAnsi" w:cstheme="minorHAnsi"/>
                <w:sz w:val="21"/>
                <w:szCs w:val="21"/>
              </w:rPr>
            </w:pPr>
            <w:r>
              <w:rPr>
                <w:rFonts w:asciiTheme="minorHAnsi" w:hAnsiTheme="minorHAnsi" w:cstheme="minorHAnsi"/>
                <w:sz w:val="21"/>
                <w:szCs w:val="21"/>
              </w:rPr>
              <w:t>设备损坏</w:t>
            </w:r>
          </w:p>
        </w:tc>
        <w:tc>
          <w:tcPr>
            <w:tcW w:w="524" w:type="pct"/>
            <w:vAlign w:val="center"/>
          </w:tcPr>
          <w:p w14:paraId="3CB37F4E">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617" w:type="pct"/>
            <w:vAlign w:val="center"/>
          </w:tcPr>
          <w:p w14:paraId="4D2797D2">
            <w:pPr>
              <w:adjustRightInd w:val="0"/>
              <w:snapToGrid w:val="0"/>
              <w:spacing w:line="360" w:lineRule="exact"/>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爆破器材应按要求进行存放，爆破器材存放处杜绝外界火源，尽量避免爆破器材受振动、摩擦等。</w:t>
            </w:r>
          </w:p>
        </w:tc>
      </w:tr>
      <w:tr w14:paraId="4BC9C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0604DB5F">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中毒窒息</w:t>
            </w:r>
          </w:p>
        </w:tc>
        <w:tc>
          <w:tcPr>
            <w:tcW w:w="1871" w:type="pct"/>
            <w:vAlign w:val="center"/>
          </w:tcPr>
          <w:p w14:paraId="03607BB2">
            <w:pPr>
              <w:tabs>
                <w:tab w:val="left" w:pos="1260"/>
                <w:tab w:val="left" w:leader="middleDot" w:pos="7560"/>
              </w:tabs>
              <w:spacing w:line="34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采场内未采取有效的通风；通风设备故障；</w:t>
            </w:r>
            <w:r>
              <w:rPr>
                <w:rFonts w:asciiTheme="minorHAnsi" w:hAnsiTheme="minorHAnsi" w:cstheme="minorHAnsi"/>
                <w:sz w:val="21"/>
                <w:szCs w:val="21"/>
              </w:rPr>
              <w:t>风量不足；</w:t>
            </w:r>
            <w:r>
              <w:rPr>
                <w:rFonts w:asciiTheme="minorHAnsi" w:hAnsiTheme="minorHAnsi" w:cstheme="minorHAnsi"/>
                <w:bCs/>
                <w:sz w:val="21"/>
                <w:szCs w:val="21"/>
              </w:rPr>
              <w:t>通风时间不够；工作人员提前进入有炮烟的工作面。</w:t>
            </w:r>
          </w:p>
        </w:tc>
        <w:tc>
          <w:tcPr>
            <w:tcW w:w="615" w:type="pct"/>
            <w:vAlign w:val="center"/>
          </w:tcPr>
          <w:p w14:paraId="27761E45">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tc>
        <w:tc>
          <w:tcPr>
            <w:tcW w:w="524" w:type="pct"/>
            <w:vAlign w:val="center"/>
          </w:tcPr>
          <w:p w14:paraId="7973F3A4">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Ⅲ</w:t>
            </w:r>
          </w:p>
        </w:tc>
        <w:tc>
          <w:tcPr>
            <w:tcW w:w="1617" w:type="pct"/>
            <w:vAlign w:val="center"/>
          </w:tcPr>
          <w:p w14:paraId="7056C4D3">
            <w:pPr>
              <w:tabs>
                <w:tab w:val="left" w:pos="1260"/>
                <w:tab w:val="left" w:leader="middleDot" w:pos="7560"/>
              </w:tabs>
              <w:spacing w:line="34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采场内采取有效的通风；加强对通风设备的维修保养；保持采场有足够的</w:t>
            </w:r>
            <w:r>
              <w:rPr>
                <w:rFonts w:asciiTheme="minorHAnsi" w:hAnsiTheme="minorHAnsi" w:cstheme="minorHAnsi"/>
                <w:sz w:val="21"/>
                <w:szCs w:val="21"/>
              </w:rPr>
              <w:t>风量和</w:t>
            </w:r>
            <w:r>
              <w:rPr>
                <w:rFonts w:asciiTheme="minorHAnsi" w:hAnsiTheme="minorHAnsi" w:cstheme="minorHAnsi"/>
                <w:bCs/>
                <w:sz w:val="21"/>
                <w:szCs w:val="21"/>
              </w:rPr>
              <w:t>通风时间；工作人员不应提前进入有炮烟的工作面。</w:t>
            </w:r>
          </w:p>
        </w:tc>
      </w:tr>
      <w:tr w14:paraId="53AC3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163289C3">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水灾</w:t>
            </w:r>
          </w:p>
        </w:tc>
        <w:tc>
          <w:tcPr>
            <w:tcW w:w="1871" w:type="pct"/>
            <w:vAlign w:val="center"/>
          </w:tcPr>
          <w:p w14:paraId="2BDBA9C0">
            <w:pPr>
              <w:tabs>
                <w:tab w:val="left" w:pos="1260"/>
                <w:tab w:val="left" w:leader="middleDot" w:pos="7560"/>
              </w:tabs>
              <w:spacing w:line="340" w:lineRule="exact"/>
              <w:ind w:firstLine="0" w:firstLineChars="0"/>
              <w:rPr>
                <w:rFonts w:asciiTheme="minorHAnsi" w:hAnsiTheme="minorHAnsi" w:cstheme="minorHAnsi"/>
                <w:sz w:val="21"/>
                <w:szCs w:val="21"/>
              </w:rPr>
            </w:pPr>
            <w:r>
              <w:rPr>
                <w:rFonts w:asciiTheme="minorHAnsi" w:hAnsiTheme="minorHAnsi" w:cstheme="minorHAnsi"/>
                <w:sz w:val="21"/>
                <w:szCs w:val="24"/>
              </w:rPr>
              <w:t>极端天气淹井；排水设备设施选择、施工不合理。</w:t>
            </w:r>
          </w:p>
        </w:tc>
        <w:tc>
          <w:tcPr>
            <w:tcW w:w="615" w:type="pct"/>
            <w:vAlign w:val="center"/>
          </w:tcPr>
          <w:p w14:paraId="250BEF29">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p w14:paraId="55E2CB83">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设备损坏</w:t>
            </w:r>
          </w:p>
        </w:tc>
        <w:tc>
          <w:tcPr>
            <w:tcW w:w="524" w:type="pct"/>
            <w:vAlign w:val="center"/>
          </w:tcPr>
          <w:p w14:paraId="78A655B3">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Ⅲ</w:t>
            </w:r>
          </w:p>
        </w:tc>
        <w:tc>
          <w:tcPr>
            <w:tcW w:w="1617" w:type="pct"/>
            <w:vAlign w:val="center"/>
          </w:tcPr>
          <w:p w14:paraId="2032B08F">
            <w:pPr>
              <w:tabs>
                <w:tab w:val="left" w:pos="1260"/>
                <w:tab w:val="left" w:leader="middleDot" w:pos="7560"/>
              </w:tabs>
              <w:spacing w:line="340" w:lineRule="exact"/>
              <w:ind w:firstLine="0" w:firstLineChars="0"/>
              <w:rPr>
                <w:rFonts w:asciiTheme="minorHAnsi" w:hAnsiTheme="minorHAnsi" w:cstheme="minorHAnsi"/>
                <w:sz w:val="21"/>
                <w:szCs w:val="21"/>
              </w:rPr>
            </w:pPr>
            <w:r>
              <w:rPr>
                <w:rFonts w:asciiTheme="minorHAnsi" w:hAnsiTheme="minorHAnsi" w:cstheme="minorHAnsi"/>
                <w:sz w:val="21"/>
                <w:szCs w:val="24"/>
              </w:rPr>
              <w:t>采掘过程中应有合理的探水工艺；设立正确的排水系统；按设计选取合理的排水设备设施并合理施工。</w:t>
            </w:r>
          </w:p>
        </w:tc>
      </w:tr>
      <w:tr w14:paraId="4C609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1044194D">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物体打击</w:t>
            </w:r>
          </w:p>
        </w:tc>
        <w:tc>
          <w:tcPr>
            <w:tcW w:w="1871" w:type="pct"/>
            <w:vAlign w:val="center"/>
          </w:tcPr>
          <w:p w14:paraId="1F8B529A">
            <w:pPr>
              <w:tabs>
                <w:tab w:val="left" w:pos="1260"/>
                <w:tab w:val="left" w:leader="middleDot" w:pos="7560"/>
              </w:tabs>
              <w:spacing w:line="340" w:lineRule="exact"/>
              <w:ind w:firstLine="0" w:firstLineChars="0"/>
              <w:rPr>
                <w:rFonts w:asciiTheme="minorHAnsi" w:hAnsiTheme="minorHAnsi" w:cstheme="minorHAnsi"/>
                <w:sz w:val="21"/>
                <w:szCs w:val="24"/>
              </w:rPr>
            </w:pPr>
            <w:r>
              <w:rPr>
                <w:rFonts w:asciiTheme="minorHAnsi" w:hAnsiTheme="minorHAnsi" w:cstheme="minorHAnsi"/>
                <w:sz w:val="21"/>
                <w:szCs w:val="21"/>
              </w:rPr>
              <w:t>铲运机装载过满；人员离铲运机较近；处理浮石方法不当；运输巷道底板不平整。</w:t>
            </w:r>
          </w:p>
        </w:tc>
        <w:tc>
          <w:tcPr>
            <w:tcW w:w="615" w:type="pct"/>
            <w:vAlign w:val="center"/>
          </w:tcPr>
          <w:p w14:paraId="3EEC9731">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tc>
        <w:tc>
          <w:tcPr>
            <w:tcW w:w="524" w:type="pct"/>
            <w:vAlign w:val="center"/>
          </w:tcPr>
          <w:p w14:paraId="157103F3">
            <w:pPr>
              <w:tabs>
                <w:tab w:val="left" w:pos="1260"/>
                <w:tab w:val="left" w:leader="middleDot" w:pos="7560"/>
              </w:tabs>
              <w:spacing w:line="34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Ⅲ</w:t>
            </w:r>
          </w:p>
        </w:tc>
        <w:tc>
          <w:tcPr>
            <w:tcW w:w="1617" w:type="pct"/>
            <w:vAlign w:val="center"/>
          </w:tcPr>
          <w:p w14:paraId="2BB15041">
            <w:pPr>
              <w:tabs>
                <w:tab w:val="left" w:pos="1260"/>
                <w:tab w:val="left" w:leader="middleDot" w:pos="7560"/>
              </w:tabs>
              <w:spacing w:line="340" w:lineRule="exact"/>
              <w:ind w:firstLine="0" w:firstLineChars="0"/>
              <w:rPr>
                <w:rFonts w:asciiTheme="minorHAnsi" w:hAnsiTheme="minorHAnsi" w:cstheme="minorHAnsi"/>
                <w:sz w:val="21"/>
                <w:szCs w:val="24"/>
              </w:rPr>
            </w:pPr>
            <w:r>
              <w:rPr>
                <w:rFonts w:asciiTheme="minorHAnsi" w:hAnsiTheme="minorHAnsi" w:cstheme="minorHAnsi"/>
                <w:sz w:val="21"/>
                <w:szCs w:val="21"/>
              </w:rPr>
              <w:t>铲车装载量不应过大；应正确处理浮石；运输巷道底板应保持平整；人员离铲车保持安全距离。</w:t>
            </w:r>
          </w:p>
        </w:tc>
      </w:tr>
    </w:tbl>
    <w:p w14:paraId="2FDA4349">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3.4.3安全检查表法</w:t>
      </w:r>
    </w:p>
    <w:p w14:paraId="635405C8">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表3.4-2采掘单元安全检查表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3259"/>
        <w:gridCol w:w="2175"/>
        <w:gridCol w:w="2411"/>
        <w:gridCol w:w="1009"/>
      </w:tblGrid>
      <w:tr w14:paraId="7999B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7" w:type="pct"/>
            <w:tcBorders>
              <w:top w:val="single" w:color="auto" w:sz="4" w:space="0"/>
              <w:left w:val="single" w:color="auto" w:sz="4" w:space="0"/>
              <w:bottom w:val="single" w:color="auto" w:sz="4" w:space="0"/>
              <w:right w:val="single" w:color="auto" w:sz="4" w:space="0"/>
            </w:tcBorders>
            <w:vAlign w:val="center"/>
          </w:tcPr>
          <w:p w14:paraId="296EC7B0">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713" w:type="pct"/>
            <w:tcBorders>
              <w:top w:val="single" w:color="auto" w:sz="4" w:space="0"/>
              <w:left w:val="single" w:color="auto" w:sz="4" w:space="0"/>
              <w:bottom w:val="single" w:color="auto" w:sz="4" w:space="0"/>
              <w:right w:val="single" w:color="auto" w:sz="4" w:space="0"/>
            </w:tcBorders>
            <w:vAlign w:val="center"/>
          </w:tcPr>
          <w:p w14:paraId="19EF7259">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143" w:type="pct"/>
            <w:tcBorders>
              <w:top w:val="single" w:color="auto" w:sz="4" w:space="0"/>
              <w:left w:val="single" w:color="auto" w:sz="4" w:space="0"/>
              <w:bottom w:val="single" w:color="auto" w:sz="4" w:space="0"/>
              <w:right w:val="single" w:color="auto" w:sz="4" w:space="0"/>
            </w:tcBorders>
            <w:vAlign w:val="center"/>
          </w:tcPr>
          <w:p w14:paraId="120277C8">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267" w:type="pct"/>
            <w:tcBorders>
              <w:top w:val="single" w:color="auto" w:sz="4" w:space="0"/>
              <w:left w:val="single" w:color="auto" w:sz="4" w:space="0"/>
              <w:bottom w:val="single" w:color="auto" w:sz="4" w:space="0"/>
              <w:right w:val="single" w:color="auto" w:sz="4" w:space="0"/>
            </w:tcBorders>
            <w:vAlign w:val="center"/>
          </w:tcPr>
          <w:p w14:paraId="03B9F705">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可研情况及说明</w:t>
            </w:r>
          </w:p>
        </w:tc>
        <w:tc>
          <w:tcPr>
            <w:tcW w:w="530" w:type="pct"/>
            <w:tcBorders>
              <w:top w:val="single" w:color="auto" w:sz="4" w:space="0"/>
              <w:left w:val="single" w:color="auto" w:sz="4" w:space="0"/>
              <w:bottom w:val="single" w:color="auto" w:sz="4" w:space="0"/>
              <w:right w:val="single" w:color="auto" w:sz="4" w:space="0"/>
            </w:tcBorders>
          </w:tcPr>
          <w:p w14:paraId="1046399C">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711CD163">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23645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198B09A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713" w:type="pct"/>
            <w:tcBorders>
              <w:top w:val="single" w:color="auto" w:sz="4" w:space="0"/>
              <w:left w:val="single" w:color="auto" w:sz="4" w:space="0"/>
              <w:bottom w:val="single" w:color="auto" w:sz="4" w:space="0"/>
              <w:right w:val="single" w:color="auto" w:sz="4" w:space="0"/>
            </w:tcBorders>
            <w:vAlign w:val="center"/>
          </w:tcPr>
          <w:p w14:paraId="05FF4FBA">
            <w:pPr>
              <w:adjustRightInd w:val="0"/>
              <w:snapToGrid w:val="0"/>
              <w:spacing w:line="240" w:lineRule="auto"/>
              <w:ind w:firstLine="0" w:firstLineChars="0"/>
              <w:rPr>
                <w:rFonts w:asciiTheme="minorHAnsi" w:hAnsiTheme="minorHAnsi" w:cstheme="minorHAnsi"/>
                <w:kern w:val="0"/>
                <w:sz w:val="21"/>
                <w:szCs w:val="21"/>
              </w:rPr>
            </w:pPr>
            <w:r>
              <w:rPr>
                <w:rFonts w:hint="eastAsia" w:cs="Times New Roman"/>
                <w:kern w:val="0"/>
                <w:sz w:val="21"/>
                <w:szCs w:val="21"/>
              </w:rPr>
              <w:t>新建、改扩建金属非金属地下矿山原则上采用充填采矿法，不能采用的应严格论证。</w:t>
            </w:r>
          </w:p>
        </w:tc>
        <w:tc>
          <w:tcPr>
            <w:tcW w:w="1143" w:type="pct"/>
            <w:tcBorders>
              <w:top w:val="single" w:color="auto" w:sz="4" w:space="0"/>
              <w:left w:val="single" w:color="auto" w:sz="4" w:space="0"/>
              <w:bottom w:val="single" w:color="auto" w:sz="4" w:space="0"/>
              <w:right w:val="single" w:color="auto" w:sz="4" w:space="0"/>
            </w:tcBorders>
            <w:vAlign w:val="center"/>
          </w:tcPr>
          <w:p w14:paraId="2EA23B2F">
            <w:pPr>
              <w:adjustRightInd w:val="0"/>
              <w:snapToGrid w:val="0"/>
              <w:spacing w:line="240" w:lineRule="auto"/>
              <w:ind w:firstLine="0" w:firstLineChars="0"/>
              <w:jc w:val="center"/>
              <w:rPr>
                <w:rFonts w:asciiTheme="minorHAnsi" w:hAnsiTheme="minorHAnsi" w:cstheme="minorHAnsi"/>
                <w:kern w:val="0"/>
                <w:sz w:val="21"/>
                <w:szCs w:val="21"/>
              </w:rPr>
            </w:pPr>
            <w:r>
              <w:rPr>
                <w:rFonts w:hint="eastAsia" w:cs="Times New Roman"/>
                <w:kern w:val="0"/>
                <w:sz w:val="21"/>
                <w:szCs w:val="21"/>
              </w:rPr>
              <w:t>《中共中央办公厅</w:t>
            </w:r>
            <w:r>
              <w:rPr>
                <w:rFonts w:cs="Times New Roman"/>
                <w:kern w:val="0"/>
                <w:sz w:val="21"/>
                <w:szCs w:val="21"/>
              </w:rPr>
              <w:t> </w:t>
            </w:r>
            <w:r>
              <w:rPr>
                <w:rFonts w:hint="eastAsia" w:cs="Times New Roman"/>
                <w:kern w:val="0"/>
                <w:sz w:val="21"/>
                <w:szCs w:val="21"/>
              </w:rPr>
              <w:t>国务院办公厅关于进一步加强矿山安全生产工作的意见》</w:t>
            </w:r>
          </w:p>
        </w:tc>
        <w:tc>
          <w:tcPr>
            <w:tcW w:w="1267" w:type="pct"/>
            <w:tcBorders>
              <w:top w:val="single" w:color="auto" w:sz="4" w:space="0"/>
              <w:left w:val="single" w:color="auto" w:sz="4" w:space="0"/>
              <w:bottom w:val="single" w:color="auto" w:sz="4" w:space="0"/>
              <w:right w:val="single" w:color="auto" w:sz="4" w:space="0"/>
            </w:tcBorders>
            <w:vAlign w:val="center"/>
          </w:tcPr>
          <w:p w14:paraId="20C53EC9">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设计采用垂直走向布置的阶段凿岩阶段空场嗣后充填采矿法和沿走向布置的分段凿岩阶段空场嗣后充填采矿方法。</w:t>
            </w:r>
          </w:p>
        </w:tc>
        <w:tc>
          <w:tcPr>
            <w:tcW w:w="530" w:type="pct"/>
            <w:tcBorders>
              <w:top w:val="single" w:color="auto" w:sz="4" w:space="0"/>
              <w:left w:val="single" w:color="auto" w:sz="4" w:space="0"/>
              <w:bottom w:val="single" w:color="auto" w:sz="4" w:space="0"/>
              <w:right w:val="single" w:color="auto" w:sz="4" w:space="0"/>
            </w:tcBorders>
            <w:vAlign w:val="center"/>
          </w:tcPr>
          <w:p w14:paraId="4A066E26">
            <w:pPr>
              <w:adjustRightInd w:val="0"/>
              <w:snapToGrid w:val="0"/>
              <w:spacing w:line="240" w:lineRule="auto"/>
              <w:ind w:firstLine="0" w:firstLineChars="0"/>
              <w:jc w:val="center"/>
              <w:rPr>
                <w:rFonts w:cs="Times New Roman"/>
                <w:sz w:val="21"/>
                <w:szCs w:val="21"/>
              </w:rPr>
            </w:pPr>
            <w:r>
              <w:rPr>
                <w:rFonts w:hint="eastAsia" w:cs="Times New Roman"/>
                <w:sz w:val="21"/>
                <w:szCs w:val="21"/>
              </w:rPr>
              <w:t>符合</w:t>
            </w:r>
          </w:p>
          <w:p w14:paraId="73BC8C6E">
            <w:pPr>
              <w:spacing w:line="240" w:lineRule="auto"/>
              <w:ind w:firstLine="0" w:firstLineChars="0"/>
              <w:jc w:val="center"/>
              <w:rPr>
                <w:rFonts w:asciiTheme="minorHAnsi" w:hAnsiTheme="minorHAnsi" w:cstheme="minorHAnsi"/>
                <w:sz w:val="21"/>
                <w:szCs w:val="21"/>
              </w:rPr>
            </w:pPr>
            <w:r>
              <w:rPr>
                <w:rFonts w:hint="eastAsia" w:cs="Times New Roman"/>
                <w:sz w:val="21"/>
                <w:szCs w:val="21"/>
              </w:rPr>
              <w:t>要求</w:t>
            </w:r>
          </w:p>
        </w:tc>
      </w:tr>
      <w:tr w14:paraId="6E97F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5B43B8D4">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713" w:type="pct"/>
            <w:tcBorders>
              <w:top w:val="single" w:color="auto" w:sz="4" w:space="0"/>
              <w:left w:val="single" w:color="auto" w:sz="4" w:space="0"/>
              <w:bottom w:val="single" w:color="auto" w:sz="4" w:space="0"/>
              <w:right w:val="single" w:color="auto" w:sz="4" w:space="0"/>
            </w:tcBorders>
            <w:vAlign w:val="center"/>
          </w:tcPr>
          <w:p w14:paraId="501688C3">
            <w:pPr>
              <w:adjustRightInd w:val="0"/>
              <w:snapToGrid w:val="0"/>
              <w:spacing w:before="190" w:beforeLines="50" w:after="190" w:afterLines="50" w:line="240" w:lineRule="auto"/>
              <w:ind w:firstLine="0" w:firstLineChars="0"/>
              <w:rPr>
                <w:rFonts w:asciiTheme="minorHAnsi" w:hAnsiTheme="minorHAnsi" w:cstheme="minorHAnsi"/>
                <w:kern w:val="0"/>
                <w:sz w:val="21"/>
                <w:szCs w:val="21"/>
              </w:rPr>
            </w:pPr>
            <w:r>
              <w:rPr>
                <w:rFonts w:cs="Times New Roman"/>
                <w:kern w:val="0"/>
                <w:sz w:val="21"/>
                <w:szCs w:val="21"/>
              </w:rPr>
              <w:t>每个采区或者盘区、矿块均应有两个便于行人的安全出口，并与通往地面的安全出口相通。</w:t>
            </w:r>
          </w:p>
        </w:tc>
        <w:tc>
          <w:tcPr>
            <w:tcW w:w="1143" w:type="pct"/>
            <w:tcBorders>
              <w:top w:val="single" w:color="auto" w:sz="4" w:space="0"/>
              <w:left w:val="single" w:color="auto" w:sz="4" w:space="0"/>
              <w:bottom w:val="single" w:color="auto" w:sz="4" w:space="0"/>
              <w:right w:val="single" w:color="auto" w:sz="4" w:space="0"/>
            </w:tcBorders>
            <w:vAlign w:val="center"/>
          </w:tcPr>
          <w:p w14:paraId="0B898253">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355969B1">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42388657">
            <w:pPr>
              <w:adjustRightInd w:val="0"/>
              <w:snapToGrid w:val="0"/>
              <w:spacing w:line="240" w:lineRule="auto"/>
              <w:ind w:firstLine="0" w:firstLineChars="0"/>
              <w:jc w:val="center"/>
              <w:rPr>
                <w:rFonts w:asciiTheme="minorHAnsi" w:hAnsiTheme="minorHAnsi" w:cstheme="minorHAnsi"/>
                <w:sz w:val="21"/>
                <w:szCs w:val="21"/>
              </w:rPr>
            </w:pPr>
            <w:r>
              <w:rPr>
                <w:rFonts w:cs="Times New Roman"/>
                <w:sz w:val="21"/>
                <w:szCs w:val="21"/>
              </w:rPr>
              <w:t>第</w:t>
            </w:r>
            <w:r>
              <w:rPr>
                <w:rFonts w:cs="Times New Roman"/>
                <w:kern w:val="0"/>
                <w:sz w:val="21"/>
                <w:szCs w:val="21"/>
              </w:rPr>
              <w:t>6.3.1.4条</w:t>
            </w:r>
          </w:p>
        </w:tc>
        <w:tc>
          <w:tcPr>
            <w:tcW w:w="1267" w:type="pct"/>
            <w:tcBorders>
              <w:top w:val="single" w:color="auto" w:sz="4" w:space="0"/>
              <w:left w:val="single" w:color="auto" w:sz="4" w:space="0"/>
              <w:bottom w:val="single" w:color="auto" w:sz="4" w:space="0"/>
              <w:right w:val="single" w:color="auto" w:sz="4" w:space="0"/>
            </w:tcBorders>
            <w:vAlign w:val="center"/>
          </w:tcPr>
          <w:p w14:paraId="0D8685AF">
            <w:pPr>
              <w:adjustRightInd w:val="0"/>
              <w:snapToGrid w:val="0"/>
              <w:spacing w:before="190" w:beforeLines="50" w:after="190" w:afterLines="50" w:line="240" w:lineRule="auto"/>
              <w:ind w:firstLine="0" w:firstLineChars="0"/>
              <w:rPr>
                <w:rFonts w:asciiTheme="minorHAnsi" w:hAnsiTheme="minorHAnsi" w:cstheme="minorHAnsi"/>
                <w:kern w:val="0"/>
                <w:sz w:val="21"/>
                <w:szCs w:val="21"/>
              </w:rPr>
            </w:pPr>
            <w:r>
              <w:rPr>
                <w:rFonts w:cs="Times New Roman"/>
                <w:kern w:val="0"/>
                <w:sz w:val="21"/>
                <w:szCs w:val="21"/>
              </w:rPr>
              <w:t>每个矿块都设有两个天井连通上下中段巷道，并设有梯子和照明，作为安全出口。</w:t>
            </w:r>
          </w:p>
        </w:tc>
        <w:tc>
          <w:tcPr>
            <w:tcW w:w="530" w:type="pct"/>
            <w:tcBorders>
              <w:top w:val="single" w:color="auto" w:sz="4" w:space="0"/>
              <w:left w:val="single" w:color="auto" w:sz="4" w:space="0"/>
              <w:bottom w:val="single" w:color="auto" w:sz="4" w:space="0"/>
              <w:right w:val="single" w:color="auto" w:sz="4" w:space="0"/>
            </w:tcBorders>
            <w:vAlign w:val="center"/>
          </w:tcPr>
          <w:p w14:paraId="7CC34863">
            <w:pPr>
              <w:adjustRightInd w:val="0"/>
              <w:snapToGrid w:val="0"/>
              <w:spacing w:line="240" w:lineRule="auto"/>
              <w:ind w:firstLine="0" w:firstLineChars="0"/>
              <w:jc w:val="center"/>
              <w:rPr>
                <w:rFonts w:cs="Times New Roman"/>
                <w:sz w:val="21"/>
                <w:szCs w:val="21"/>
              </w:rPr>
            </w:pPr>
            <w:r>
              <w:rPr>
                <w:rFonts w:cs="Times New Roman"/>
                <w:sz w:val="21"/>
                <w:szCs w:val="21"/>
              </w:rPr>
              <w:t>符合</w:t>
            </w:r>
          </w:p>
          <w:p w14:paraId="6ABCF88C">
            <w:pPr>
              <w:spacing w:line="240" w:lineRule="auto"/>
              <w:ind w:firstLine="0" w:firstLineChars="0"/>
              <w:jc w:val="center"/>
              <w:rPr>
                <w:rFonts w:asciiTheme="minorHAnsi" w:hAnsiTheme="minorHAnsi" w:cstheme="minorHAnsi"/>
                <w:sz w:val="21"/>
                <w:szCs w:val="21"/>
              </w:rPr>
            </w:pPr>
            <w:r>
              <w:rPr>
                <w:rFonts w:cs="Times New Roman"/>
                <w:sz w:val="21"/>
                <w:szCs w:val="21"/>
              </w:rPr>
              <w:t>要求</w:t>
            </w:r>
          </w:p>
        </w:tc>
      </w:tr>
      <w:tr w14:paraId="384FE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5651D5D6">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713" w:type="pct"/>
            <w:tcBorders>
              <w:top w:val="single" w:color="auto" w:sz="4" w:space="0"/>
              <w:left w:val="single" w:color="auto" w:sz="4" w:space="0"/>
              <w:bottom w:val="single" w:color="auto" w:sz="4" w:space="0"/>
              <w:right w:val="single" w:color="auto" w:sz="4" w:space="0"/>
            </w:tcBorders>
          </w:tcPr>
          <w:p w14:paraId="1C854B63">
            <w:pPr>
              <w:adjustRightInd w:val="0"/>
              <w:snapToGrid w:val="0"/>
              <w:spacing w:before="190" w:beforeLines="50" w:after="190" w:afterLines="50" w:line="240" w:lineRule="auto"/>
              <w:ind w:firstLine="0" w:firstLineChars="0"/>
              <w:rPr>
                <w:rFonts w:asciiTheme="minorHAnsi" w:hAnsiTheme="minorHAnsi" w:cstheme="minorHAnsi"/>
                <w:kern w:val="0"/>
                <w:sz w:val="21"/>
                <w:szCs w:val="21"/>
              </w:rPr>
            </w:pPr>
            <w:r>
              <w:rPr>
                <w:rFonts w:cs="Times New Roman"/>
                <w:kern w:val="0"/>
                <w:sz w:val="21"/>
                <w:szCs w:val="21"/>
              </w:rPr>
              <w:t>在不稳固的岩层中掘进时应进行支护；在松软、破碎或流砂地层中掘进时应在永久性支护与掘进工作面之间进行临时支护或特殊支护。</w:t>
            </w:r>
          </w:p>
        </w:tc>
        <w:tc>
          <w:tcPr>
            <w:tcW w:w="1143" w:type="pct"/>
            <w:tcBorders>
              <w:top w:val="single" w:color="auto" w:sz="4" w:space="0"/>
              <w:left w:val="single" w:color="auto" w:sz="4" w:space="0"/>
              <w:bottom w:val="single" w:color="auto" w:sz="4" w:space="0"/>
              <w:right w:val="single" w:color="auto" w:sz="4" w:space="0"/>
            </w:tcBorders>
            <w:vAlign w:val="center"/>
          </w:tcPr>
          <w:p w14:paraId="40A9C3DF">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4BCC109C">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EA61F43">
            <w:pPr>
              <w:adjustRightInd w:val="0"/>
              <w:snapToGrid w:val="0"/>
              <w:spacing w:line="240" w:lineRule="auto"/>
              <w:ind w:firstLine="0" w:firstLineChars="0"/>
              <w:jc w:val="center"/>
              <w:rPr>
                <w:rFonts w:asciiTheme="minorHAnsi" w:hAnsiTheme="minorHAnsi" w:cstheme="minorHAnsi"/>
                <w:kern w:val="0"/>
                <w:sz w:val="21"/>
                <w:szCs w:val="21"/>
              </w:rPr>
            </w:pPr>
            <w:r>
              <w:rPr>
                <w:rFonts w:cs="Times New Roman"/>
                <w:sz w:val="21"/>
                <w:szCs w:val="21"/>
              </w:rPr>
              <w:t>第</w:t>
            </w:r>
            <w:r>
              <w:rPr>
                <w:rFonts w:cs="Times New Roman"/>
                <w:kern w:val="0"/>
                <w:sz w:val="21"/>
                <w:szCs w:val="21"/>
              </w:rPr>
              <w:t>6.2.7.2条</w:t>
            </w:r>
          </w:p>
        </w:tc>
        <w:tc>
          <w:tcPr>
            <w:tcW w:w="1267" w:type="pct"/>
            <w:tcBorders>
              <w:top w:val="single" w:color="auto" w:sz="4" w:space="0"/>
              <w:left w:val="single" w:color="auto" w:sz="4" w:space="0"/>
              <w:bottom w:val="single" w:color="auto" w:sz="4" w:space="0"/>
              <w:right w:val="single" w:color="auto" w:sz="4" w:space="0"/>
            </w:tcBorders>
            <w:vAlign w:val="center"/>
          </w:tcPr>
          <w:p w14:paraId="760A516F">
            <w:pPr>
              <w:adjustRightInd w:val="0"/>
              <w:snapToGrid w:val="0"/>
              <w:spacing w:before="190" w:beforeLines="50" w:after="190" w:afterLines="50" w:line="240" w:lineRule="auto"/>
              <w:ind w:firstLine="0" w:firstLineChars="0"/>
              <w:rPr>
                <w:rFonts w:asciiTheme="minorHAnsi" w:hAnsiTheme="minorHAnsi" w:cstheme="minorHAnsi"/>
                <w:kern w:val="0"/>
                <w:sz w:val="21"/>
                <w:szCs w:val="21"/>
              </w:rPr>
            </w:pPr>
            <w:r>
              <w:rPr>
                <w:rFonts w:cs="Times New Roman"/>
                <w:kern w:val="0"/>
                <w:sz w:val="21"/>
                <w:szCs w:val="21"/>
              </w:rPr>
              <w:t>可研要求：围岩松软不稳固的回采工作面、采准和切割巷道，应采取支护措施。</w:t>
            </w:r>
          </w:p>
        </w:tc>
        <w:tc>
          <w:tcPr>
            <w:tcW w:w="530" w:type="pct"/>
            <w:tcBorders>
              <w:top w:val="single" w:color="auto" w:sz="4" w:space="0"/>
              <w:left w:val="single" w:color="auto" w:sz="4" w:space="0"/>
              <w:bottom w:val="single" w:color="auto" w:sz="4" w:space="0"/>
              <w:right w:val="single" w:color="auto" w:sz="4" w:space="0"/>
            </w:tcBorders>
            <w:vAlign w:val="center"/>
          </w:tcPr>
          <w:p w14:paraId="04E31886">
            <w:pPr>
              <w:adjustRightInd w:val="0"/>
              <w:snapToGrid w:val="0"/>
              <w:spacing w:line="240" w:lineRule="auto"/>
              <w:ind w:firstLine="0" w:firstLineChars="0"/>
              <w:jc w:val="center"/>
              <w:rPr>
                <w:rFonts w:cs="Times New Roman"/>
                <w:sz w:val="21"/>
                <w:szCs w:val="21"/>
              </w:rPr>
            </w:pPr>
            <w:r>
              <w:rPr>
                <w:rFonts w:cs="Times New Roman"/>
                <w:sz w:val="21"/>
                <w:szCs w:val="21"/>
              </w:rPr>
              <w:t>符合</w:t>
            </w:r>
          </w:p>
          <w:p w14:paraId="17307046">
            <w:pPr>
              <w:spacing w:line="240" w:lineRule="auto"/>
              <w:ind w:firstLine="0" w:firstLineChars="0"/>
              <w:jc w:val="center"/>
              <w:rPr>
                <w:rFonts w:asciiTheme="minorHAnsi" w:hAnsiTheme="minorHAnsi" w:cstheme="minorHAnsi"/>
                <w:sz w:val="21"/>
                <w:szCs w:val="21"/>
              </w:rPr>
            </w:pPr>
            <w:r>
              <w:rPr>
                <w:rFonts w:cs="Times New Roman"/>
                <w:sz w:val="21"/>
                <w:szCs w:val="21"/>
              </w:rPr>
              <w:t>要求</w:t>
            </w:r>
          </w:p>
        </w:tc>
      </w:tr>
      <w:tr w14:paraId="4112E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6D0F0375">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4</w:t>
            </w:r>
          </w:p>
        </w:tc>
        <w:tc>
          <w:tcPr>
            <w:tcW w:w="1713" w:type="pct"/>
            <w:tcBorders>
              <w:top w:val="single" w:color="auto" w:sz="4" w:space="0"/>
              <w:left w:val="single" w:color="auto" w:sz="4" w:space="0"/>
              <w:bottom w:val="single" w:color="auto" w:sz="4" w:space="0"/>
              <w:right w:val="single" w:color="auto" w:sz="4" w:space="0"/>
            </w:tcBorders>
            <w:vAlign w:val="center"/>
          </w:tcPr>
          <w:p w14:paraId="74049164">
            <w:pPr>
              <w:spacing w:line="240" w:lineRule="auto"/>
              <w:ind w:firstLine="0" w:firstLineChars="0"/>
              <w:rPr>
                <w:rFonts w:asciiTheme="minorHAnsi" w:hAnsiTheme="minorHAnsi" w:cstheme="minorHAnsi"/>
                <w:sz w:val="21"/>
                <w:szCs w:val="21"/>
              </w:rPr>
            </w:pPr>
            <w:r>
              <w:rPr>
                <w:rFonts w:cs="Times New Roman"/>
                <w:kern w:val="0"/>
                <w:sz w:val="21"/>
                <w:szCs w:val="21"/>
              </w:rPr>
              <w:t>应建立采场顶板分级管理制度。对顶板不稳固的采场，应有监控手段和处理措施。</w:t>
            </w:r>
          </w:p>
        </w:tc>
        <w:tc>
          <w:tcPr>
            <w:tcW w:w="1143" w:type="pct"/>
            <w:tcBorders>
              <w:top w:val="single" w:color="auto" w:sz="4" w:space="0"/>
              <w:left w:val="single" w:color="auto" w:sz="4" w:space="0"/>
              <w:bottom w:val="single" w:color="auto" w:sz="4" w:space="0"/>
              <w:right w:val="single" w:color="auto" w:sz="4" w:space="0"/>
            </w:tcBorders>
            <w:vAlign w:val="center"/>
          </w:tcPr>
          <w:p w14:paraId="6E4AAD20">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41E091F2">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5F4BCB5A">
            <w:pPr>
              <w:spacing w:line="240" w:lineRule="auto"/>
              <w:ind w:firstLine="0" w:firstLineChars="0"/>
              <w:jc w:val="center"/>
              <w:rPr>
                <w:rFonts w:asciiTheme="minorHAnsi" w:hAnsiTheme="minorHAnsi" w:cstheme="minorHAnsi"/>
                <w:sz w:val="21"/>
                <w:szCs w:val="21"/>
              </w:rPr>
            </w:pPr>
            <w:r>
              <w:rPr>
                <w:rFonts w:cs="Times New Roman"/>
                <w:sz w:val="21"/>
                <w:szCs w:val="21"/>
              </w:rPr>
              <w:t>第</w:t>
            </w:r>
            <w:r>
              <w:rPr>
                <w:rFonts w:cs="Times New Roman"/>
                <w:kern w:val="0"/>
                <w:sz w:val="21"/>
                <w:szCs w:val="21"/>
              </w:rPr>
              <w:t>6.3.1.12条</w:t>
            </w:r>
          </w:p>
        </w:tc>
        <w:tc>
          <w:tcPr>
            <w:tcW w:w="1267" w:type="pct"/>
            <w:tcBorders>
              <w:top w:val="single" w:color="auto" w:sz="4" w:space="0"/>
              <w:left w:val="single" w:color="auto" w:sz="4" w:space="0"/>
              <w:bottom w:val="single" w:color="auto" w:sz="4" w:space="0"/>
              <w:right w:val="single" w:color="auto" w:sz="4" w:space="0"/>
            </w:tcBorders>
            <w:vAlign w:val="center"/>
          </w:tcPr>
          <w:p w14:paraId="1A398A89">
            <w:pPr>
              <w:spacing w:line="240" w:lineRule="auto"/>
              <w:ind w:firstLine="0" w:firstLineChars="0"/>
              <w:rPr>
                <w:rFonts w:asciiTheme="minorHAnsi" w:hAnsiTheme="minorHAnsi" w:cstheme="minorHAnsi"/>
                <w:kern w:val="0"/>
                <w:sz w:val="21"/>
                <w:szCs w:val="21"/>
              </w:rPr>
            </w:pPr>
            <w:r>
              <w:rPr>
                <w:rFonts w:cs="Times New Roman"/>
                <w:kern w:val="0"/>
                <w:sz w:val="21"/>
                <w:szCs w:val="21"/>
              </w:rPr>
              <w:t>可研报告没有相关内容。</w:t>
            </w:r>
          </w:p>
        </w:tc>
        <w:tc>
          <w:tcPr>
            <w:tcW w:w="530" w:type="pct"/>
            <w:tcBorders>
              <w:top w:val="single" w:color="auto" w:sz="4" w:space="0"/>
              <w:left w:val="single" w:color="auto" w:sz="4" w:space="0"/>
              <w:bottom w:val="single" w:color="auto" w:sz="4" w:space="0"/>
              <w:right w:val="single" w:color="auto" w:sz="4" w:space="0"/>
            </w:tcBorders>
            <w:vAlign w:val="center"/>
          </w:tcPr>
          <w:p w14:paraId="71721816">
            <w:pPr>
              <w:spacing w:line="240" w:lineRule="auto"/>
              <w:ind w:firstLine="0" w:firstLineChars="0"/>
              <w:jc w:val="center"/>
              <w:rPr>
                <w:rFonts w:asciiTheme="minorHAnsi" w:hAnsiTheme="minorHAnsi" w:cstheme="minorHAnsi"/>
                <w:sz w:val="21"/>
                <w:szCs w:val="21"/>
              </w:rPr>
            </w:pPr>
            <w:r>
              <w:rPr>
                <w:rFonts w:cs="Times New Roman"/>
                <w:sz w:val="21"/>
              </w:rPr>
              <w:t>下阶段设计中需完善</w:t>
            </w:r>
          </w:p>
        </w:tc>
      </w:tr>
      <w:tr w14:paraId="6456D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0D2DF69C">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5</w:t>
            </w:r>
          </w:p>
        </w:tc>
        <w:tc>
          <w:tcPr>
            <w:tcW w:w="1713" w:type="pct"/>
            <w:tcBorders>
              <w:top w:val="single" w:color="auto" w:sz="4" w:space="0"/>
              <w:left w:val="single" w:color="auto" w:sz="4" w:space="0"/>
              <w:bottom w:val="single" w:color="auto" w:sz="4" w:space="0"/>
              <w:right w:val="single" w:color="auto" w:sz="4" w:space="0"/>
            </w:tcBorders>
            <w:vAlign w:val="center"/>
          </w:tcPr>
          <w:p w14:paraId="375A7CDD">
            <w:pPr>
              <w:spacing w:line="240" w:lineRule="auto"/>
              <w:ind w:firstLine="0" w:firstLineChars="0"/>
              <w:rPr>
                <w:rFonts w:asciiTheme="minorHAnsi" w:hAnsiTheme="minorHAnsi" w:cstheme="minorHAnsi"/>
                <w:sz w:val="21"/>
                <w:szCs w:val="21"/>
              </w:rPr>
            </w:pPr>
            <w:r>
              <w:rPr>
                <w:rFonts w:cs="Times New Roman"/>
                <w:sz w:val="21"/>
                <w:szCs w:val="21"/>
              </w:rPr>
              <w:t>人员需要进入的采场应有良好的照明。</w:t>
            </w:r>
          </w:p>
        </w:tc>
        <w:tc>
          <w:tcPr>
            <w:tcW w:w="1143" w:type="pct"/>
            <w:tcBorders>
              <w:top w:val="single" w:color="auto" w:sz="4" w:space="0"/>
              <w:left w:val="single" w:color="auto" w:sz="4" w:space="0"/>
              <w:bottom w:val="single" w:color="auto" w:sz="4" w:space="0"/>
              <w:right w:val="single" w:color="auto" w:sz="4" w:space="0"/>
            </w:tcBorders>
            <w:vAlign w:val="center"/>
          </w:tcPr>
          <w:p w14:paraId="2574FAFC">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13CD6114">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4911F356">
            <w:pPr>
              <w:spacing w:line="240" w:lineRule="auto"/>
              <w:ind w:firstLine="0" w:firstLineChars="0"/>
              <w:jc w:val="center"/>
              <w:rPr>
                <w:rFonts w:asciiTheme="minorHAnsi" w:hAnsiTheme="minorHAnsi" w:cstheme="minorHAnsi"/>
                <w:sz w:val="21"/>
                <w:szCs w:val="21"/>
              </w:rPr>
            </w:pPr>
            <w:r>
              <w:rPr>
                <w:rFonts w:cs="Times New Roman"/>
                <w:sz w:val="21"/>
                <w:szCs w:val="21"/>
              </w:rPr>
              <w:t>第6.3.1.11条</w:t>
            </w:r>
          </w:p>
        </w:tc>
        <w:tc>
          <w:tcPr>
            <w:tcW w:w="1267" w:type="pct"/>
            <w:tcBorders>
              <w:top w:val="single" w:color="auto" w:sz="4" w:space="0"/>
              <w:left w:val="single" w:color="auto" w:sz="4" w:space="0"/>
              <w:bottom w:val="single" w:color="auto" w:sz="4" w:space="0"/>
              <w:right w:val="single" w:color="auto" w:sz="4" w:space="0"/>
            </w:tcBorders>
            <w:vAlign w:val="center"/>
          </w:tcPr>
          <w:p w14:paraId="50B1177D">
            <w:pPr>
              <w:spacing w:line="240" w:lineRule="auto"/>
              <w:ind w:firstLine="0" w:firstLineChars="0"/>
              <w:rPr>
                <w:rFonts w:asciiTheme="minorHAnsi" w:hAnsiTheme="minorHAnsi" w:cstheme="minorHAnsi"/>
                <w:sz w:val="21"/>
                <w:szCs w:val="21"/>
              </w:rPr>
            </w:pPr>
            <w:r>
              <w:rPr>
                <w:rFonts w:cs="Times New Roman"/>
                <w:sz w:val="21"/>
                <w:szCs w:val="21"/>
              </w:rPr>
              <w:t>可研报告提出了相关要求。</w:t>
            </w:r>
          </w:p>
        </w:tc>
        <w:tc>
          <w:tcPr>
            <w:tcW w:w="530" w:type="pct"/>
            <w:tcBorders>
              <w:top w:val="single" w:color="auto" w:sz="4" w:space="0"/>
              <w:left w:val="single" w:color="auto" w:sz="4" w:space="0"/>
              <w:bottom w:val="single" w:color="auto" w:sz="4" w:space="0"/>
              <w:right w:val="single" w:color="auto" w:sz="4" w:space="0"/>
            </w:tcBorders>
            <w:vAlign w:val="center"/>
          </w:tcPr>
          <w:p w14:paraId="34DEE9CE">
            <w:pPr>
              <w:adjustRightInd w:val="0"/>
              <w:snapToGrid w:val="0"/>
              <w:spacing w:line="240" w:lineRule="auto"/>
              <w:ind w:firstLine="0" w:firstLineChars="0"/>
              <w:jc w:val="center"/>
              <w:rPr>
                <w:rFonts w:cs="Times New Roman"/>
                <w:sz w:val="21"/>
                <w:szCs w:val="21"/>
              </w:rPr>
            </w:pPr>
            <w:r>
              <w:rPr>
                <w:rFonts w:cs="Times New Roman"/>
                <w:sz w:val="21"/>
                <w:szCs w:val="21"/>
              </w:rPr>
              <w:t>符合</w:t>
            </w:r>
          </w:p>
          <w:p w14:paraId="66BC640B">
            <w:pPr>
              <w:spacing w:line="240" w:lineRule="auto"/>
              <w:ind w:firstLine="0" w:firstLineChars="0"/>
              <w:jc w:val="center"/>
              <w:rPr>
                <w:rFonts w:asciiTheme="minorHAnsi" w:hAnsiTheme="minorHAnsi" w:cstheme="minorHAnsi"/>
                <w:sz w:val="21"/>
                <w:szCs w:val="21"/>
              </w:rPr>
            </w:pPr>
            <w:r>
              <w:rPr>
                <w:rFonts w:cs="Times New Roman"/>
                <w:sz w:val="21"/>
                <w:szCs w:val="21"/>
              </w:rPr>
              <w:t>要求</w:t>
            </w:r>
          </w:p>
        </w:tc>
      </w:tr>
      <w:tr w14:paraId="64AB8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 w:type="pct"/>
            <w:tcBorders>
              <w:top w:val="single" w:color="auto" w:sz="4" w:space="0"/>
              <w:left w:val="single" w:color="auto" w:sz="4" w:space="0"/>
              <w:bottom w:val="single" w:color="auto" w:sz="4" w:space="0"/>
              <w:right w:val="single" w:color="auto" w:sz="4" w:space="0"/>
            </w:tcBorders>
            <w:vAlign w:val="center"/>
          </w:tcPr>
          <w:p w14:paraId="7356FB69">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6</w:t>
            </w:r>
          </w:p>
        </w:tc>
        <w:tc>
          <w:tcPr>
            <w:tcW w:w="1713" w:type="pct"/>
            <w:tcBorders>
              <w:top w:val="single" w:color="auto" w:sz="4" w:space="0"/>
              <w:left w:val="single" w:color="auto" w:sz="4" w:space="0"/>
              <w:bottom w:val="single" w:color="auto" w:sz="4" w:space="0"/>
              <w:right w:val="single" w:color="auto" w:sz="4" w:space="0"/>
            </w:tcBorders>
            <w:vAlign w:val="center"/>
          </w:tcPr>
          <w:p w14:paraId="6AF7D936">
            <w:pPr>
              <w:spacing w:line="240" w:lineRule="auto"/>
              <w:ind w:firstLine="0" w:firstLineChars="0"/>
              <w:rPr>
                <w:rFonts w:cs="Times New Roman"/>
                <w:sz w:val="21"/>
                <w:szCs w:val="21"/>
              </w:rPr>
            </w:pPr>
            <w:r>
              <w:rPr>
                <w:rFonts w:hint="eastAsia" w:cs="Times New Roman"/>
                <w:sz w:val="21"/>
                <w:szCs w:val="21"/>
              </w:rPr>
              <w:t>采用充填法回采应遵守下列规定：</w:t>
            </w:r>
          </w:p>
          <w:p w14:paraId="4154E660">
            <w:pPr>
              <w:spacing w:line="240" w:lineRule="auto"/>
              <w:ind w:firstLine="0" w:firstLineChars="0"/>
              <w:rPr>
                <w:rFonts w:cs="Times New Roman"/>
                <w:sz w:val="21"/>
                <w:szCs w:val="21"/>
              </w:rPr>
            </w:pPr>
            <w:r>
              <w:rPr>
                <w:rFonts w:hint="eastAsia" w:cs="Times New Roman"/>
                <w:sz w:val="21"/>
                <w:szCs w:val="21"/>
              </w:rPr>
              <w:t>——井下充填不应产生或者释放有毒有害气体；</w:t>
            </w:r>
          </w:p>
          <w:p w14:paraId="7116D128">
            <w:pPr>
              <w:spacing w:line="240" w:lineRule="auto"/>
              <w:ind w:firstLine="0" w:firstLineChars="0"/>
              <w:rPr>
                <w:rFonts w:cs="Times New Roman"/>
                <w:sz w:val="21"/>
                <w:szCs w:val="21"/>
              </w:rPr>
            </w:pPr>
            <w:r>
              <w:rPr>
                <w:rFonts w:hint="eastAsia" w:cs="Times New Roman"/>
                <w:sz w:val="21"/>
                <w:szCs w:val="21"/>
              </w:rPr>
              <w:t>——采场中的顺路行人井、溜矿井、水砂充填用泄水井和通风井，应保持畅通；</w:t>
            </w:r>
          </w:p>
          <w:p w14:paraId="1362D509">
            <w:pPr>
              <w:spacing w:line="240" w:lineRule="auto"/>
              <w:ind w:firstLine="0" w:firstLineChars="0"/>
              <w:rPr>
                <w:rFonts w:cs="Times New Roman"/>
                <w:sz w:val="21"/>
                <w:szCs w:val="21"/>
              </w:rPr>
            </w:pPr>
            <w:r>
              <w:rPr>
                <w:rFonts w:hint="eastAsia" w:cs="Times New Roman"/>
                <w:sz w:val="21"/>
                <w:szCs w:val="21"/>
              </w:rPr>
              <w:t>——用组合式钢筒作行人、滤水、放矿的顺路天井时，钢筒组装作业前应在井口悬挂安全网；</w:t>
            </w:r>
          </w:p>
          <w:p w14:paraId="51936427">
            <w:pPr>
              <w:spacing w:line="240" w:lineRule="auto"/>
              <w:ind w:firstLine="0" w:firstLineChars="0"/>
              <w:rPr>
                <w:rFonts w:cs="Times New Roman"/>
                <w:sz w:val="21"/>
                <w:szCs w:val="21"/>
              </w:rPr>
            </w:pPr>
            <w:r>
              <w:rPr>
                <w:rFonts w:hint="eastAsia" w:cs="Times New Roman"/>
                <w:sz w:val="21"/>
                <w:szCs w:val="21"/>
              </w:rPr>
              <w:t>——上向充填法每一分层回采完后应及时充填，最后一个分层回采完后应接顶密实；</w:t>
            </w:r>
          </w:p>
          <w:p w14:paraId="1E761A9D">
            <w:pPr>
              <w:spacing w:line="240" w:lineRule="auto"/>
              <w:ind w:firstLine="0" w:firstLineChars="0"/>
              <w:rPr>
                <w:rFonts w:cs="Times New Roman"/>
                <w:sz w:val="21"/>
                <w:szCs w:val="21"/>
              </w:rPr>
            </w:pPr>
            <w:r>
              <w:rPr>
                <w:rFonts w:hint="eastAsia" w:cs="Times New Roman"/>
                <w:sz w:val="21"/>
                <w:szCs w:val="21"/>
              </w:rPr>
              <w:t>——下向充填法回采，进路两帮底角的矿石应清理干净，每采完一条进路应及时充填，并应接顶密实；</w:t>
            </w:r>
          </w:p>
          <w:p w14:paraId="33E7C8D6">
            <w:pPr>
              <w:spacing w:line="240" w:lineRule="auto"/>
              <w:ind w:firstLine="0" w:firstLineChars="0"/>
              <w:rPr>
                <w:rFonts w:cs="Times New Roman"/>
                <w:sz w:val="21"/>
                <w:szCs w:val="21"/>
              </w:rPr>
            </w:pPr>
            <w:r>
              <w:rPr>
                <w:rFonts w:hint="eastAsia" w:cs="Times New Roman"/>
                <w:sz w:val="21"/>
                <w:szCs w:val="21"/>
              </w:rPr>
              <w:t>——采场或进路充填前应架设坚固的充填挡墙，并安设泄水井或泄水管道；膏体充填可不设泄水设施；</w:t>
            </w:r>
          </w:p>
          <w:p w14:paraId="5E107E60">
            <w:pPr>
              <w:spacing w:line="240" w:lineRule="auto"/>
              <w:ind w:firstLine="0" w:firstLineChars="0"/>
              <w:rPr>
                <w:rFonts w:cs="Times New Roman"/>
                <w:sz w:val="21"/>
                <w:szCs w:val="21"/>
              </w:rPr>
            </w:pPr>
            <w:r>
              <w:rPr>
                <w:rFonts w:hint="eastAsia" w:cs="Times New Roman"/>
                <w:sz w:val="21"/>
                <w:szCs w:val="21"/>
              </w:rPr>
              <w:t>——人员不应在非管道输送充填料的充填井下方停留或通行；</w:t>
            </w:r>
          </w:p>
          <w:p w14:paraId="39CD1167">
            <w:pPr>
              <w:spacing w:line="240" w:lineRule="auto"/>
              <w:ind w:firstLine="0" w:firstLineChars="0"/>
              <w:rPr>
                <w:rFonts w:cs="Times New Roman"/>
                <w:sz w:val="21"/>
                <w:szCs w:val="21"/>
              </w:rPr>
            </w:pPr>
            <w:r>
              <w:rPr>
                <w:rFonts w:hint="eastAsia" w:cs="Times New Roman"/>
                <w:sz w:val="21"/>
                <w:szCs w:val="21"/>
              </w:rPr>
              <w:t>——各充填工序间应有通信联络；</w:t>
            </w:r>
          </w:p>
          <w:p w14:paraId="0B215ECF">
            <w:pPr>
              <w:spacing w:line="240" w:lineRule="auto"/>
              <w:ind w:firstLine="0" w:firstLineChars="0"/>
              <w:rPr>
                <w:rFonts w:cs="Times New Roman"/>
                <w:sz w:val="21"/>
                <w:szCs w:val="21"/>
              </w:rPr>
            </w:pPr>
            <w:r>
              <w:rPr>
                <w:rFonts w:hint="eastAsia" w:cs="Times New Roman"/>
                <w:sz w:val="21"/>
                <w:szCs w:val="21"/>
              </w:rPr>
              <w:t>——人员和设备进入充填体面层之前，应确认充填体具有足够的支撑强度；</w:t>
            </w:r>
          </w:p>
          <w:p w14:paraId="1A3EDC21">
            <w:pPr>
              <w:spacing w:line="240" w:lineRule="auto"/>
              <w:ind w:firstLine="0" w:firstLineChars="0"/>
              <w:rPr>
                <w:rFonts w:cs="Times New Roman"/>
                <w:sz w:val="21"/>
                <w:szCs w:val="21"/>
              </w:rPr>
            </w:pPr>
            <w:r>
              <w:rPr>
                <w:rFonts w:hint="eastAsia" w:cs="Times New Roman"/>
                <w:sz w:val="21"/>
                <w:szCs w:val="21"/>
              </w:rPr>
              <w:t>——采场下部巷道及水沟堆积的充填料应及时清理；</w:t>
            </w:r>
          </w:p>
          <w:p w14:paraId="788FA8EA">
            <w:pPr>
              <w:spacing w:line="240" w:lineRule="auto"/>
              <w:ind w:firstLine="0" w:firstLineChars="0"/>
              <w:rPr>
                <w:rFonts w:cs="Times New Roman"/>
                <w:sz w:val="21"/>
                <w:szCs w:val="21"/>
              </w:rPr>
            </w:pPr>
            <w:r>
              <w:rPr>
                <w:rFonts w:hint="eastAsia" w:cs="Times New Roman"/>
                <w:sz w:val="21"/>
                <w:szCs w:val="21"/>
              </w:rPr>
              <w:t>——采用人工间柱上向分层充填法采矿时，人工间柱两侧采场应错开一定距离；</w:t>
            </w:r>
          </w:p>
          <w:p w14:paraId="3A500B6D">
            <w:pPr>
              <w:spacing w:line="240" w:lineRule="auto"/>
              <w:ind w:firstLine="0" w:firstLineChars="0"/>
              <w:rPr>
                <w:rFonts w:cs="Times New Roman"/>
                <w:sz w:val="21"/>
                <w:szCs w:val="21"/>
              </w:rPr>
            </w:pPr>
            <w:r>
              <w:rPr>
                <w:rFonts w:hint="eastAsia" w:cs="Times New Roman"/>
                <w:sz w:val="21"/>
                <w:szCs w:val="21"/>
              </w:rPr>
              <w:t>——采用空场嗣后充填采矿法回采时，相邻采场或矿房的充填体达到设计强度后才能开始第二步骤采场或矿柱的回采。</w:t>
            </w:r>
          </w:p>
        </w:tc>
        <w:tc>
          <w:tcPr>
            <w:tcW w:w="1143" w:type="pct"/>
            <w:tcBorders>
              <w:top w:val="single" w:color="auto" w:sz="4" w:space="0"/>
              <w:left w:val="single" w:color="auto" w:sz="4" w:space="0"/>
              <w:bottom w:val="single" w:color="auto" w:sz="4" w:space="0"/>
              <w:right w:val="single" w:color="auto" w:sz="4" w:space="0"/>
            </w:tcBorders>
            <w:vAlign w:val="center"/>
          </w:tcPr>
          <w:p w14:paraId="2BD31629">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w:t>
            </w:r>
          </w:p>
          <w:p w14:paraId="5C05FA42">
            <w:pPr>
              <w:adjustRightInd w:val="0"/>
              <w:snapToGrid w:val="0"/>
              <w:spacing w:line="240" w:lineRule="auto"/>
              <w:ind w:firstLine="0" w:firstLineChars="0"/>
              <w:jc w:val="center"/>
              <w:rPr>
                <w:rFonts w:cs="Times New Roman"/>
                <w:sz w:val="21"/>
                <w:szCs w:val="21"/>
              </w:rPr>
            </w:pPr>
            <w:r>
              <w:rPr>
                <w:rFonts w:cs="Times New Roman"/>
                <w:sz w:val="21"/>
                <w:szCs w:val="21"/>
              </w:rPr>
              <w:t>（GB16423-2020）</w:t>
            </w:r>
          </w:p>
          <w:p w14:paraId="6C5EAE3C">
            <w:pPr>
              <w:adjustRightInd w:val="0"/>
              <w:snapToGrid w:val="0"/>
              <w:spacing w:line="240" w:lineRule="auto"/>
              <w:ind w:firstLine="0" w:firstLineChars="0"/>
              <w:jc w:val="center"/>
              <w:rPr>
                <w:rFonts w:cs="Times New Roman"/>
                <w:sz w:val="21"/>
                <w:szCs w:val="21"/>
              </w:rPr>
            </w:pPr>
            <w:r>
              <w:rPr>
                <w:rFonts w:cs="Times New Roman"/>
                <w:sz w:val="21"/>
                <w:szCs w:val="21"/>
              </w:rPr>
              <w:t>第</w:t>
            </w:r>
            <w:r>
              <w:rPr>
                <w:rFonts w:hint="eastAsia" w:cs="Times New Roman"/>
                <w:sz w:val="21"/>
                <w:szCs w:val="21"/>
              </w:rPr>
              <w:t>6.3.2.10</w:t>
            </w:r>
            <w:r>
              <w:rPr>
                <w:rFonts w:cs="Times New Roman"/>
                <w:sz w:val="21"/>
                <w:szCs w:val="21"/>
              </w:rPr>
              <w:t>条</w:t>
            </w:r>
          </w:p>
        </w:tc>
        <w:tc>
          <w:tcPr>
            <w:tcW w:w="1267" w:type="pct"/>
            <w:tcBorders>
              <w:top w:val="single" w:color="auto" w:sz="4" w:space="0"/>
              <w:left w:val="single" w:color="auto" w:sz="4" w:space="0"/>
              <w:bottom w:val="single" w:color="auto" w:sz="4" w:space="0"/>
              <w:right w:val="single" w:color="auto" w:sz="4" w:space="0"/>
            </w:tcBorders>
            <w:vAlign w:val="center"/>
          </w:tcPr>
          <w:p w14:paraId="074F2218">
            <w:pPr>
              <w:spacing w:line="240" w:lineRule="auto"/>
              <w:ind w:firstLine="0" w:firstLineChars="0"/>
              <w:rPr>
                <w:rFonts w:cs="Times New Roman"/>
                <w:sz w:val="21"/>
                <w:szCs w:val="21"/>
              </w:rPr>
            </w:pPr>
            <w:r>
              <w:rPr>
                <w:rFonts w:cs="Times New Roman"/>
                <w:kern w:val="0"/>
                <w:sz w:val="21"/>
                <w:szCs w:val="21"/>
              </w:rPr>
              <w:t>可研报告没有相关内容。</w:t>
            </w:r>
          </w:p>
        </w:tc>
        <w:tc>
          <w:tcPr>
            <w:tcW w:w="530" w:type="pct"/>
            <w:tcBorders>
              <w:top w:val="single" w:color="auto" w:sz="4" w:space="0"/>
              <w:left w:val="single" w:color="auto" w:sz="4" w:space="0"/>
              <w:bottom w:val="single" w:color="auto" w:sz="4" w:space="0"/>
              <w:right w:val="single" w:color="auto" w:sz="4" w:space="0"/>
            </w:tcBorders>
            <w:vAlign w:val="center"/>
          </w:tcPr>
          <w:p w14:paraId="01DBB496">
            <w:pPr>
              <w:adjustRightInd w:val="0"/>
              <w:snapToGrid w:val="0"/>
              <w:spacing w:line="240" w:lineRule="auto"/>
              <w:ind w:firstLine="0" w:firstLineChars="0"/>
              <w:jc w:val="center"/>
              <w:rPr>
                <w:rFonts w:cs="Times New Roman"/>
                <w:sz w:val="21"/>
                <w:szCs w:val="21"/>
              </w:rPr>
            </w:pPr>
            <w:r>
              <w:rPr>
                <w:rFonts w:cs="Times New Roman"/>
                <w:sz w:val="21"/>
              </w:rPr>
              <w:t>下阶段设计中需完善</w:t>
            </w:r>
          </w:p>
        </w:tc>
      </w:tr>
    </w:tbl>
    <w:p w14:paraId="231A5F25">
      <w:pPr>
        <w:adjustRightInd w:val="0"/>
        <w:snapToGrid w:val="0"/>
        <w:spacing w:line="360" w:lineRule="auto"/>
        <w:ind w:firstLine="0" w:firstLineChars="0"/>
        <w:outlineLvl w:val="2"/>
        <w:rPr>
          <w:rFonts w:asciiTheme="minorHAnsi" w:hAnsiTheme="minorHAnsi" w:cstheme="minorHAnsi"/>
          <w:b/>
          <w:szCs w:val="28"/>
        </w:rPr>
      </w:pPr>
      <w:bookmarkStart w:id="100" w:name="_Toc2564"/>
      <w:r>
        <w:rPr>
          <w:rFonts w:asciiTheme="minorHAnsi" w:hAnsiTheme="minorHAnsi" w:cstheme="minorHAnsi"/>
          <w:b/>
          <w:szCs w:val="28"/>
        </w:rPr>
        <w:t>3.4.4 爆破震动效应评价</w:t>
      </w:r>
    </w:p>
    <w:p w14:paraId="45C0C883">
      <w:pPr>
        <w:pStyle w:val="88"/>
        <w:snapToGrid w:val="0"/>
        <w:spacing w:line="360" w:lineRule="auto"/>
        <w:ind w:firstLine="560"/>
      </w:pPr>
      <w:r>
        <w:t>爆破过程中，由于炸药的多余能量不可避免会转换变为震动波，从爆源以波的形式向外层工作介质传播，最后传播到对象表面，从而产生负面效应的爆破振动。在爆破区域的特定范围中，当爆破振动超过一定限度时，会对周围建（构）筑物与工程设施等造成破坏。因此，在实际工程中，应通过采取多种综合措施来控制爆破效应，减少一次爆破的震动规模及危害，选择最佳爆破工作参数来保障建（构）筑物和运行设备的安全。</w:t>
      </w:r>
    </w:p>
    <w:p w14:paraId="0FD91AAA">
      <w:pPr>
        <w:pStyle w:val="88"/>
        <w:snapToGrid w:val="0"/>
        <w:spacing w:line="360" w:lineRule="auto"/>
        <w:ind w:firstLine="560"/>
        <w:rPr>
          <w:szCs w:val="21"/>
        </w:rPr>
      </w:pPr>
      <w:r>
        <w:rPr>
          <w:rFonts w:hint="eastAsia"/>
          <w:szCs w:val="21"/>
        </w:rPr>
        <w:t>由于可研未给出单段药量和总药量等炸药数据，评价未能进行爆破振动效应定量计算，下一步设计阶段应明确井下爆破参数及炸药单耗，并对井下爆破对地表工业场地及二期开采时对一期工程的影响进行分析。</w:t>
      </w:r>
    </w:p>
    <w:p w14:paraId="04F92390">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3.4.5</w:t>
      </w:r>
      <w:r>
        <w:rPr>
          <w:rFonts w:hint="eastAsia" w:asciiTheme="minorHAnsi" w:hAnsiTheme="minorHAnsi" w:cstheme="minorHAnsi"/>
          <w:b/>
          <w:szCs w:val="28"/>
        </w:rPr>
        <w:t>采场稳定性</w:t>
      </w:r>
    </w:p>
    <w:p w14:paraId="5887955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企业委托长沙矿山研究院有限责任公司编制《彭集铁矿岩石力学专项研究与论证技术报告》，对采场稳定性及结构参数进行研究，并对岩体移动监测范围内留设保安矿柱尺寸进行优化研究。</w:t>
      </w:r>
    </w:p>
    <w:p w14:paraId="602C614E">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采场结构参数是开采过程安全性的决定性因素，它与岩体工程地质条件、岩石力学性质息息相关。设计采用经验类比、稳定图法确定分段空场嗣后充填法开采合理采场结构参数。</w:t>
      </w:r>
    </w:p>
    <w:p w14:paraId="219DC5AE">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1）Mathews稳定图法基本原理</w:t>
      </w:r>
    </w:p>
    <w:p w14:paraId="3CB55D9B">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Mathews稳定性图法是一种硬岩中进行矿山开采设计的方法，它的主要作用是：</w:t>
      </w:r>
    </w:p>
    <w:p w14:paraId="14D4E265">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判断采场的稳定性或确定采场结构参数与暴露面积，根据岩体稳定性指数N，综合考虑矿山开拓和采准工程，初步确定采场结构参数并计算采场暴露面积形状系数S，将N和S投影到稳定性图上，即可初步判断采场的稳定性；</w:t>
      </w:r>
    </w:p>
    <w:p w14:paraId="45FE036C">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（2）根据岩体稳定性指数N在稳定性图上求出总体稳定的采场形状系数，在初步选定采场某一结构参数后即可确定其它结构参数与暴露面积。</w:t>
      </w:r>
    </w:p>
    <w:p w14:paraId="731F59A3">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Mathews稳定性图在采用对数坐标系后各不同的区带间，可用平行的直线表示，划分成了三个区域：稳定区、破坏或主要破坏区和崩落区，定义如下：</w:t>
      </w:r>
    </w:p>
    <w:p w14:paraId="751B75DB">
      <w:pPr>
        <w:tabs>
          <w:tab w:val="left" w:pos="993"/>
        </w:tabs>
        <w:adjustRightInd w:val="0"/>
        <w:snapToGrid w:val="0"/>
        <w:spacing w:line="360" w:lineRule="auto"/>
        <w:ind w:firstLine="480"/>
        <w:jc w:val="center"/>
        <w:rPr>
          <w:rFonts w:asciiTheme="minorHAnsi" w:hAnsiTheme="minorHAnsi" w:cstheme="minorHAnsi"/>
          <w:szCs w:val="28"/>
        </w:rPr>
      </w:pPr>
      <w:r>
        <w:rPr>
          <w:sz w:val="24"/>
          <w:szCs w:val="28"/>
        </w:rPr>
        <w:drawing>
          <wp:inline distT="0" distB="0" distL="0" distR="0">
            <wp:extent cx="3976370" cy="2833370"/>
            <wp:effectExtent l="0" t="0" r="508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3976370" cy="2833370"/>
                    </a:xfrm>
                    <a:prstGeom prst="rect">
                      <a:avLst/>
                    </a:prstGeom>
                    <a:noFill/>
                    <a:ln>
                      <a:noFill/>
                    </a:ln>
                  </pic:spPr>
                </pic:pic>
              </a:graphicData>
            </a:graphic>
          </wp:inline>
        </w:drawing>
      </w:r>
    </w:p>
    <w:p w14:paraId="05C1C07F">
      <w:pPr>
        <w:adjustRightInd w:val="0"/>
        <w:snapToGrid w:val="0"/>
        <w:spacing w:line="360" w:lineRule="auto"/>
        <w:ind w:firstLine="560"/>
        <w:jc w:val="center"/>
        <w:rPr>
          <w:rFonts w:cs="Times New Roman"/>
          <w:szCs w:val="21"/>
        </w:rPr>
      </w:pPr>
      <w:r>
        <w:rPr>
          <w:rFonts w:cs="Times New Roman"/>
          <w:szCs w:val="21"/>
        </w:rPr>
        <w:t>图3.4-1  Mathews稳定图</w:t>
      </w:r>
    </w:p>
    <w:p w14:paraId="75028760">
      <w:pPr>
        <w:widowControl/>
        <w:adjustRightInd w:val="0"/>
        <w:snapToGrid w:val="0"/>
        <w:spacing w:line="360" w:lineRule="auto"/>
        <w:ind w:firstLine="560"/>
        <w:rPr>
          <w:rFonts w:cs="Times New Roman"/>
          <w:szCs w:val="21"/>
        </w:rPr>
      </w:pPr>
      <w:r>
        <w:rPr>
          <w:rFonts w:cs="Times New Roman"/>
          <w:szCs w:val="21"/>
        </w:rPr>
        <w:t>（1）稳定是指暴露面不进行全面支护，只有局部支护用于控制岩块的片落；</w:t>
      </w:r>
    </w:p>
    <w:p w14:paraId="7D105366">
      <w:pPr>
        <w:widowControl/>
        <w:adjustRightInd w:val="0"/>
        <w:snapToGrid w:val="0"/>
        <w:spacing w:line="360" w:lineRule="auto"/>
        <w:ind w:firstLine="560"/>
        <w:rPr>
          <w:rFonts w:cs="Times New Roman"/>
          <w:szCs w:val="21"/>
        </w:rPr>
      </w:pPr>
      <w:r>
        <w:rPr>
          <w:rFonts w:cs="Times New Roman"/>
          <w:szCs w:val="21"/>
        </w:rPr>
        <w:t>（2）破坏或主要破坏是指暴露面将发生局部崩落，并最终形成稳定拱形。如果通过改变回采顺序或安装锚索可以避免局部崩落的话，可以采用空场采矿法；</w:t>
      </w:r>
    </w:p>
    <w:p w14:paraId="765C750D">
      <w:pPr>
        <w:widowControl/>
        <w:adjustRightInd w:val="0"/>
        <w:snapToGrid w:val="0"/>
        <w:spacing w:line="360" w:lineRule="auto"/>
        <w:ind w:firstLine="560"/>
        <w:rPr>
          <w:rFonts w:cs="Times New Roman"/>
          <w:szCs w:val="21"/>
        </w:rPr>
      </w:pPr>
      <w:r>
        <w:rPr>
          <w:rFonts w:cs="Times New Roman"/>
          <w:szCs w:val="21"/>
        </w:rPr>
        <w:t>（3）崩落是指暴露空间崩落直至空间被崩落块石充满，在此区域的工程发生持续崩落。</w:t>
      </w:r>
    </w:p>
    <w:p w14:paraId="54035D72">
      <w:pPr>
        <w:widowControl/>
        <w:adjustRightInd w:val="0"/>
        <w:snapToGrid w:val="0"/>
        <w:spacing w:line="360" w:lineRule="auto"/>
        <w:ind w:firstLine="560"/>
        <w:rPr>
          <w:rFonts w:cs="Times New Roman"/>
          <w:szCs w:val="21"/>
        </w:rPr>
      </w:pPr>
      <w:r>
        <w:rPr>
          <w:rFonts w:cs="Times New Roman"/>
          <w:szCs w:val="21"/>
        </w:rPr>
        <w:t>稳定数N代表岩体在给定应力条件下维持稳定的能力，计算公式如下：</w:t>
      </w:r>
    </w:p>
    <w:p w14:paraId="2024C3A5">
      <w:pPr>
        <w:adjustRightInd w:val="0"/>
        <w:snapToGrid w:val="0"/>
        <w:spacing w:line="360" w:lineRule="auto"/>
        <w:ind w:firstLine="560"/>
        <w:jc w:val="center"/>
        <w:rPr>
          <w:rFonts w:cs="Times New Roman"/>
          <w:szCs w:val="21"/>
        </w:rPr>
      </w:pPr>
      <w:r>
        <w:rPr>
          <w:rFonts w:cs="Times New Roman"/>
          <w:i/>
          <w:iCs/>
          <w:szCs w:val="21"/>
        </w:rPr>
        <w:t xml:space="preserve">N=Q’×A×B×C                     </w:t>
      </w:r>
    </w:p>
    <w:p w14:paraId="3D7253A1">
      <w:pPr>
        <w:widowControl/>
        <w:adjustRightInd w:val="0"/>
        <w:snapToGrid w:val="0"/>
        <w:spacing w:line="360" w:lineRule="auto"/>
        <w:ind w:firstLine="560"/>
        <w:rPr>
          <w:rFonts w:cs="Times New Roman"/>
          <w:szCs w:val="21"/>
        </w:rPr>
      </w:pPr>
      <w:r>
        <w:rPr>
          <w:rFonts w:cs="Times New Roman"/>
          <w:szCs w:val="21"/>
        </w:rPr>
        <w:t>式中，A为岩石应力系数，B为节理方位系数，C为重力调整系数。Q’为根据勘测图或钻孔岩芯记录计算出的结果。</w:t>
      </w:r>
    </w:p>
    <w:p w14:paraId="65FF144A">
      <w:pPr>
        <w:widowControl/>
        <w:adjustRightInd w:val="0"/>
        <w:snapToGrid w:val="0"/>
        <w:spacing w:line="360" w:lineRule="auto"/>
        <w:ind w:firstLine="560"/>
        <w:rPr>
          <w:rFonts w:cs="Times New Roman"/>
          <w:szCs w:val="21"/>
        </w:rPr>
      </w:pPr>
      <w:r>
        <w:rPr>
          <w:rFonts w:cs="Times New Roman"/>
          <w:szCs w:val="21"/>
        </w:rPr>
        <w:t>2）地下开采结构参数分析</w:t>
      </w:r>
    </w:p>
    <w:p w14:paraId="2F0CAD71">
      <w:pPr>
        <w:widowControl/>
        <w:adjustRightInd w:val="0"/>
        <w:snapToGrid w:val="0"/>
        <w:spacing w:line="360" w:lineRule="auto"/>
        <w:ind w:firstLine="560"/>
        <w:rPr>
          <w:rFonts w:cs="Times New Roman"/>
          <w:szCs w:val="21"/>
        </w:rPr>
      </w:pPr>
      <w:r>
        <w:rPr>
          <w:rFonts w:hint="eastAsia" w:cs="Times New Roman"/>
          <w:szCs w:val="21"/>
        </w:rPr>
        <w:t>根据 Mathews 稳定性系数计算公式，计算采场空区顶板和侧帮稳定性系数 N，并对照图得到容许水力半径 HR。</w:t>
      </w:r>
    </w:p>
    <w:p w14:paraId="33CCF98F">
      <w:pPr>
        <w:widowControl/>
        <w:adjustRightInd w:val="0"/>
        <w:snapToGrid w:val="0"/>
        <w:spacing w:line="360" w:lineRule="auto"/>
        <w:ind w:firstLine="560"/>
        <w:rPr>
          <w:rFonts w:cs="Times New Roman"/>
          <w:szCs w:val="21"/>
        </w:rPr>
      </w:pPr>
    </w:p>
    <w:p w14:paraId="4F83B5E1">
      <w:pPr>
        <w:widowControl/>
        <w:adjustRightInd w:val="0"/>
        <w:snapToGrid w:val="0"/>
        <w:spacing w:line="360" w:lineRule="auto"/>
        <w:ind w:firstLine="560"/>
        <w:rPr>
          <w:rFonts w:cs="Times New Roman"/>
          <w:szCs w:val="21"/>
        </w:rPr>
      </w:pPr>
    </w:p>
    <w:p w14:paraId="1BCB9BDC">
      <w:pPr>
        <w:widowControl/>
        <w:adjustRightInd w:val="0"/>
        <w:snapToGrid w:val="0"/>
        <w:spacing w:line="360" w:lineRule="auto"/>
        <w:ind w:firstLine="560"/>
        <w:rPr>
          <w:rFonts w:cs="Times New Roman"/>
          <w:szCs w:val="21"/>
        </w:rPr>
      </w:pPr>
    </w:p>
    <w:p w14:paraId="46D9A1CC">
      <w:pPr>
        <w:tabs>
          <w:tab w:val="left" w:pos="993"/>
        </w:tabs>
        <w:adjustRightInd w:val="0"/>
        <w:snapToGrid w:val="0"/>
        <w:spacing w:line="360" w:lineRule="auto"/>
        <w:ind w:firstLine="560"/>
        <w:jc w:val="center"/>
        <w:rPr>
          <w:rFonts w:asciiTheme="minorHAnsi" w:hAnsiTheme="minorHAnsi" w:cstheme="minorHAnsi"/>
          <w:szCs w:val="28"/>
        </w:rPr>
      </w:pPr>
      <w:r>
        <w:rPr>
          <w:rFonts w:hint="eastAsia" w:asciiTheme="minorHAnsi" w:hAnsiTheme="minorHAnsi" w:cstheme="minorHAnsi"/>
          <w:szCs w:val="28"/>
        </w:rPr>
        <w:t xml:space="preserve"> 表</w:t>
      </w:r>
      <w:r>
        <w:rPr>
          <w:rFonts w:asciiTheme="minorHAnsi" w:hAnsiTheme="minorHAnsi" w:cstheme="minorHAnsi"/>
          <w:szCs w:val="28"/>
        </w:rPr>
        <w:t xml:space="preserve">3.4-3  </w:t>
      </w:r>
      <w:r>
        <w:rPr>
          <w:rFonts w:hint="eastAsia" w:asciiTheme="minorHAnsi" w:hAnsiTheme="minorHAnsi" w:cstheme="minorHAnsi"/>
          <w:szCs w:val="28"/>
        </w:rPr>
        <w:t>阶段空场嗣后充填法采场计算结果</w:t>
      </w:r>
    </w:p>
    <w:tbl>
      <w:tblPr>
        <w:tblStyle w:val="99"/>
        <w:tblW w:w="0" w:type="auto"/>
        <w:tblInd w:w="3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4"/>
        <w:gridCol w:w="656"/>
        <w:gridCol w:w="600"/>
        <w:gridCol w:w="616"/>
        <w:gridCol w:w="615"/>
        <w:gridCol w:w="736"/>
        <w:gridCol w:w="1304"/>
        <w:gridCol w:w="1516"/>
        <w:gridCol w:w="1520"/>
      </w:tblGrid>
      <w:tr w14:paraId="16D0C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exact"/>
        </w:trPr>
        <w:tc>
          <w:tcPr>
            <w:tcW w:w="954" w:type="dxa"/>
            <w:vAlign w:val="center"/>
          </w:tcPr>
          <w:p w14:paraId="520A6CD2">
            <w:pPr>
              <w:pStyle w:val="100"/>
              <w:adjustRightInd w:val="0"/>
              <w:snapToGrid w:val="0"/>
              <w:rPr>
                <w:rFonts w:eastAsia="宋体"/>
                <w:sz w:val="21"/>
                <w:szCs w:val="21"/>
              </w:rPr>
            </w:pPr>
            <w:bookmarkStart w:id="101" w:name="_Hlk197676844"/>
            <w:r>
              <w:rPr>
                <w:rFonts w:hint="eastAsia" w:ascii="宋体" w:hAnsi="宋体" w:eastAsia="宋体" w:cs="宋体"/>
                <w:spacing w:val="-17"/>
                <w:sz w:val="21"/>
                <w:szCs w:val="21"/>
              </w:rPr>
              <w:t>暴露面</w:t>
            </w:r>
            <w:r>
              <w:rPr>
                <w:rFonts w:hint="eastAsia"/>
                <w:sz w:val="21"/>
                <w:szCs w:val="21"/>
              </w:rPr>
              <w:t xml:space="preserve"> </w:t>
            </w:r>
          </w:p>
        </w:tc>
        <w:tc>
          <w:tcPr>
            <w:tcW w:w="656" w:type="dxa"/>
            <w:vAlign w:val="center"/>
          </w:tcPr>
          <w:p w14:paraId="74FD980E">
            <w:pPr>
              <w:pStyle w:val="100"/>
              <w:adjustRightInd w:val="0"/>
              <w:snapToGrid w:val="0"/>
              <w:rPr>
                <w:sz w:val="21"/>
                <w:szCs w:val="21"/>
              </w:rPr>
            </w:pPr>
            <w:r>
              <w:rPr>
                <w:i/>
                <w:sz w:val="21"/>
                <w:szCs w:val="21"/>
              </w:rPr>
              <w:t>Q</w:t>
            </w:r>
            <w:r>
              <w:rPr>
                <w:rFonts w:hint="eastAsia"/>
                <w:sz w:val="21"/>
                <w:szCs w:val="21"/>
              </w:rPr>
              <w:t xml:space="preserve">´ </w:t>
            </w:r>
          </w:p>
        </w:tc>
        <w:tc>
          <w:tcPr>
            <w:tcW w:w="600" w:type="dxa"/>
            <w:vAlign w:val="center"/>
          </w:tcPr>
          <w:p w14:paraId="3FBF387D">
            <w:pPr>
              <w:pStyle w:val="100"/>
              <w:adjustRightInd w:val="0"/>
              <w:snapToGrid w:val="0"/>
              <w:rPr>
                <w:sz w:val="21"/>
                <w:szCs w:val="21"/>
              </w:rPr>
            </w:pPr>
            <w:r>
              <w:rPr>
                <w:w w:val="98"/>
                <w:sz w:val="21"/>
                <w:szCs w:val="21"/>
              </w:rPr>
              <w:t>A</w:t>
            </w:r>
          </w:p>
        </w:tc>
        <w:tc>
          <w:tcPr>
            <w:tcW w:w="616" w:type="dxa"/>
            <w:vAlign w:val="center"/>
          </w:tcPr>
          <w:p w14:paraId="25E6E05D">
            <w:pPr>
              <w:pStyle w:val="100"/>
              <w:adjustRightInd w:val="0"/>
              <w:snapToGrid w:val="0"/>
              <w:rPr>
                <w:sz w:val="21"/>
                <w:szCs w:val="21"/>
              </w:rPr>
            </w:pPr>
            <w:r>
              <w:rPr>
                <w:w w:val="98"/>
                <w:sz w:val="21"/>
                <w:szCs w:val="21"/>
              </w:rPr>
              <w:t>B</w:t>
            </w:r>
          </w:p>
        </w:tc>
        <w:tc>
          <w:tcPr>
            <w:tcW w:w="615" w:type="dxa"/>
            <w:vAlign w:val="center"/>
          </w:tcPr>
          <w:p w14:paraId="253A182B">
            <w:pPr>
              <w:pStyle w:val="100"/>
              <w:adjustRightInd w:val="0"/>
              <w:snapToGrid w:val="0"/>
              <w:rPr>
                <w:sz w:val="21"/>
                <w:szCs w:val="21"/>
              </w:rPr>
            </w:pPr>
            <w:r>
              <w:rPr>
                <w:w w:val="98"/>
                <w:sz w:val="21"/>
                <w:szCs w:val="21"/>
              </w:rPr>
              <w:t>C</w:t>
            </w:r>
          </w:p>
        </w:tc>
        <w:tc>
          <w:tcPr>
            <w:tcW w:w="736" w:type="dxa"/>
            <w:vAlign w:val="center"/>
          </w:tcPr>
          <w:p w14:paraId="40BDEEEE">
            <w:pPr>
              <w:pStyle w:val="100"/>
              <w:adjustRightInd w:val="0"/>
              <w:snapToGrid w:val="0"/>
              <w:rPr>
                <w:sz w:val="21"/>
                <w:szCs w:val="21"/>
              </w:rPr>
            </w:pPr>
            <w:r>
              <w:rPr>
                <w:w w:val="98"/>
                <w:sz w:val="21"/>
                <w:szCs w:val="21"/>
              </w:rPr>
              <w:t>N</w:t>
            </w:r>
          </w:p>
        </w:tc>
        <w:tc>
          <w:tcPr>
            <w:tcW w:w="1304" w:type="dxa"/>
            <w:vAlign w:val="center"/>
          </w:tcPr>
          <w:p w14:paraId="5183FAF9">
            <w:pPr>
              <w:pStyle w:val="100"/>
              <w:adjustRightInd w:val="0"/>
              <w:snapToGrid w:val="0"/>
              <w:rPr>
                <w:rFonts w:ascii="宋体"/>
                <w:sz w:val="21"/>
                <w:szCs w:val="21"/>
              </w:rPr>
            </w:pPr>
            <w:r>
              <w:rPr>
                <w:rFonts w:hint="eastAsia" w:ascii="宋体" w:hAnsi="宋体" w:eastAsia="宋体" w:cs="宋体"/>
                <w:sz w:val="21"/>
                <w:szCs w:val="21"/>
              </w:rPr>
              <w:t>稳定区水力</w:t>
            </w:r>
            <w:r>
              <w:rPr>
                <w:rFonts w:hint="eastAsia"/>
                <w:sz w:val="21"/>
                <w:szCs w:val="21"/>
              </w:rPr>
              <w:t xml:space="preserve"> </w:t>
            </w:r>
          </w:p>
          <w:p w14:paraId="4F400C7B">
            <w:pPr>
              <w:pStyle w:val="100"/>
              <w:adjustRightInd w:val="0"/>
              <w:snapToGrid w:val="0"/>
              <w:rPr>
                <w:sz w:val="21"/>
                <w:szCs w:val="21"/>
              </w:rPr>
            </w:pPr>
            <w:r>
              <w:rPr>
                <w:rFonts w:hint="eastAsia" w:ascii="宋体" w:hAnsi="宋体" w:eastAsia="宋体" w:cs="宋体"/>
                <w:sz w:val="21"/>
                <w:szCs w:val="21"/>
              </w:rPr>
              <w:t>半径</w:t>
            </w:r>
            <w:r>
              <w:rPr>
                <w:sz w:val="21"/>
                <w:szCs w:val="21"/>
              </w:rPr>
              <w:t>/m</w:t>
            </w:r>
          </w:p>
        </w:tc>
        <w:tc>
          <w:tcPr>
            <w:tcW w:w="1516" w:type="dxa"/>
            <w:vAlign w:val="center"/>
          </w:tcPr>
          <w:p w14:paraId="672BA558">
            <w:pPr>
              <w:pStyle w:val="100"/>
              <w:adjustRightInd w:val="0"/>
              <w:snapToGrid w:val="0"/>
              <w:rPr>
                <w:rFonts w:ascii="宋体" w:eastAsia="宋体"/>
                <w:sz w:val="21"/>
                <w:szCs w:val="21"/>
                <w:lang w:eastAsia="zh-CN"/>
              </w:rPr>
            </w:pPr>
            <w:r>
              <w:rPr>
                <w:rFonts w:hint="eastAsia" w:ascii="宋体" w:hAnsi="宋体" w:eastAsia="宋体" w:cs="宋体"/>
                <w:sz w:val="21"/>
                <w:szCs w:val="21"/>
                <w:lang w:eastAsia="zh-CN"/>
              </w:rPr>
              <w:t>无支护稳定区</w:t>
            </w:r>
            <w:r>
              <w:rPr>
                <w:rFonts w:hint="eastAsia"/>
                <w:sz w:val="21"/>
                <w:szCs w:val="21"/>
                <w:lang w:eastAsia="zh-CN"/>
              </w:rPr>
              <w:t xml:space="preserve"> </w:t>
            </w:r>
          </w:p>
          <w:p w14:paraId="107318EF">
            <w:pPr>
              <w:pStyle w:val="100"/>
              <w:adjustRightInd w:val="0"/>
              <w:snapToGrid w:val="0"/>
              <w:rPr>
                <w:sz w:val="21"/>
                <w:szCs w:val="21"/>
                <w:lang w:eastAsia="zh-CN"/>
              </w:rPr>
            </w:pPr>
            <w:r>
              <w:rPr>
                <w:rFonts w:hint="eastAsia" w:ascii="宋体" w:hAnsi="宋体" w:eastAsia="宋体" w:cs="宋体"/>
                <w:sz w:val="21"/>
                <w:szCs w:val="21"/>
                <w:lang w:eastAsia="zh-CN"/>
              </w:rPr>
              <w:t>水力半径</w:t>
            </w:r>
            <w:r>
              <w:rPr>
                <w:sz w:val="21"/>
                <w:szCs w:val="21"/>
                <w:lang w:eastAsia="zh-CN"/>
              </w:rPr>
              <w:t>/m</w:t>
            </w:r>
          </w:p>
        </w:tc>
        <w:tc>
          <w:tcPr>
            <w:tcW w:w="1520" w:type="dxa"/>
            <w:vAlign w:val="center"/>
          </w:tcPr>
          <w:p w14:paraId="2A9034E2">
            <w:pPr>
              <w:pStyle w:val="100"/>
              <w:adjustRightInd w:val="0"/>
              <w:snapToGrid w:val="0"/>
              <w:rPr>
                <w:rFonts w:ascii="宋体" w:eastAsia="宋体"/>
                <w:sz w:val="21"/>
                <w:szCs w:val="21"/>
                <w:lang w:eastAsia="zh-CN"/>
              </w:rPr>
            </w:pPr>
            <w:r>
              <w:rPr>
                <w:rFonts w:hint="eastAsia" w:ascii="宋体" w:hAnsi="宋体" w:eastAsia="宋体" w:cs="宋体"/>
                <w:sz w:val="21"/>
                <w:szCs w:val="21"/>
                <w:lang w:eastAsia="zh-CN"/>
              </w:rPr>
              <w:t>容许水力半径</w:t>
            </w:r>
            <w:r>
              <w:rPr>
                <w:rFonts w:hint="eastAsia"/>
                <w:sz w:val="21"/>
                <w:szCs w:val="21"/>
                <w:lang w:eastAsia="zh-CN"/>
              </w:rPr>
              <w:t xml:space="preserve"> </w:t>
            </w:r>
          </w:p>
          <w:p w14:paraId="79499472">
            <w:pPr>
              <w:pStyle w:val="100"/>
              <w:adjustRightInd w:val="0"/>
              <w:snapToGrid w:val="0"/>
              <w:rPr>
                <w:sz w:val="21"/>
                <w:szCs w:val="21"/>
                <w:lang w:eastAsia="zh-CN"/>
              </w:rPr>
            </w:pPr>
            <w:r>
              <w:rPr>
                <w:rFonts w:hint="eastAsia" w:ascii="宋体" w:hAnsi="宋体" w:eastAsia="宋体" w:cs="宋体"/>
                <w:sz w:val="21"/>
                <w:szCs w:val="21"/>
                <w:lang w:eastAsia="zh-CN"/>
              </w:rPr>
              <w:t>（平均值）</w:t>
            </w:r>
            <w:r>
              <w:rPr>
                <w:sz w:val="21"/>
                <w:szCs w:val="21"/>
                <w:lang w:eastAsia="zh-CN"/>
              </w:rPr>
              <w:t>/m</w:t>
            </w:r>
          </w:p>
        </w:tc>
      </w:tr>
      <w:tr w14:paraId="5301C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1" w:hRule="exact"/>
        </w:trPr>
        <w:tc>
          <w:tcPr>
            <w:tcW w:w="954" w:type="dxa"/>
            <w:vAlign w:val="center"/>
          </w:tcPr>
          <w:p w14:paraId="404AFAC6">
            <w:pPr>
              <w:pStyle w:val="100"/>
              <w:adjustRightInd w:val="0"/>
              <w:snapToGrid w:val="0"/>
              <w:rPr>
                <w:sz w:val="21"/>
                <w:szCs w:val="21"/>
              </w:rPr>
            </w:pPr>
            <w:r>
              <w:rPr>
                <w:rFonts w:hint="eastAsia" w:ascii="宋体" w:hAnsi="宋体" w:eastAsia="宋体" w:cs="宋体"/>
                <w:sz w:val="21"/>
                <w:szCs w:val="21"/>
              </w:rPr>
              <w:t>角闪石英岩顶板</w:t>
            </w:r>
          </w:p>
        </w:tc>
        <w:tc>
          <w:tcPr>
            <w:tcW w:w="656" w:type="dxa"/>
            <w:vAlign w:val="center"/>
          </w:tcPr>
          <w:p w14:paraId="227ACCE2">
            <w:pPr>
              <w:pStyle w:val="100"/>
              <w:adjustRightInd w:val="0"/>
              <w:snapToGrid w:val="0"/>
              <w:rPr>
                <w:sz w:val="21"/>
                <w:szCs w:val="21"/>
              </w:rPr>
            </w:pPr>
            <w:r>
              <w:rPr>
                <w:sz w:val="21"/>
                <w:szCs w:val="21"/>
              </w:rPr>
              <w:t>30</w:t>
            </w:r>
          </w:p>
        </w:tc>
        <w:tc>
          <w:tcPr>
            <w:tcW w:w="600" w:type="dxa"/>
            <w:vAlign w:val="center"/>
          </w:tcPr>
          <w:p w14:paraId="544650AD">
            <w:pPr>
              <w:pStyle w:val="100"/>
              <w:adjustRightInd w:val="0"/>
              <w:snapToGrid w:val="0"/>
              <w:rPr>
                <w:sz w:val="21"/>
                <w:szCs w:val="21"/>
              </w:rPr>
            </w:pPr>
            <w:r>
              <w:rPr>
                <w:sz w:val="21"/>
                <w:szCs w:val="21"/>
              </w:rPr>
              <w:t>0.42</w:t>
            </w:r>
          </w:p>
        </w:tc>
        <w:tc>
          <w:tcPr>
            <w:tcW w:w="616" w:type="dxa"/>
            <w:vAlign w:val="center"/>
          </w:tcPr>
          <w:p w14:paraId="01050BA9">
            <w:pPr>
              <w:pStyle w:val="100"/>
              <w:adjustRightInd w:val="0"/>
              <w:snapToGrid w:val="0"/>
              <w:rPr>
                <w:sz w:val="21"/>
                <w:szCs w:val="21"/>
              </w:rPr>
            </w:pPr>
            <w:r>
              <w:rPr>
                <w:sz w:val="21"/>
                <w:szCs w:val="21"/>
              </w:rPr>
              <w:t>0.4</w:t>
            </w:r>
          </w:p>
        </w:tc>
        <w:tc>
          <w:tcPr>
            <w:tcW w:w="615" w:type="dxa"/>
            <w:vAlign w:val="center"/>
          </w:tcPr>
          <w:p w14:paraId="58AF0568">
            <w:pPr>
              <w:pStyle w:val="100"/>
              <w:adjustRightInd w:val="0"/>
              <w:snapToGrid w:val="0"/>
              <w:rPr>
                <w:sz w:val="21"/>
                <w:szCs w:val="21"/>
              </w:rPr>
            </w:pPr>
            <w:r>
              <w:rPr>
                <w:sz w:val="21"/>
                <w:szCs w:val="21"/>
              </w:rPr>
              <w:t>8</w:t>
            </w:r>
          </w:p>
        </w:tc>
        <w:tc>
          <w:tcPr>
            <w:tcW w:w="736" w:type="dxa"/>
            <w:vAlign w:val="center"/>
          </w:tcPr>
          <w:p w14:paraId="426D6A25">
            <w:pPr>
              <w:pStyle w:val="100"/>
              <w:adjustRightInd w:val="0"/>
              <w:snapToGrid w:val="0"/>
              <w:rPr>
                <w:sz w:val="21"/>
                <w:szCs w:val="21"/>
              </w:rPr>
            </w:pPr>
            <w:r>
              <w:rPr>
                <w:sz w:val="21"/>
                <w:szCs w:val="21"/>
              </w:rPr>
              <w:t>40.32</w:t>
            </w:r>
          </w:p>
        </w:tc>
        <w:tc>
          <w:tcPr>
            <w:tcW w:w="1304" w:type="dxa"/>
            <w:vAlign w:val="center"/>
          </w:tcPr>
          <w:p w14:paraId="32C8D17E">
            <w:pPr>
              <w:pStyle w:val="100"/>
              <w:adjustRightInd w:val="0"/>
              <w:snapToGrid w:val="0"/>
              <w:rPr>
                <w:sz w:val="21"/>
                <w:szCs w:val="21"/>
              </w:rPr>
            </w:pPr>
            <w:r>
              <w:rPr>
                <w:sz w:val="21"/>
                <w:szCs w:val="21"/>
              </w:rPr>
              <w:t>10.5</w:t>
            </w:r>
          </w:p>
        </w:tc>
        <w:tc>
          <w:tcPr>
            <w:tcW w:w="1516" w:type="dxa"/>
            <w:vAlign w:val="center"/>
          </w:tcPr>
          <w:p w14:paraId="382D9156">
            <w:pPr>
              <w:pStyle w:val="100"/>
              <w:adjustRightInd w:val="0"/>
              <w:snapToGrid w:val="0"/>
              <w:rPr>
                <w:sz w:val="21"/>
                <w:szCs w:val="21"/>
              </w:rPr>
            </w:pPr>
            <w:r>
              <w:rPr>
                <w:sz w:val="21"/>
                <w:szCs w:val="21"/>
              </w:rPr>
              <w:t>13.5</w:t>
            </w:r>
          </w:p>
        </w:tc>
        <w:tc>
          <w:tcPr>
            <w:tcW w:w="1520" w:type="dxa"/>
            <w:vAlign w:val="center"/>
          </w:tcPr>
          <w:p w14:paraId="30B9626D">
            <w:pPr>
              <w:pStyle w:val="100"/>
              <w:adjustRightInd w:val="0"/>
              <w:snapToGrid w:val="0"/>
              <w:rPr>
                <w:sz w:val="21"/>
                <w:szCs w:val="21"/>
              </w:rPr>
            </w:pPr>
            <w:r>
              <w:rPr>
                <w:sz w:val="21"/>
                <w:szCs w:val="21"/>
              </w:rPr>
              <w:t>12</w:t>
            </w:r>
          </w:p>
          <w:bookmarkEnd w:id="101"/>
        </w:tc>
      </w:tr>
      <w:tr w14:paraId="5CE38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29" w:hRule="exact"/>
        </w:trPr>
        <w:tc>
          <w:tcPr>
            <w:tcW w:w="954" w:type="dxa"/>
            <w:vAlign w:val="center"/>
          </w:tcPr>
          <w:p w14:paraId="33FA8870">
            <w:pPr>
              <w:pStyle w:val="100"/>
              <w:adjustRightInd w:val="0"/>
              <w:snapToGrid w:val="0"/>
              <w:rPr>
                <w:rFonts w:ascii="宋体" w:eastAsia="宋体"/>
                <w:sz w:val="21"/>
                <w:szCs w:val="21"/>
              </w:rPr>
            </w:pPr>
            <w:r>
              <w:rPr>
                <w:rFonts w:hint="eastAsia" w:ascii="宋体" w:hAnsi="宋体" w:eastAsia="宋体" w:cs="宋体"/>
                <w:sz w:val="21"/>
                <w:szCs w:val="21"/>
              </w:rPr>
              <w:t>黑云变粒岩顶板</w:t>
            </w:r>
          </w:p>
        </w:tc>
        <w:tc>
          <w:tcPr>
            <w:tcW w:w="656" w:type="dxa"/>
            <w:vAlign w:val="center"/>
          </w:tcPr>
          <w:p w14:paraId="183BD829">
            <w:pPr>
              <w:pStyle w:val="100"/>
              <w:adjustRightInd w:val="0"/>
              <w:snapToGrid w:val="0"/>
              <w:rPr>
                <w:sz w:val="21"/>
                <w:szCs w:val="21"/>
              </w:rPr>
            </w:pPr>
            <w:r>
              <w:rPr>
                <w:sz w:val="21"/>
                <w:szCs w:val="21"/>
              </w:rPr>
              <w:t>31.65</w:t>
            </w:r>
          </w:p>
        </w:tc>
        <w:tc>
          <w:tcPr>
            <w:tcW w:w="600" w:type="dxa"/>
            <w:vAlign w:val="center"/>
          </w:tcPr>
          <w:p w14:paraId="197E0970">
            <w:pPr>
              <w:pStyle w:val="100"/>
              <w:adjustRightInd w:val="0"/>
              <w:snapToGrid w:val="0"/>
              <w:rPr>
                <w:sz w:val="21"/>
                <w:szCs w:val="21"/>
              </w:rPr>
            </w:pPr>
            <w:r>
              <w:rPr>
                <w:sz w:val="21"/>
                <w:szCs w:val="21"/>
              </w:rPr>
              <w:t>0.68</w:t>
            </w:r>
          </w:p>
        </w:tc>
        <w:tc>
          <w:tcPr>
            <w:tcW w:w="616" w:type="dxa"/>
            <w:vAlign w:val="center"/>
          </w:tcPr>
          <w:p w14:paraId="1EB6C3D1">
            <w:pPr>
              <w:pStyle w:val="100"/>
              <w:adjustRightInd w:val="0"/>
              <w:snapToGrid w:val="0"/>
              <w:rPr>
                <w:sz w:val="21"/>
                <w:szCs w:val="21"/>
              </w:rPr>
            </w:pPr>
            <w:r>
              <w:rPr>
                <w:sz w:val="21"/>
                <w:szCs w:val="21"/>
              </w:rPr>
              <w:t>0.4</w:t>
            </w:r>
          </w:p>
        </w:tc>
        <w:tc>
          <w:tcPr>
            <w:tcW w:w="615" w:type="dxa"/>
            <w:vAlign w:val="center"/>
          </w:tcPr>
          <w:p w14:paraId="0EDD6419">
            <w:pPr>
              <w:pStyle w:val="100"/>
              <w:adjustRightInd w:val="0"/>
              <w:snapToGrid w:val="0"/>
              <w:rPr>
                <w:sz w:val="21"/>
                <w:szCs w:val="21"/>
              </w:rPr>
            </w:pPr>
            <w:r>
              <w:rPr>
                <w:sz w:val="21"/>
                <w:szCs w:val="21"/>
              </w:rPr>
              <w:t>8</w:t>
            </w:r>
          </w:p>
        </w:tc>
        <w:tc>
          <w:tcPr>
            <w:tcW w:w="736" w:type="dxa"/>
            <w:vAlign w:val="center"/>
          </w:tcPr>
          <w:p w14:paraId="1B5051E4">
            <w:pPr>
              <w:pStyle w:val="100"/>
              <w:adjustRightInd w:val="0"/>
              <w:snapToGrid w:val="0"/>
              <w:rPr>
                <w:sz w:val="21"/>
                <w:szCs w:val="21"/>
              </w:rPr>
            </w:pPr>
            <w:r>
              <w:rPr>
                <w:sz w:val="21"/>
                <w:szCs w:val="21"/>
              </w:rPr>
              <w:t>68.87</w:t>
            </w:r>
          </w:p>
        </w:tc>
        <w:tc>
          <w:tcPr>
            <w:tcW w:w="1304" w:type="dxa"/>
            <w:vAlign w:val="center"/>
          </w:tcPr>
          <w:p w14:paraId="20007DB4">
            <w:pPr>
              <w:pStyle w:val="100"/>
              <w:adjustRightInd w:val="0"/>
              <w:snapToGrid w:val="0"/>
              <w:rPr>
                <w:sz w:val="21"/>
                <w:szCs w:val="21"/>
              </w:rPr>
            </w:pPr>
            <w:r>
              <w:rPr>
                <w:sz w:val="21"/>
                <w:szCs w:val="21"/>
              </w:rPr>
              <w:t>13</w:t>
            </w:r>
          </w:p>
        </w:tc>
        <w:tc>
          <w:tcPr>
            <w:tcW w:w="1516" w:type="dxa"/>
            <w:vAlign w:val="center"/>
          </w:tcPr>
          <w:p w14:paraId="1F9C0B5A">
            <w:pPr>
              <w:pStyle w:val="100"/>
              <w:adjustRightInd w:val="0"/>
              <w:snapToGrid w:val="0"/>
              <w:rPr>
                <w:sz w:val="21"/>
                <w:szCs w:val="21"/>
              </w:rPr>
            </w:pPr>
            <w:r>
              <w:rPr>
                <w:sz w:val="21"/>
                <w:szCs w:val="21"/>
              </w:rPr>
              <w:t>16.4</w:t>
            </w:r>
          </w:p>
        </w:tc>
        <w:tc>
          <w:tcPr>
            <w:tcW w:w="1520" w:type="dxa"/>
            <w:vAlign w:val="center"/>
          </w:tcPr>
          <w:p w14:paraId="14069DE1">
            <w:pPr>
              <w:pStyle w:val="100"/>
              <w:adjustRightInd w:val="0"/>
              <w:snapToGrid w:val="0"/>
              <w:rPr>
                <w:sz w:val="21"/>
                <w:szCs w:val="21"/>
              </w:rPr>
            </w:pPr>
            <w:r>
              <w:rPr>
                <w:sz w:val="21"/>
                <w:szCs w:val="21"/>
              </w:rPr>
              <w:t>14.7</w:t>
            </w:r>
          </w:p>
        </w:tc>
      </w:tr>
      <w:tr w14:paraId="000D4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0" w:hRule="exact"/>
        </w:trPr>
        <w:tc>
          <w:tcPr>
            <w:tcW w:w="954" w:type="dxa"/>
            <w:vAlign w:val="center"/>
          </w:tcPr>
          <w:p w14:paraId="04A9BF72">
            <w:pPr>
              <w:pStyle w:val="100"/>
              <w:adjustRightInd w:val="0"/>
              <w:snapToGrid w:val="0"/>
              <w:rPr>
                <w:sz w:val="21"/>
                <w:szCs w:val="21"/>
              </w:rPr>
            </w:pPr>
            <w:r>
              <w:rPr>
                <w:rFonts w:hint="eastAsia" w:ascii="宋体" w:hAnsi="宋体" w:eastAsia="宋体" w:cs="宋体"/>
                <w:sz w:val="21"/>
                <w:szCs w:val="21"/>
              </w:rPr>
              <w:t>角闪石英岩侧帮</w:t>
            </w:r>
          </w:p>
        </w:tc>
        <w:tc>
          <w:tcPr>
            <w:tcW w:w="656" w:type="dxa"/>
            <w:vAlign w:val="center"/>
          </w:tcPr>
          <w:p w14:paraId="5BDE084D">
            <w:pPr>
              <w:pStyle w:val="100"/>
              <w:adjustRightInd w:val="0"/>
              <w:snapToGrid w:val="0"/>
              <w:rPr>
                <w:sz w:val="21"/>
                <w:szCs w:val="21"/>
              </w:rPr>
            </w:pPr>
            <w:r>
              <w:rPr>
                <w:sz w:val="21"/>
                <w:szCs w:val="21"/>
              </w:rPr>
              <w:t>30</w:t>
            </w:r>
          </w:p>
        </w:tc>
        <w:tc>
          <w:tcPr>
            <w:tcW w:w="600" w:type="dxa"/>
            <w:vAlign w:val="center"/>
          </w:tcPr>
          <w:p w14:paraId="1A8E12DA">
            <w:pPr>
              <w:pStyle w:val="100"/>
              <w:adjustRightInd w:val="0"/>
              <w:snapToGrid w:val="0"/>
              <w:rPr>
                <w:sz w:val="21"/>
                <w:szCs w:val="21"/>
              </w:rPr>
            </w:pPr>
            <w:r>
              <w:rPr>
                <w:sz w:val="21"/>
                <w:szCs w:val="21"/>
              </w:rPr>
              <w:t>0.42</w:t>
            </w:r>
          </w:p>
        </w:tc>
        <w:tc>
          <w:tcPr>
            <w:tcW w:w="616" w:type="dxa"/>
            <w:vAlign w:val="center"/>
          </w:tcPr>
          <w:p w14:paraId="64F8374A">
            <w:pPr>
              <w:pStyle w:val="100"/>
              <w:adjustRightInd w:val="0"/>
              <w:snapToGrid w:val="0"/>
              <w:rPr>
                <w:sz w:val="21"/>
                <w:szCs w:val="21"/>
              </w:rPr>
            </w:pPr>
            <w:r>
              <w:rPr>
                <w:sz w:val="21"/>
                <w:szCs w:val="21"/>
              </w:rPr>
              <w:t>0.7</w:t>
            </w:r>
          </w:p>
        </w:tc>
        <w:tc>
          <w:tcPr>
            <w:tcW w:w="615" w:type="dxa"/>
            <w:vAlign w:val="center"/>
          </w:tcPr>
          <w:p w14:paraId="11382709">
            <w:pPr>
              <w:pStyle w:val="100"/>
              <w:adjustRightInd w:val="0"/>
              <w:snapToGrid w:val="0"/>
              <w:rPr>
                <w:sz w:val="21"/>
                <w:szCs w:val="21"/>
              </w:rPr>
            </w:pPr>
            <w:r>
              <w:rPr>
                <w:sz w:val="21"/>
                <w:szCs w:val="21"/>
              </w:rPr>
              <w:t>6</w:t>
            </w:r>
          </w:p>
        </w:tc>
        <w:tc>
          <w:tcPr>
            <w:tcW w:w="736" w:type="dxa"/>
            <w:vAlign w:val="center"/>
          </w:tcPr>
          <w:p w14:paraId="1B8542AD">
            <w:pPr>
              <w:pStyle w:val="100"/>
              <w:adjustRightInd w:val="0"/>
              <w:snapToGrid w:val="0"/>
              <w:rPr>
                <w:sz w:val="21"/>
                <w:szCs w:val="21"/>
              </w:rPr>
            </w:pPr>
            <w:r>
              <w:rPr>
                <w:sz w:val="21"/>
                <w:szCs w:val="21"/>
              </w:rPr>
              <w:t>52.92</w:t>
            </w:r>
          </w:p>
        </w:tc>
        <w:tc>
          <w:tcPr>
            <w:tcW w:w="1304" w:type="dxa"/>
            <w:vAlign w:val="center"/>
          </w:tcPr>
          <w:p w14:paraId="72C2CB37">
            <w:pPr>
              <w:pStyle w:val="100"/>
              <w:adjustRightInd w:val="0"/>
              <w:snapToGrid w:val="0"/>
              <w:rPr>
                <w:sz w:val="21"/>
                <w:szCs w:val="21"/>
              </w:rPr>
            </w:pPr>
            <w:r>
              <w:rPr>
                <w:sz w:val="21"/>
                <w:szCs w:val="21"/>
              </w:rPr>
              <w:t>12.4</w:t>
            </w:r>
          </w:p>
        </w:tc>
        <w:tc>
          <w:tcPr>
            <w:tcW w:w="1516" w:type="dxa"/>
            <w:vAlign w:val="center"/>
          </w:tcPr>
          <w:p w14:paraId="748B76F6">
            <w:pPr>
              <w:pStyle w:val="100"/>
              <w:adjustRightInd w:val="0"/>
              <w:snapToGrid w:val="0"/>
              <w:rPr>
                <w:sz w:val="21"/>
                <w:szCs w:val="21"/>
              </w:rPr>
            </w:pPr>
            <w:r>
              <w:rPr>
                <w:sz w:val="21"/>
                <w:szCs w:val="21"/>
              </w:rPr>
              <w:t>15</w:t>
            </w:r>
          </w:p>
        </w:tc>
        <w:tc>
          <w:tcPr>
            <w:tcW w:w="1520" w:type="dxa"/>
            <w:vAlign w:val="center"/>
          </w:tcPr>
          <w:p w14:paraId="649D4281">
            <w:pPr>
              <w:pStyle w:val="100"/>
              <w:adjustRightInd w:val="0"/>
              <w:snapToGrid w:val="0"/>
              <w:rPr>
                <w:sz w:val="21"/>
                <w:szCs w:val="21"/>
              </w:rPr>
            </w:pPr>
            <w:r>
              <w:rPr>
                <w:sz w:val="21"/>
                <w:szCs w:val="21"/>
              </w:rPr>
              <w:t>13.7</w:t>
            </w:r>
          </w:p>
        </w:tc>
      </w:tr>
      <w:tr w14:paraId="670ED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9" w:hRule="exact"/>
        </w:trPr>
        <w:tc>
          <w:tcPr>
            <w:tcW w:w="954" w:type="dxa"/>
            <w:vAlign w:val="center"/>
          </w:tcPr>
          <w:p w14:paraId="78A89A74">
            <w:pPr>
              <w:pStyle w:val="100"/>
              <w:adjustRightInd w:val="0"/>
              <w:snapToGrid w:val="0"/>
              <w:rPr>
                <w:sz w:val="21"/>
                <w:szCs w:val="21"/>
              </w:rPr>
            </w:pPr>
            <w:r>
              <w:rPr>
                <w:rFonts w:hint="eastAsia" w:ascii="宋体" w:hAnsi="宋体" w:eastAsia="宋体" w:cs="宋体"/>
                <w:sz w:val="21"/>
                <w:szCs w:val="21"/>
              </w:rPr>
              <w:t>黑云变粒岩侧帮</w:t>
            </w:r>
          </w:p>
        </w:tc>
        <w:tc>
          <w:tcPr>
            <w:tcW w:w="656" w:type="dxa"/>
            <w:vAlign w:val="center"/>
          </w:tcPr>
          <w:p w14:paraId="10DD9F1C">
            <w:pPr>
              <w:pStyle w:val="100"/>
              <w:adjustRightInd w:val="0"/>
              <w:snapToGrid w:val="0"/>
              <w:rPr>
                <w:sz w:val="21"/>
                <w:szCs w:val="21"/>
              </w:rPr>
            </w:pPr>
            <w:r>
              <w:rPr>
                <w:sz w:val="21"/>
                <w:szCs w:val="21"/>
              </w:rPr>
              <w:t>31.65</w:t>
            </w:r>
          </w:p>
        </w:tc>
        <w:tc>
          <w:tcPr>
            <w:tcW w:w="600" w:type="dxa"/>
            <w:vAlign w:val="center"/>
          </w:tcPr>
          <w:p w14:paraId="6FA5FA3C">
            <w:pPr>
              <w:pStyle w:val="100"/>
              <w:adjustRightInd w:val="0"/>
              <w:snapToGrid w:val="0"/>
              <w:rPr>
                <w:sz w:val="21"/>
                <w:szCs w:val="21"/>
              </w:rPr>
            </w:pPr>
            <w:r>
              <w:rPr>
                <w:sz w:val="21"/>
                <w:szCs w:val="21"/>
              </w:rPr>
              <w:t>0.68</w:t>
            </w:r>
          </w:p>
        </w:tc>
        <w:tc>
          <w:tcPr>
            <w:tcW w:w="616" w:type="dxa"/>
            <w:vAlign w:val="center"/>
          </w:tcPr>
          <w:p w14:paraId="6A0C9682">
            <w:pPr>
              <w:pStyle w:val="100"/>
              <w:adjustRightInd w:val="0"/>
              <w:snapToGrid w:val="0"/>
              <w:rPr>
                <w:sz w:val="21"/>
                <w:szCs w:val="21"/>
              </w:rPr>
            </w:pPr>
            <w:r>
              <w:rPr>
                <w:sz w:val="21"/>
                <w:szCs w:val="21"/>
              </w:rPr>
              <w:t>0.7</w:t>
            </w:r>
          </w:p>
        </w:tc>
        <w:tc>
          <w:tcPr>
            <w:tcW w:w="615" w:type="dxa"/>
            <w:vAlign w:val="center"/>
          </w:tcPr>
          <w:p w14:paraId="40C8E2C3">
            <w:pPr>
              <w:pStyle w:val="100"/>
              <w:adjustRightInd w:val="0"/>
              <w:snapToGrid w:val="0"/>
              <w:rPr>
                <w:sz w:val="21"/>
                <w:szCs w:val="21"/>
              </w:rPr>
            </w:pPr>
            <w:r>
              <w:rPr>
                <w:sz w:val="21"/>
                <w:szCs w:val="21"/>
              </w:rPr>
              <w:t>6</w:t>
            </w:r>
          </w:p>
        </w:tc>
        <w:tc>
          <w:tcPr>
            <w:tcW w:w="736" w:type="dxa"/>
            <w:vAlign w:val="center"/>
          </w:tcPr>
          <w:p w14:paraId="033E9A6C">
            <w:pPr>
              <w:pStyle w:val="100"/>
              <w:adjustRightInd w:val="0"/>
              <w:snapToGrid w:val="0"/>
              <w:rPr>
                <w:sz w:val="21"/>
                <w:szCs w:val="21"/>
              </w:rPr>
            </w:pPr>
            <w:r>
              <w:rPr>
                <w:sz w:val="21"/>
                <w:szCs w:val="21"/>
              </w:rPr>
              <w:t>90.39</w:t>
            </w:r>
          </w:p>
        </w:tc>
        <w:tc>
          <w:tcPr>
            <w:tcW w:w="1304" w:type="dxa"/>
            <w:vAlign w:val="center"/>
          </w:tcPr>
          <w:p w14:paraId="65D7B523">
            <w:pPr>
              <w:pStyle w:val="100"/>
              <w:adjustRightInd w:val="0"/>
              <w:snapToGrid w:val="0"/>
              <w:rPr>
                <w:sz w:val="21"/>
                <w:szCs w:val="21"/>
              </w:rPr>
            </w:pPr>
            <w:r>
              <w:rPr>
                <w:sz w:val="21"/>
                <w:szCs w:val="21"/>
              </w:rPr>
              <w:t>14.2</w:t>
            </w:r>
          </w:p>
        </w:tc>
        <w:tc>
          <w:tcPr>
            <w:tcW w:w="1516" w:type="dxa"/>
            <w:vAlign w:val="center"/>
          </w:tcPr>
          <w:p w14:paraId="65F4A3B5">
            <w:pPr>
              <w:pStyle w:val="100"/>
              <w:adjustRightInd w:val="0"/>
              <w:snapToGrid w:val="0"/>
              <w:rPr>
                <w:sz w:val="21"/>
                <w:szCs w:val="21"/>
              </w:rPr>
            </w:pPr>
            <w:r>
              <w:rPr>
                <w:sz w:val="21"/>
                <w:szCs w:val="21"/>
              </w:rPr>
              <w:t>17.8</w:t>
            </w:r>
          </w:p>
        </w:tc>
        <w:tc>
          <w:tcPr>
            <w:tcW w:w="1520" w:type="dxa"/>
            <w:vAlign w:val="center"/>
          </w:tcPr>
          <w:p w14:paraId="31C17E16">
            <w:pPr>
              <w:pStyle w:val="100"/>
              <w:adjustRightInd w:val="0"/>
              <w:snapToGrid w:val="0"/>
              <w:rPr>
                <w:sz w:val="21"/>
                <w:szCs w:val="21"/>
              </w:rPr>
            </w:pPr>
            <w:r>
              <w:rPr>
                <w:sz w:val="21"/>
                <w:szCs w:val="21"/>
              </w:rPr>
              <w:t>16</w:t>
            </w:r>
          </w:p>
        </w:tc>
      </w:tr>
    </w:tbl>
    <w:p w14:paraId="1B5972CE">
      <w:pPr>
        <w:tabs>
          <w:tab w:val="left" w:pos="993"/>
        </w:tabs>
        <w:adjustRightInd w:val="0"/>
        <w:snapToGrid w:val="0"/>
        <w:spacing w:line="360" w:lineRule="auto"/>
        <w:ind w:firstLine="560"/>
        <w:rPr>
          <w:rFonts w:asciiTheme="minorHAnsi" w:hAnsiTheme="minorHAnsi" w:cstheme="minorHAnsi"/>
          <w:szCs w:val="28"/>
        </w:rPr>
      </w:pPr>
    </w:p>
    <w:p w14:paraId="7D72E543">
      <w:pPr>
        <w:widowControl/>
        <w:snapToGrid w:val="0"/>
        <w:spacing w:line="360" w:lineRule="auto"/>
        <w:ind w:firstLine="560"/>
        <w:rPr>
          <w:szCs w:val="28"/>
        </w:rPr>
      </w:pPr>
      <w:r>
        <w:rPr>
          <w:rFonts w:hint="eastAsia"/>
          <w:szCs w:val="28"/>
        </w:rPr>
        <w:t>基于图解法的采场长度校核</w:t>
      </w:r>
    </w:p>
    <w:p w14:paraId="08913449">
      <w:pPr>
        <w:widowControl/>
        <w:snapToGrid w:val="0"/>
        <w:spacing w:line="360" w:lineRule="auto"/>
        <w:ind w:firstLine="560"/>
        <w:rPr>
          <w:szCs w:val="28"/>
        </w:rPr>
      </w:pPr>
      <w:r>
        <w:rPr>
          <w:rFonts w:hint="eastAsia"/>
          <w:szCs w:val="28"/>
        </w:rPr>
        <w:t>根据《可研报告》，矿山采用阶段空场嗣后充填采矿法开采，根据矿体的赋存特征可分为垂直走向的阶段空场法和沿走向的分段空场法。采场垂直走向布置时，采场长为矿体厚度，取最大值 40m，采场宽为 25m，中段高 75m；采场沿走向布置时，采场长为 40m，采场宽为矿体厚度，取最大值 15m，中段高 75m。根据 Mathews 稳定性图解法分别计算设计采场长度下顶板和侧帮的水力半径。</w:t>
      </w:r>
    </w:p>
    <w:p w14:paraId="10C7760B">
      <w:pPr>
        <w:widowControl/>
        <w:snapToGrid w:val="0"/>
        <w:spacing w:line="360" w:lineRule="auto"/>
        <w:ind w:firstLine="560"/>
        <w:jc w:val="center"/>
        <w:rPr>
          <w:szCs w:val="28"/>
        </w:rPr>
      </w:pPr>
      <w:r>
        <w:rPr>
          <w:rFonts w:hint="eastAsia"/>
          <w:szCs w:val="28"/>
        </w:rPr>
        <w:t xml:space="preserve">表 </w:t>
      </w:r>
      <w:r>
        <w:rPr>
          <w:szCs w:val="28"/>
        </w:rPr>
        <w:t xml:space="preserve">3.4-4 </w:t>
      </w:r>
      <w:r>
        <w:rPr>
          <w:rFonts w:hint="eastAsia"/>
          <w:szCs w:val="28"/>
        </w:rPr>
        <w:t>采场设计暴露面水力半径校核表</w:t>
      </w:r>
    </w:p>
    <w:tbl>
      <w:tblPr>
        <w:tblStyle w:val="99"/>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93"/>
        <w:gridCol w:w="1268"/>
        <w:gridCol w:w="1352"/>
        <w:gridCol w:w="993"/>
        <w:gridCol w:w="1031"/>
        <w:gridCol w:w="1064"/>
        <w:gridCol w:w="1411"/>
        <w:gridCol w:w="1058"/>
      </w:tblGrid>
      <w:tr w14:paraId="222AF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93" w:type="dxa"/>
            <w:vAlign w:val="center"/>
          </w:tcPr>
          <w:p w14:paraId="7CF4C9B5">
            <w:pPr>
              <w:pStyle w:val="100"/>
              <w:adjustRightInd w:val="0"/>
              <w:snapToGrid w:val="0"/>
              <w:rPr>
                <w:sz w:val="21"/>
              </w:rPr>
            </w:pPr>
            <w:r>
              <w:rPr>
                <w:rFonts w:hint="eastAsia" w:ascii="宋体" w:hAnsi="宋体" w:eastAsia="宋体" w:cs="宋体"/>
                <w:sz w:val="21"/>
              </w:rPr>
              <w:t>暴露面</w:t>
            </w:r>
          </w:p>
        </w:tc>
        <w:tc>
          <w:tcPr>
            <w:tcW w:w="1268" w:type="dxa"/>
            <w:vAlign w:val="center"/>
          </w:tcPr>
          <w:p w14:paraId="3A17EF9D">
            <w:pPr>
              <w:pStyle w:val="100"/>
              <w:adjustRightInd w:val="0"/>
              <w:snapToGrid w:val="0"/>
              <w:rPr>
                <w:sz w:val="21"/>
              </w:rPr>
            </w:pPr>
            <w:r>
              <w:rPr>
                <w:rFonts w:hint="eastAsia" w:ascii="宋体" w:hAnsi="宋体" w:eastAsia="宋体" w:cs="宋体"/>
                <w:sz w:val="21"/>
              </w:rPr>
              <w:t>稳定性系数</w:t>
            </w:r>
            <w:r>
              <w:rPr>
                <w:sz w:val="21"/>
              </w:rPr>
              <w:t>N</w:t>
            </w:r>
          </w:p>
        </w:tc>
        <w:tc>
          <w:tcPr>
            <w:tcW w:w="1352" w:type="dxa"/>
            <w:vAlign w:val="center"/>
          </w:tcPr>
          <w:p w14:paraId="43503932">
            <w:pPr>
              <w:pStyle w:val="100"/>
              <w:adjustRightInd w:val="0"/>
              <w:snapToGrid w:val="0"/>
              <w:rPr>
                <w:rFonts w:ascii="宋体" w:eastAsia="宋体"/>
                <w:sz w:val="21"/>
              </w:rPr>
            </w:pPr>
            <w:r>
              <w:rPr>
                <w:rFonts w:hint="eastAsia" w:ascii="宋体" w:hAnsi="宋体" w:eastAsia="宋体" w:cs="宋体"/>
                <w:sz w:val="21"/>
              </w:rPr>
              <w:t>容许水力半径</w:t>
            </w:r>
          </w:p>
          <w:p w14:paraId="77AF00DD">
            <w:pPr>
              <w:pStyle w:val="100"/>
              <w:adjustRightInd w:val="0"/>
              <w:snapToGrid w:val="0"/>
              <w:rPr>
                <w:sz w:val="21"/>
              </w:rPr>
            </w:pPr>
            <w:r>
              <w:rPr>
                <w:sz w:val="21"/>
              </w:rPr>
              <w:t>/m</w:t>
            </w:r>
          </w:p>
        </w:tc>
        <w:tc>
          <w:tcPr>
            <w:tcW w:w="993" w:type="dxa"/>
            <w:vAlign w:val="center"/>
          </w:tcPr>
          <w:p w14:paraId="7B0F7D5E">
            <w:pPr>
              <w:pStyle w:val="100"/>
              <w:adjustRightInd w:val="0"/>
              <w:snapToGrid w:val="0"/>
              <w:rPr>
                <w:sz w:val="21"/>
              </w:rPr>
            </w:pPr>
            <w:r>
              <w:rPr>
                <w:rFonts w:hint="eastAsia" w:ascii="宋体" w:hAnsi="宋体" w:eastAsia="宋体" w:cs="宋体"/>
                <w:sz w:val="21"/>
              </w:rPr>
              <w:t>采场长</w:t>
            </w:r>
            <w:r>
              <w:rPr>
                <w:sz w:val="21"/>
              </w:rPr>
              <w:t>/m</w:t>
            </w:r>
          </w:p>
        </w:tc>
        <w:tc>
          <w:tcPr>
            <w:tcW w:w="1031" w:type="dxa"/>
            <w:vAlign w:val="center"/>
          </w:tcPr>
          <w:p w14:paraId="4B5109E3">
            <w:pPr>
              <w:pStyle w:val="100"/>
              <w:adjustRightInd w:val="0"/>
              <w:snapToGrid w:val="0"/>
              <w:rPr>
                <w:sz w:val="21"/>
              </w:rPr>
            </w:pPr>
            <w:r>
              <w:rPr>
                <w:rFonts w:hint="eastAsia" w:ascii="宋体" w:hAnsi="宋体" w:eastAsia="宋体" w:cs="宋体"/>
                <w:sz w:val="21"/>
              </w:rPr>
              <w:t>采场宽</w:t>
            </w:r>
            <w:r>
              <w:rPr>
                <w:sz w:val="21"/>
              </w:rPr>
              <w:t>/m</w:t>
            </w:r>
          </w:p>
        </w:tc>
        <w:tc>
          <w:tcPr>
            <w:tcW w:w="1064" w:type="dxa"/>
            <w:vAlign w:val="center"/>
          </w:tcPr>
          <w:p w14:paraId="7EF523D3">
            <w:pPr>
              <w:pStyle w:val="100"/>
              <w:adjustRightInd w:val="0"/>
              <w:snapToGrid w:val="0"/>
              <w:rPr>
                <w:rFonts w:ascii="宋体" w:eastAsia="宋体"/>
                <w:sz w:val="21"/>
              </w:rPr>
            </w:pPr>
            <w:r>
              <w:rPr>
                <w:rFonts w:hint="eastAsia" w:ascii="宋体" w:hAnsi="宋体" w:eastAsia="宋体" w:cs="宋体"/>
                <w:sz w:val="21"/>
              </w:rPr>
              <w:t>暴露面积</w:t>
            </w:r>
          </w:p>
          <w:p w14:paraId="1D6C581B">
            <w:pPr>
              <w:pStyle w:val="100"/>
              <w:adjustRightInd w:val="0"/>
              <w:snapToGrid w:val="0"/>
              <w:rPr>
                <w:sz w:val="14"/>
              </w:rPr>
            </w:pPr>
            <w:r>
              <w:rPr>
                <w:sz w:val="21"/>
              </w:rPr>
              <w:t>/m</w:t>
            </w:r>
            <w:r>
              <w:rPr>
                <w:position w:val="8"/>
                <w:sz w:val="14"/>
              </w:rPr>
              <w:t>2</w:t>
            </w:r>
          </w:p>
        </w:tc>
        <w:tc>
          <w:tcPr>
            <w:tcW w:w="1411" w:type="dxa"/>
            <w:vAlign w:val="center"/>
          </w:tcPr>
          <w:p w14:paraId="607CC06D">
            <w:pPr>
              <w:pStyle w:val="100"/>
              <w:adjustRightInd w:val="0"/>
              <w:snapToGrid w:val="0"/>
              <w:rPr>
                <w:rFonts w:ascii="宋体"/>
                <w:sz w:val="21"/>
              </w:rPr>
            </w:pPr>
            <w:r>
              <w:rPr>
                <w:rFonts w:hint="eastAsia" w:ascii="宋体" w:hAnsi="宋体" w:eastAsia="宋体" w:cs="宋体"/>
                <w:sz w:val="21"/>
              </w:rPr>
              <w:t>设计水力半径</w:t>
            </w:r>
          </w:p>
          <w:p w14:paraId="2CEEED6A">
            <w:pPr>
              <w:pStyle w:val="100"/>
              <w:adjustRightInd w:val="0"/>
              <w:snapToGrid w:val="0"/>
              <w:rPr>
                <w:sz w:val="21"/>
              </w:rPr>
            </w:pPr>
            <w:r>
              <w:rPr>
                <w:sz w:val="21"/>
              </w:rPr>
              <w:t>/m</w:t>
            </w:r>
          </w:p>
        </w:tc>
        <w:tc>
          <w:tcPr>
            <w:tcW w:w="1058" w:type="dxa"/>
            <w:vAlign w:val="center"/>
          </w:tcPr>
          <w:p w14:paraId="375710C4">
            <w:pPr>
              <w:pStyle w:val="100"/>
              <w:adjustRightInd w:val="0"/>
              <w:snapToGrid w:val="0"/>
              <w:rPr>
                <w:sz w:val="21"/>
              </w:rPr>
            </w:pPr>
            <w:r>
              <w:rPr>
                <w:rFonts w:hint="eastAsia" w:ascii="宋体" w:hAnsi="宋体" w:eastAsia="宋体" w:cs="宋体"/>
                <w:sz w:val="21"/>
              </w:rPr>
              <w:t>校核结果</w:t>
            </w:r>
          </w:p>
        </w:tc>
      </w:tr>
      <w:tr w14:paraId="6F6D8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93" w:type="dxa"/>
            <w:vAlign w:val="center"/>
          </w:tcPr>
          <w:p w14:paraId="79BCD137">
            <w:pPr>
              <w:pStyle w:val="100"/>
              <w:adjustRightInd w:val="0"/>
              <w:snapToGrid w:val="0"/>
              <w:rPr>
                <w:sz w:val="21"/>
              </w:rPr>
            </w:pPr>
            <w:r>
              <w:rPr>
                <w:rFonts w:hint="eastAsia" w:ascii="宋体" w:hAnsi="宋体" w:eastAsia="宋体" w:cs="宋体"/>
                <w:sz w:val="21"/>
              </w:rPr>
              <w:t>角闪石英岩顶板</w:t>
            </w:r>
          </w:p>
        </w:tc>
        <w:tc>
          <w:tcPr>
            <w:tcW w:w="1268" w:type="dxa"/>
            <w:vAlign w:val="center"/>
          </w:tcPr>
          <w:p w14:paraId="02C624D3">
            <w:pPr>
              <w:pStyle w:val="100"/>
              <w:adjustRightInd w:val="0"/>
              <w:snapToGrid w:val="0"/>
              <w:rPr>
                <w:sz w:val="21"/>
              </w:rPr>
            </w:pPr>
            <w:r>
              <w:rPr>
                <w:sz w:val="21"/>
              </w:rPr>
              <w:t>40.32</w:t>
            </w:r>
          </w:p>
        </w:tc>
        <w:tc>
          <w:tcPr>
            <w:tcW w:w="1352" w:type="dxa"/>
            <w:vAlign w:val="center"/>
          </w:tcPr>
          <w:p w14:paraId="5F22014F">
            <w:pPr>
              <w:pStyle w:val="100"/>
              <w:adjustRightInd w:val="0"/>
              <w:snapToGrid w:val="0"/>
              <w:rPr>
                <w:sz w:val="21"/>
              </w:rPr>
            </w:pPr>
            <w:r>
              <w:rPr>
                <w:sz w:val="21"/>
              </w:rPr>
              <w:t>12</w:t>
            </w:r>
          </w:p>
        </w:tc>
        <w:tc>
          <w:tcPr>
            <w:tcW w:w="993" w:type="dxa"/>
            <w:vAlign w:val="center"/>
          </w:tcPr>
          <w:p w14:paraId="2C0735FF">
            <w:pPr>
              <w:pStyle w:val="100"/>
              <w:adjustRightInd w:val="0"/>
              <w:snapToGrid w:val="0"/>
              <w:rPr>
                <w:sz w:val="21"/>
              </w:rPr>
            </w:pPr>
            <w:r>
              <w:rPr>
                <w:sz w:val="21"/>
              </w:rPr>
              <w:t>40/40</w:t>
            </w:r>
          </w:p>
        </w:tc>
        <w:tc>
          <w:tcPr>
            <w:tcW w:w="1031" w:type="dxa"/>
            <w:vAlign w:val="center"/>
          </w:tcPr>
          <w:p w14:paraId="7E265A63">
            <w:pPr>
              <w:pStyle w:val="100"/>
              <w:adjustRightInd w:val="0"/>
              <w:snapToGrid w:val="0"/>
              <w:rPr>
                <w:sz w:val="21"/>
              </w:rPr>
            </w:pPr>
            <w:r>
              <w:rPr>
                <w:sz w:val="21"/>
              </w:rPr>
              <w:t>25/15</w:t>
            </w:r>
          </w:p>
        </w:tc>
        <w:tc>
          <w:tcPr>
            <w:tcW w:w="1064" w:type="dxa"/>
            <w:vAlign w:val="center"/>
          </w:tcPr>
          <w:p w14:paraId="191824A5">
            <w:pPr>
              <w:pStyle w:val="100"/>
              <w:adjustRightInd w:val="0"/>
              <w:snapToGrid w:val="0"/>
              <w:rPr>
                <w:sz w:val="21"/>
              </w:rPr>
            </w:pPr>
            <w:r>
              <w:rPr>
                <w:sz w:val="21"/>
              </w:rPr>
              <w:t>1000/600</w:t>
            </w:r>
          </w:p>
        </w:tc>
        <w:tc>
          <w:tcPr>
            <w:tcW w:w="1411" w:type="dxa"/>
            <w:vAlign w:val="center"/>
          </w:tcPr>
          <w:p w14:paraId="6BC730DF">
            <w:pPr>
              <w:pStyle w:val="100"/>
              <w:adjustRightInd w:val="0"/>
              <w:snapToGrid w:val="0"/>
              <w:rPr>
                <w:sz w:val="21"/>
              </w:rPr>
            </w:pPr>
            <w:r>
              <w:rPr>
                <w:sz w:val="21"/>
              </w:rPr>
              <w:t>7.69/5.45</w:t>
            </w:r>
          </w:p>
        </w:tc>
        <w:tc>
          <w:tcPr>
            <w:tcW w:w="1058" w:type="dxa"/>
            <w:vAlign w:val="center"/>
          </w:tcPr>
          <w:p w14:paraId="5BE80751">
            <w:pPr>
              <w:pStyle w:val="100"/>
              <w:adjustRightInd w:val="0"/>
              <w:snapToGrid w:val="0"/>
              <w:rPr>
                <w:sz w:val="21"/>
              </w:rPr>
            </w:pPr>
            <w:r>
              <w:rPr>
                <w:rFonts w:hint="eastAsia" w:ascii="宋体" w:hAnsi="宋体" w:eastAsia="宋体" w:cs="宋体"/>
                <w:sz w:val="21"/>
              </w:rPr>
              <w:t>稳定</w:t>
            </w:r>
          </w:p>
        </w:tc>
      </w:tr>
      <w:tr w14:paraId="3F3DC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93" w:type="dxa"/>
            <w:vAlign w:val="center"/>
          </w:tcPr>
          <w:p w14:paraId="1B4C09F4">
            <w:pPr>
              <w:pStyle w:val="100"/>
              <w:adjustRightInd w:val="0"/>
              <w:snapToGrid w:val="0"/>
              <w:rPr>
                <w:sz w:val="21"/>
              </w:rPr>
            </w:pPr>
            <w:r>
              <w:rPr>
                <w:rFonts w:hint="eastAsia" w:ascii="宋体" w:hAnsi="宋体" w:eastAsia="宋体" w:cs="宋体"/>
                <w:sz w:val="21"/>
              </w:rPr>
              <w:t>黑云变粒岩顶板</w:t>
            </w:r>
          </w:p>
        </w:tc>
        <w:tc>
          <w:tcPr>
            <w:tcW w:w="1268" w:type="dxa"/>
            <w:vAlign w:val="center"/>
          </w:tcPr>
          <w:p w14:paraId="190A4029">
            <w:pPr>
              <w:pStyle w:val="100"/>
              <w:adjustRightInd w:val="0"/>
              <w:snapToGrid w:val="0"/>
              <w:rPr>
                <w:sz w:val="21"/>
              </w:rPr>
            </w:pPr>
            <w:r>
              <w:rPr>
                <w:sz w:val="21"/>
              </w:rPr>
              <w:t>68.87</w:t>
            </w:r>
          </w:p>
        </w:tc>
        <w:tc>
          <w:tcPr>
            <w:tcW w:w="1352" w:type="dxa"/>
            <w:vAlign w:val="center"/>
          </w:tcPr>
          <w:p w14:paraId="3AE4BCEE">
            <w:pPr>
              <w:pStyle w:val="100"/>
              <w:adjustRightInd w:val="0"/>
              <w:snapToGrid w:val="0"/>
              <w:rPr>
                <w:sz w:val="21"/>
              </w:rPr>
            </w:pPr>
            <w:r>
              <w:rPr>
                <w:sz w:val="21"/>
              </w:rPr>
              <w:t>14.7</w:t>
            </w:r>
          </w:p>
        </w:tc>
        <w:tc>
          <w:tcPr>
            <w:tcW w:w="993" w:type="dxa"/>
            <w:vAlign w:val="center"/>
          </w:tcPr>
          <w:p w14:paraId="0E18DE24">
            <w:pPr>
              <w:pStyle w:val="100"/>
              <w:adjustRightInd w:val="0"/>
              <w:snapToGrid w:val="0"/>
              <w:rPr>
                <w:sz w:val="21"/>
              </w:rPr>
            </w:pPr>
            <w:r>
              <w:rPr>
                <w:sz w:val="21"/>
              </w:rPr>
              <w:t>40/40</w:t>
            </w:r>
          </w:p>
        </w:tc>
        <w:tc>
          <w:tcPr>
            <w:tcW w:w="1031" w:type="dxa"/>
            <w:vAlign w:val="center"/>
          </w:tcPr>
          <w:p w14:paraId="31B687FB">
            <w:pPr>
              <w:pStyle w:val="100"/>
              <w:adjustRightInd w:val="0"/>
              <w:snapToGrid w:val="0"/>
              <w:rPr>
                <w:sz w:val="21"/>
              </w:rPr>
            </w:pPr>
            <w:r>
              <w:rPr>
                <w:sz w:val="21"/>
              </w:rPr>
              <w:t>25/15</w:t>
            </w:r>
          </w:p>
        </w:tc>
        <w:tc>
          <w:tcPr>
            <w:tcW w:w="1064" w:type="dxa"/>
            <w:vAlign w:val="center"/>
          </w:tcPr>
          <w:p w14:paraId="7B0E089C">
            <w:pPr>
              <w:pStyle w:val="100"/>
              <w:adjustRightInd w:val="0"/>
              <w:snapToGrid w:val="0"/>
              <w:rPr>
                <w:sz w:val="21"/>
              </w:rPr>
            </w:pPr>
            <w:r>
              <w:rPr>
                <w:sz w:val="21"/>
              </w:rPr>
              <w:t>1000/600</w:t>
            </w:r>
          </w:p>
        </w:tc>
        <w:tc>
          <w:tcPr>
            <w:tcW w:w="1411" w:type="dxa"/>
            <w:vAlign w:val="center"/>
          </w:tcPr>
          <w:p w14:paraId="4EF6521B">
            <w:pPr>
              <w:pStyle w:val="100"/>
              <w:adjustRightInd w:val="0"/>
              <w:snapToGrid w:val="0"/>
              <w:rPr>
                <w:sz w:val="21"/>
              </w:rPr>
            </w:pPr>
            <w:r>
              <w:rPr>
                <w:sz w:val="21"/>
              </w:rPr>
              <w:t>7.69/5.45</w:t>
            </w:r>
          </w:p>
        </w:tc>
        <w:tc>
          <w:tcPr>
            <w:tcW w:w="1058" w:type="dxa"/>
            <w:vAlign w:val="center"/>
          </w:tcPr>
          <w:p w14:paraId="7A0C26EA">
            <w:pPr>
              <w:pStyle w:val="100"/>
              <w:adjustRightInd w:val="0"/>
              <w:snapToGrid w:val="0"/>
              <w:rPr>
                <w:sz w:val="21"/>
              </w:rPr>
            </w:pPr>
            <w:r>
              <w:rPr>
                <w:rFonts w:hint="eastAsia" w:ascii="宋体" w:hAnsi="宋体" w:eastAsia="宋体" w:cs="宋体"/>
                <w:sz w:val="21"/>
              </w:rPr>
              <w:t>稳定</w:t>
            </w:r>
          </w:p>
        </w:tc>
      </w:tr>
      <w:tr w14:paraId="22939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93" w:type="dxa"/>
            <w:vAlign w:val="center"/>
          </w:tcPr>
          <w:p w14:paraId="7420A06D">
            <w:pPr>
              <w:pStyle w:val="100"/>
              <w:adjustRightInd w:val="0"/>
              <w:snapToGrid w:val="0"/>
              <w:rPr>
                <w:sz w:val="21"/>
              </w:rPr>
            </w:pPr>
            <w:r>
              <w:rPr>
                <w:rFonts w:hint="eastAsia" w:ascii="宋体" w:hAnsi="宋体" w:eastAsia="宋体" w:cs="宋体"/>
                <w:sz w:val="21"/>
              </w:rPr>
              <w:t>角闪石英岩侧帮</w:t>
            </w:r>
          </w:p>
        </w:tc>
        <w:tc>
          <w:tcPr>
            <w:tcW w:w="1268" w:type="dxa"/>
            <w:vAlign w:val="center"/>
          </w:tcPr>
          <w:p w14:paraId="70326D9E">
            <w:pPr>
              <w:pStyle w:val="100"/>
              <w:adjustRightInd w:val="0"/>
              <w:snapToGrid w:val="0"/>
              <w:rPr>
                <w:sz w:val="21"/>
              </w:rPr>
            </w:pPr>
            <w:r>
              <w:rPr>
                <w:sz w:val="21"/>
              </w:rPr>
              <w:t>52.92</w:t>
            </w:r>
          </w:p>
        </w:tc>
        <w:tc>
          <w:tcPr>
            <w:tcW w:w="1352" w:type="dxa"/>
            <w:vAlign w:val="center"/>
          </w:tcPr>
          <w:p w14:paraId="0CBCC490">
            <w:pPr>
              <w:pStyle w:val="100"/>
              <w:adjustRightInd w:val="0"/>
              <w:snapToGrid w:val="0"/>
              <w:rPr>
                <w:sz w:val="21"/>
              </w:rPr>
            </w:pPr>
            <w:r>
              <w:rPr>
                <w:sz w:val="21"/>
              </w:rPr>
              <w:t>13.7</w:t>
            </w:r>
          </w:p>
        </w:tc>
        <w:tc>
          <w:tcPr>
            <w:tcW w:w="993" w:type="dxa"/>
            <w:vAlign w:val="center"/>
          </w:tcPr>
          <w:p w14:paraId="266BE20C">
            <w:pPr>
              <w:pStyle w:val="100"/>
              <w:adjustRightInd w:val="0"/>
              <w:snapToGrid w:val="0"/>
              <w:rPr>
                <w:sz w:val="21"/>
              </w:rPr>
            </w:pPr>
            <w:r>
              <w:rPr>
                <w:sz w:val="21"/>
              </w:rPr>
              <w:t>40/15</w:t>
            </w:r>
          </w:p>
        </w:tc>
        <w:tc>
          <w:tcPr>
            <w:tcW w:w="1031" w:type="dxa"/>
            <w:vAlign w:val="center"/>
          </w:tcPr>
          <w:p w14:paraId="08A22CD6">
            <w:pPr>
              <w:pStyle w:val="100"/>
              <w:adjustRightInd w:val="0"/>
              <w:snapToGrid w:val="0"/>
              <w:rPr>
                <w:sz w:val="21"/>
              </w:rPr>
            </w:pPr>
            <w:r>
              <w:rPr>
                <w:sz w:val="21"/>
              </w:rPr>
              <w:t>75</w:t>
            </w:r>
          </w:p>
        </w:tc>
        <w:tc>
          <w:tcPr>
            <w:tcW w:w="1064" w:type="dxa"/>
            <w:vAlign w:val="center"/>
          </w:tcPr>
          <w:p w14:paraId="742E011C">
            <w:pPr>
              <w:pStyle w:val="100"/>
              <w:adjustRightInd w:val="0"/>
              <w:snapToGrid w:val="0"/>
              <w:rPr>
                <w:sz w:val="21"/>
              </w:rPr>
            </w:pPr>
            <w:r>
              <w:rPr>
                <w:sz w:val="21"/>
              </w:rPr>
              <w:t>3000/1125</w:t>
            </w:r>
          </w:p>
        </w:tc>
        <w:tc>
          <w:tcPr>
            <w:tcW w:w="1411" w:type="dxa"/>
            <w:vAlign w:val="center"/>
          </w:tcPr>
          <w:p w14:paraId="69E49B97">
            <w:pPr>
              <w:pStyle w:val="100"/>
              <w:adjustRightInd w:val="0"/>
              <w:snapToGrid w:val="0"/>
              <w:rPr>
                <w:sz w:val="21"/>
              </w:rPr>
            </w:pPr>
            <w:r>
              <w:rPr>
                <w:sz w:val="21"/>
              </w:rPr>
              <w:t>13.04/6.25</w:t>
            </w:r>
          </w:p>
        </w:tc>
        <w:tc>
          <w:tcPr>
            <w:tcW w:w="1058" w:type="dxa"/>
            <w:vAlign w:val="center"/>
          </w:tcPr>
          <w:p w14:paraId="4EBF790C">
            <w:pPr>
              <w:pStyle w:val="100"/>
              <w:adjustRightInd w:val="0"/>
              <w:snapToGrid w:val="0"/>
              <w:rPr>
                <w:sz w:val="21"/>
              </w:rPr>
            </w:pPr>
            <w:r>
              <w:rPr>
                <w:rFonts w:hint="eastAsia" w:ascii="宋体" w:hAnsi="宋体" w:eastAsia="宋体" w:cs="宋体"/>
                <w:sz w:val="21"/>
              </w:rPr>
              <w:t>稳定</w:t>
            </w:r>
          </w:p>
        </w:tc>
      </w:tr>
      <w:tr w14:paraId="6568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93" w:type="dxa"/>
            <w:vAlign w:val="center"/>
          </w:tcPr>
          <w:p w14:paraId="2D4628FA">
            <w:pPr>
              <w:pStyle w:val="100"/>
              <w:adjustRightInd w:val="0"/>
              <w:snapToGrid w:val="0"/>
              <w:rPr>
                <w:sz w:val="21"/>
              </w:rPr>
            </w:pPr>
            <w:r>
              <w:rPr>
                <w:rFonts w:hint="eastAsia" w:ascii="宋体" w:hAnsi="宋体" w:eastAsia="宋体" w:cs="宋体"/>
                <w:sz w:val="21"/>
              </w:rPr>
              <w:t>黑云变粒岩侧帮</w:t>
            </w:r>
          </w:p>
        </w:tc>
        <w:tc>
          <w:tcPr>
            <w:tcW w:w="1268" w:type="dxa"/>
            <w:vAlign w:val="center"/>
          </w:tcPr>
          <w:p w14:paraId="240FFB63">
            <w:pPr>
              <w:pStyle w:val="100"/>
              <w:adjustRightInd w:val="0"/>
              <w:snapToGrid w:val="0"/>
              <w:rPr>
                <w:sz w:val="21"/>
              </w:rPr>
            </w:pPr>
            <w:r>
              <w:rPr>
                <w:sz w:val="21"/>
              </w:rPr>
              <w:t>90.39</w:t>
            </w:r>
          </w:p>
        </w:tc>
        <w:tc>
          <w:tcPr>
            <w:tcW w:w="1352" w:type="dxa"/>
            <w:vAlign w:val="center"/>
          </w:tcPr>
          <w:p w14:paraId="6FB97168">
            <w:pPr>
              <w:pStyle w:val="100"/>
              <w:adjustRightInd w:val="0"/>
              <w:snapToGrid w:val="0"/>
              <w:rPr>
                <w:sz w:val="21"/>
              </w:rPr>
            </w:pPr>
            <w:r>
              <w:rPr>
                <w:sz w:val="21"/>
              </w:rPr>
              <w:t>16</w:t>
            </w:r>
          </w:p>
        </w:tc>
        <w:tc>
          <w:tcPr>
            <w:tcW w:w="993" w:type="dxa"/>
            <w:vAlign w:val="center"/>
          </w:tcPr>
          <w:p w14:paraId="1EE25B87">
            <w:pPr>
              <w:pStyle w:val="100"/>
              <w:adjustRightInd w:val="0"/>
              <w:snapToGrid w:val="0"/>
              <w:rPr>
                <w:sz w:val="21"/>
              </w:rPr>
            </w:pPr>
            <w:r>
              <w:rPr>
                <w:sz w:val="21"/>
              </w:rPr>
              <w:t>40/25</w:t>
            </w:r>
          </w:p>
        </w:tc>
        <w:tc>
          <w:tcPr>
            <w:tcW w:w="1031" w:type="dxa"/>
            <w:vAlign w:val="center"/>
          </w:tcPr>
          <w:p w14:paraId="1ACC8F12">
            <w:pPr>
              <w:pStyle w:val="100"/>
              <w:adjustRightInd w:val="0"/>
              <w:snapToGrid w:val="0"/>
              <w:rPr>
                <w:sz w:val="21"/>
              </w:rPr>
            </w:pPr>
            <w:r>
              <w:rPr>
                <w:sz w:val="21"/>
              </w:rPr>
              <w:t>75</w:t>
            </w:r>
          </w:p>
        </w:tc>
        <w:tc>
          <w:tcPr>
            <w:tcW w:w="1064" w:type="dxa"/>
            <w:vAlign w:val="center"/>
          </w:tcPr>
          <w:p w14:paraId="7A323D89">
            <w:pPr>
              <w:pStyle w:val="100"/>
              <w:adjustRightInd w:val="0"/>
              <w:snapToGrid w:val="0"/>
              <w:rPr>
                <w:sz w:val="21"/>
              </w:rPr>
            </w:pPr>
            <w:r>
              <w:rPr>
                <w:sz w:val="21"/>
              </w:rPr>
              <w:t>3000/1875</w:t>
            </w:r>
          </w:p>
        </w:tc>
        <w:tc>
          <w:tcPr>
            <w:tcW w:w="1411" w:type="dxa"/>
            <w:vAlign w:val="center"/>
          </w:tcPr>
          <w:p w14:paraId="7AF95CCE">
            <w:pPr>
              <w:pStyle w:val="100"/>
              <w:adjustRightInd w:val="0"/>
              <w:snapToGrid w:val="0"/>
              <w:rPr>
                <w:sz w:val="21"/>
              </w:rPr>
            </w:pPr>
            <w:r>
              <w:rPr>
                <w:sz w:val="21"/>
              </w:rPr>
              <w:t>13.04/9.38</w:t>
            </w:r>
          </w:p>
        </w:tc>
        <w:tc>
          <w:tcPr>
            <w:tcW w:w="1058" w:type="dxa"/>
            <w:vAlign w:val="center"/>
          </w:tcPr>
          <w:p w14:paraId="47B0D1AC">
            <w:pPr>
              <w:pStyle w:val="100"/>
              <w:adjustRightInd w:val="0"/>
              <w:snapToGrid w:val="0"/>
              <w:rPr>
                <w:sz w:val="21"/>
              </w:rPr>
            </w:pPr>
            <w:r>
              <w:rPr>
                <w:rFonts w:hint="eastAsia" w:ascii="宋体" w:hAnsi="宋体" w:eastAsia="宋体" w:cs="宋体"/>
                <w:sz w:val="21"/>
              </w:rPr>
              <w:t>稳定</w:t>
            </w:r>
          </w:p>
        </w:tc>
      </w:tr>
    </w:tbl>
    <w:p w14:paraId="7B5A0FBE">
      <w:pPr>
        <w:widowControl/>
        <w:snapToGrid w:val="0"/>
        <w:spacing w:line="360" w:lineRule="auto"/>
        <w:ind w:firstLine="560"/>
        <w:rPr>
          <w:szCs w:val="28"/>
        </w:rPr>
      </w:pPr>
      <w:r>
        <w:rPr>
          <w:rFonts w:hint="eastAsia"/>
          <w:szCs w:val="28"/>
        </w:rPr>
        <w:t>根据 Mathews 稳定性图解法分析，两种采矿方法的矿体厚度作为采场结构参数时，取局部最大值，属于最极端情况，且矿体为狭长型条带状，此时设计的水力半径均不超过容许水力半径的平均值，因此彭集矿区采场的顶板、侧帮均能满足采场采空后的稳定。</w:t>
      </w:r>
    </w:p>
    <w:p w14:paraId="5CCABC4F">
      <w:pPr>
        <w:widowControl/>
        <w:snapToGrid w:val="0"/>
        <w:spacing w:line="360" w:lineRule="auto"/>
        <w:ind w:firstLine="560"/>
        <w:rPr>
          <w:szCs w:val="28"/>
        </w:rPr>
      </w:pPr>
      <w:r>
        <w:rPr>
          <w:rFonts w:hint="eastAsia"/>
          <w:szCs w:val="28"/>
        </w:rPr>
        <w:t>充填体强度分析：</w:t>
      </w:r>
    </w:p>
    <w:p w14:paraId="14C8DD3B">
      <w:pPr>
        <w:widowControl/>
        <w:snapToGrid w:val="0"/>
        <w:spacing w:line="360" w:lineRule="auto"/>
        <w:ind w:firstLine="560"/>
        <w:rPr>
          <w:szCs w:val="28"/>
        </w:rPr>
      </w:pPr>
      <w:r>
        <w:rPr>
          <w:rFonts w:hint="eastAsia"/>
          <w:szCs w:val="28"/>
        </w:rPr>
        <w:t>（1）工况Ⅰ-②结果分析</w:t>
      </w:r>
    </w:p>
    <w:p w14:paraId="78DBE404">
      <w:pPr>
        <w:widowControl/>
        <w:snapToGrid w:val="0"/>
        <w:spacing w:line="360" w:lineRule="auto"/>
        <w:ind w:firstLine="560"/>
        <w:rPr>
          <w:szCs w:val="28"/>
        </w:rPr>
      </w:pPr>
      <w:r>
        <w:rPr>
          <w:rFonts w:hint="eastAsia"/>
          <w:szCs w:val="28"/>
        </w:rPr>
        <w:t>工况Ⅰ-②：-475m 中段 1、2 号矿体中垂直矿体走向布置的阶段空场法，一个盘区内的一步骤采场开采后充填 2MPa 的充填体，二步骤采场全部采空，但是不充填。6 号矿体中沿走向布置的分段空场法，一个盘区内的所有采场开采完后充填 0.6MPa 的充填体；位于上盘的 5 号矿体中沿走向布置的分段空场法，一个盘区内的所有采场全部采空，不充填。</w:t>
      </w:r>
    </w:p>
    <w:p w14:paraId="26C76783">
      <w:pPr>
        <w:widowControl/>
        <w:snapToGrid w:val="0"/>
        <w:spacing w:line="360" w:lineRule="auto"/>
        <w:ind w:firstLine="560"/>
        <w:rPr>
          <w:szCs w:val="28"/>
        </w:rPr>
      </w:pPr>
      <w:r>
        <w:rPr>
          <w:rFonts w:hint="eastAsia"/>
          <w:szCs w:val="28"/>
        </w:rPr>
        <w:t>垂直矿体走向布置的阶段空场嗣后充填法</w:t>
      </w:r>
    </w:p>
    <w:p w14:paraId="4A2BA29E">
      <w:pPr>
        <w:widowControl/>
        <w:snapToGrid w:val="0"/>
        <w:spacing w:line="360" w:lineRule="auto"/>
        <w:ind w:firstLine="560"/>
        <w:rPr>
          <w:szCs w:val="28"/>
        </w:rPr>
      </w:pPr>
      <w:r>
        <w:rPr>
          <w:rFonts w:hint="eastAsia"/>
          <w:szCs w:val="28"/>
        </w:rPr>
        <w:t>A．塑性区分析</w:t>
      </w:r>
    </w:p>
    <w:p w14:paraId="070A5926">
      <w:pPr>
        <w:widowControl/>
        <w:snapToGrid w:val="0"/>
        <w:spacing w:line="360" w:lineRule="auto"/>
        <w:ind w:firstLine="560"/>
        <w:rPr>
          <w:szCs w:val="28"/>
        </w:rPr>
      </w:pPr>
      <w:r>
        <w:drawing>
          <wp:inline distT="0" distB="0" distL="0" distR="0">
            <wp:extent cx="5543550" cy="321945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99"/>
                    <a:stretch>
                      <a:fillRect/>
                    </a:stretch>
                  </pic:blipFill>
                  <pic:spPr>
                    <a:xfrm>
                      <a:off x="0" y="0"/>
                      <a:ext cx="5543550" cy="3219450"/>
                    </a:xfrm>
                    <a:prstGeom prst="rect">
                      <a:avLst/>
                    </a:prstGeom>
                  </pic:spPr>
                </pic:pic>
              </a:graphicData>
            </a:graphic>
          </wp:inline>
        </w:drawing>
      </w:r>
    </w:p>
    <w:p w14:paraId="4592FA5C">
      <w:pPr>
        <w:widowControl/>
        <w:snapToGrid w:val="0"/>
        <w:spacing w:line="360" w:lineRule="auto"/>
        <w:ind w:firstLine="560"/>
        <w:jc w:val="center"/>
        <w:rPr>
          <w:szCs w:val="28"/>
        </w:rPr>
      </w:pPr>
      <w:r>
        <w:rPr>
          <w:rFonts w:hint="eastAsia"/>
          <w:szCs w:val="28"/>
        </w:rPr>
        <w:t>图</w:t>
      </w:r>
      <w:r>
        <w:rPr>
          <w:szCs w:val="28"/>
        </w:rPr>
        <w:t xml:space="preserve">3.4-2 </w:t>
      </w:r>
      <w:r>
        <w:rPr>
          <w:rFonts w:hint="eastAsia"/>
          <w:szCs w:val="28"/>
        </w:rPr>
        <w:t>塑性区分布云图</w:t>
      </w:r>
    </w:p>
    <w:p w14:paraId="10C8FEB2">
      <w:pPr>
        <w:widowControl/>
        <w:snapToGrid w:val="0"/>
        <w:spacing w:line="360" w:lineRule="auto"/>
        <w:ind w:firstLine="560"/>
        <w:rPr>
          <w:szCs w:val="28"/>
        </w:rPr>
      </w:pPr>
      <w:r>
        <w:rPr>
          <w:rFonts w:hint="eastAsia"/>
          <w:szCs w:val="28"/>
        </w:rPr>
        <w:t>通过上图的塑性区分布，可以看出当一步骤采场回采结束并完成充填，二步骤采场处于完全敞空状态时，一步骤采场充填的 2MPa 充填体存在少量的塑性区，主要体现在顶部与顶板接触以及侧壁与盘区间柱接触的位置。其中两侧临空的充填体塑性表现不明显。</w:t>
      </w:r>
    </w:p>
    <w:p w14:paraId="70E2A498">
      <w:pPr>
        <w:widowControl/>
        <w:snapToGrid w:val="0"/>
        <w:spacing w:line="360" w:lineRule="auto"/>
        <w:ind w:firstLine="560"/>
        <w:rPr>
          <w:szCs w:val="28"/>
        </w:rPr>
      </w:pPr>
      <w:r>
        <w:rPr>
          <w:rFonts w:hint="eastAsia"/>
          <w:szCs w:val="28"/>
        </w:rPr>
        <w:t>B．位移分析</w:t>
      </w:r>
    </w:p>
    <w:p w14:paraId="177F120E">
      <w:pPr>
        <w:widowControl/>
        <w:snapToGrid w:val="0"/>
        <w:spacing w:line="360" w:lineRule="auto"/>
        <w:ind w:firstLine="0" w:firstLineChars="0"/>
        <w:jc w:val="center"/>
        <w:rPr>
          <w:szCs w:val="28"/>
        </w:rPr>
      </w:pPr>
      <w:r>
        <w:drawing>
          <wp:inline distT="0" distB="0" distL="0" distR="0">
            <wp:extent cx="5904230" cy="3289935"/>
            <wp:effectExtent l="0" t="0" r="1270" b="571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0"/>
                    <a:stretch>
                      <a:fillRect/>
                    </a:stretch>
                  </pic:blipFill>
                  <pic:spPr>
                    <a:xfrm>
                      <a:off x="0" y="0"/>
                      <a:ext cx="5904230" cy="3289935"/>
                    </a:xfrm>
                    <a:prstGeom prst="rect">
                      <a:avLst/>
                    </a:prstGeom>
                  </pic:spPr>
                </pic:pic>
              </a:graphicData>
            </a:graphic>
          </wp:inline>
        </w:drawing>
      </w:r>
    </w:p>
    <w:p w14:paraId="7DFB7C1D">
      <w:pPr>
        <w:widowControl/>
        <w:snapToGrid w:val="0"/>
        <w:spacing w:line="360" w:lineRule="auto"/>
        <w:ind w:firstLine="0" w:firstLineChars="0"/>
        <w:jc w:val="center"/>
        <w:rPr>
          <w:szCs w:val="28"/>
        </w:rPr>
      </w:pPr>
      <w:r>
        <w:rPr>
          <w:rFonts w:hint="eastAsia"/>
          <w:szCs w:val="28"/>
        </w:rPr>
        <w:t>（ a） X 方向位移云图</w:t>
      </w:r>
    </w:p>
    <w:p w14:paraId="1A223408">
      <w:pPr>
        <w:widowControl/>
        <w:snapToGrid w:val="0"/>
        <w:spacing w:line="360" w:lineRule="auto"/>
        <w:ind w:firstLine="0" w:firstLineChars="0"/>
        <w:jc w:val="center"/>
        <w:rPr>
          <w:szCs w:val="28"/>
        </w:rPr>
      </w:pPr>
      <w:r>
        <w:drawing>
          <wp:inline distT="0" distB="0" distL="0" distR="0">
            <wp:extent cx="5476875" cy="3200400"/>
            <wp:effectExtent l="0" t="0" r="952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1"/>
                    <a:stretch>
                      <a:fillRect/>
                    </a:stretch>
                  </pic:blipFill>
                  <pic:spPr>
                    <a:xfrm>
                      <a:off x="0" y="0"/>
                      <a:ext cx="5476875" cy="3200400"/>
                    </a:xfrm>
                    <a:prstGeom prst="rect">
                      <a:avLst/>
                    </a:prstGeom>
                  </pic:spPr>
                </pic:pic>
              </a:graphicData>
            </a:graphic>
          </wp:inline>
        </w:drawing>
      </w:r>
    </w:p>
    <w:p w14:paraId="23C2E5F9">
      <w:pPr>
        <w:widowControl/>
        <w:snapToGrid w:val="0"/>
        <w:spacing w:line="360" w:lineRule="auto"/>
        <w:ind w:firstLine="0" w:firstLineChars="0"/>
        <w:jc w:val="center"/>
        <w:rPr>
          <w:szCs w:val="28"/>
        </w:rPr>
      </w:pPr>
      <w:r>
        <w:rPr>
          <w:rFonts w:hint="eastAsia"/>
          <w:szCs w:val="28"/>
        </w:rPr>
        <w:t>（ b） Y 方向位移云图</w:t>
      </w:r>
    </w:p>
    <w:p w14:paraId="5891AC10">
      <w:pPr>
        <w:widowControl/>
        <w:snapToGrid w:val="0"/>
        <w:spacing w:line="360" w:lineRule="auto"/>
        <w:ind w:firstLine="0" w:firstLineChars="0"/>
        <w:jc w:val="center"/>
        <w:rPr>
          <w:szCs w:val="28"/>
        </w:rPr>
      </w:pPr>
      <w:r>
        <w:drawing>
          <wp:inline distT="0" distB="0" distL="0" distR="0">
            <wp:extent cx="5438775" cy="3181350"/>
            <wp:effectExtent l="0" t="0" r="952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2"/>
                    <a:stretch>
                      <a:fillRect/>
                    </a:stretch>
                  </pic:blipFill>
                  <pic:spPr>
                    <a:xfrm>
                      <a:off x="0" y="0"/>
                      <a:ext cx="5438775" cy="3181350"/>
                    </a:xfrm>
                    <a:prstGeom prst="rect">
                      <a:avLst/>
                    </a:prstGeom>
                  </pic:spPr>
                </pic:pic>
              </a:graphicData>
            </a:graphic>
          </wp:inline>
        </w:drawing>
      </w:r>
    </w:p>
    <w:p w14:paraId="4629218A">
      <w:pPr>
        <w:widowControl/>
        <w:snapToGrid w:val="0"/>
        <w:spacing w:line="360" w:lineRule="auto"/>
        <w:ind w:firstLine="0" w:firstLineChars="0"/>
        <w:jc w:val="center"/>
        <w:rPr>
          <w:szCs w:val="28"/>
        </w:rPr>
      </w:pPr>
      <w:r>
        <w:rPr>
          <w:rFonts w:hint="eastAsia"/>
          <w:szCs w:val="28"/>
        </w:rPr>
        <w:t>（ c） Z 方向位移云图</w:t>
      </w:r>
    </w:p>
    <w:p w14:paraId="1894F69E">
      <w:pPr>
        <w:widowControl/>
        <w:snapToGrid w:val="0"/>
        <w:spacing w:line="360" w:lineRule="auto"/>
        <w:ind w:firstLine="560"/>
        <w:jc w:val="center"/>
        <w:rPr>
          <w:szCs w:val="28"/>
        </w:rPr>
      </w:pPr>
      <w:r>
        <w:rPr>
          <w:rFonts w:hint="eastAsia"/>
          <w:szCs w:val="28"/>
        </w:rPr>
        <w:t>图</w:t>
      </w:r>
      <w:r>
        <w:rPr>
          <w:szCs w:val="28"/>
        </w:rPr>
        <w:t xml:space="preserve">3.4-3 </w:t>
      </w:r>
      <w:r>
        <w:rPr>
          <w:rFonts w:hint="eastAsia"/>
          <w:szCs w:val="28"/>
        </w:rPr>
        <w:t>位移云图</w:t>
      </w:r>
    </w:p>
    <w:p w14:paraId="2EF62083">
      <w:pPr>
        <w:widowControl/>
        <w:snapToGrid w:val="0"/>
        <w:spacing w:line="360" w:lineRule="auto"/>
        <w:ind w:firstLine="560"/>
        <w:rPr>
          <w:szCs w:val="28"/>
        </w:rPr>
      </w:pPr>
      <w:r>
        <w:rPr>
          <w:rFonts w:hint="eastAsia"/>
          <w:szCs w:val="28"/>
        </w:rPr>
        <w:t>结合位移云图，可以看出当一步骤采场回采结束并完成充填，二步骤采场处于完全敞空状态时，一步骤采场充填的 2MPa 充填体的水平位移主要集中在左右两侧临空面以及与盘区间柱接触的一侧，最大值达到了 9mm（X 方向）；在垂直位移上，主要体现在充填体的顶、底部，顶部因一步骤采场空区的顶板下压表现为下沉，最大值为 17mm。底部因一步骤采场空区的底板抬升表现为上鼓，最大值为 10mm。</w:t>
      </w:r>
    </w:p>
    <w:p w14:paraId="0808C9EE">
      <w:pPr>
        <w:widowControl/>
        <w:snapToGrid w:val="0"/>
        <w:spacing w:line="360" w:lineRule="auto"/>
        <w:ind w:firstLine="560"/>
        <w:rPr>
          <w:szCs w:val="28"/>
        </w:rPr>
      </w:pPr>
      <w:r>
        <w:rPr>
          <w:rFonts w:hint="eastAsia"/>
          <w:szCs w:val="28"/>
        </w:rPr>
        <w:t>C．应力分析</w:t>
      </w:r>
    </w:p>
    <w:p w14:paraId="7CCC7620">
      <w:pPr>
        <w:widowControl/>
        <w:snapToGrid w:val="0"/>
        <w:spacing w:line="360" w:lineRule="auto"/>
        <w:ind w:firstLine="0" w:firstLineChars="0"/>
        <w:jc w:val="center"/>
        <w:rPr>
          <w:szCs w:val="28"/>
        </w:rPr>
      </w:pPr>
      <w:r>
        <w:drawing>
          <wp:inline distT="0" distB="0" distL="0" distR="0">
            <wp:extent cx="5438775" cy="3181350"/>
            <wp:effectExtent l="0" t="0" r="952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3"/>
                    <a:stretch>
                      <a:fillRect/>
                    </a:stretch>
                  </pic:blipFill>
                  <pic:spPr>
                    <a:xfrm>
                      <a:off x="0" y="0"/>
                      <a:ext cx="5438775" cy="3181350"/>
                    </a:xfrm>
                    <a:prstGeom prst="rect">
                      <a:avLst/>
                    </a:prstGeom>
                  </pic:spPr>
                </pic:pic>
              </a:graphicData>
            </a:graphic>
          </wp:inline>
        </w:drawing>
      </w:r>
    </w:p>
    <w:p w14:paraId="59820164">
      <w:pPr>
        <w:widowControl/>
        <w:snapToGrid w:val="0"/>
        <w:spacing w:line="360" w:lineRule="auto"/>
        <w:ind w:firstLine="0" w:firstLineChars="0"/>
        <w:jc w:val="center"/>
        <w:rPr>
          <w:szCs w:val="28"/>
        </w:rPr>
      </w:pPr>
      <w:r>
        <w:rPr>
          <w:rFonts w:hint="eastAsia"/>
          <w:szCs w:val="28"/>
        </w:rPr>
        <w:t>（a）</w:t>
      </w:r>
      <w:r>
        <w:rPr>
          <w:rFonts w:hint="eastAsia"/>
          <w:szCs w:val="28"/>
        </w:rPr>
        <w:tab/>
      </w:r>
      <w:r>
        <w:rPr>
          <w:rFonts w:hint="eastAsia"/>
          <w:szCs w:val="28"/>
        </w:rPr>
        <w:t>最大主应力云图</w:t>
      </w:r>
    </w:p>
    <w:p w14:paraId="3301DB13">
      <w:pPr>
        <w:widowControl/>
        <w:snapToGrid w:val="0"/>
        <w:spacing w:line="360" w:lineRule="auto"/>
        <w:ind w:firstLine="0" w:firstLineChars="0"/>
        <w:jc w:val="center"/>
        <w:rPr>
          <w:szCs w:val="28"/>
        </w:rPr>
      </w:pPr>
      <w:r>
        <w:drawing>
          <wp:inline distT="0" distB="0" distL="0" distR="0">
            <wp:extent cx="5372100" cy="31432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4"/>
                    <a:stretch>
                      <a:fillRect/>
                    </a:stretch>
                  </pic:blipFill>
                  <pic:spPr>
                    <a:xfrm>
                      <a:off x="0" y="0"/>
                      <a:ext cx="5372100" cy="3143250"/>
                    </a:xfrm>
                    <a:prstGeom prst="rect">
                      <a:avLst/>
                    </a:prstGeom>
                  </pic:spPr>
                </pic:pic>
              </a:graphicData>
            </a:graphic>
          </wp:inline>
        </w:drawing>
      </w:r>
    </w:p>
    <w:p w14:paraId="19DA46BB">
      <w:pPr>
        <w:widowControl/>
        <w:snapToGrid w:val="0"/>
        <w:spacing w:line="360" w:lineRule="auto"/>
        <w:ind w:firstLine="0" w:firstLineChars="0"/>
        <w:jc w:val="center"/>
        <w:rPr>
          <w:szCs w:val="28"/>
        </w:rPr>
      </w:pPr>
      <w:r>
        <w:rPr>
          <w:rFonts w:hint="eastAsia"/>
          <w:szCs w:val="28"/>
        </w:rPr>
        <w:t>（b）</w:t>
      </w:r>
      <w:r>
        <w:rPr>
          <w:rFonts w:hint="eastAsia"/>
          <w:szCs w:val="28"/>
        </w:rPr>
        <w:tab/>
      </w:r>
      <w:r>
        <w:rPr>
          <w:rFonts w:hint="eastAsia"/>
          <w:szCs w:val="28"/>
        </w:rPr>
        <w:t>最小主应力云图</w:t>
      </w:r>
    </w:p>
    <w:p w14:paraId="5235CB5B">
      <w:pPr>
        <w:widowControl/>
        <w:snapToGrid w:val="0"/>
        <w:spacing w:line="360" w:lineRule="auto"/>
        <w:ind w:firstLine="0" w:firstLineChars="0"/>
        <w:jc w:val="center"/>
        <w:rPr>
          <w:szCs w:val="28"/>
        </w:rPr>
      </w:pPr>
      <w:r>
        <w:rPr>
          <w:rFonts w:hint="eastAsia"/>
          <w:szCs w:val="28"/>
        </w:rPr>
        <w:t xml:space="preserve">图 </w:t>
      </w:r>
      <w:r>
        <w:rPr>
          <w:szCs w:val="28"/>
        </w:rPr>
        <w:t>3.4-4</w:t>
      </w:r>
      <w:r>
        <w:rPr>
          <w:rFonts w:hint="eastAsia"/>
          <w:szCs w:val="28"/>
        </w:rPr>
        <w:t xml:space="preserve">  应力云图</w:t>
      </w:r>
    </w:p>
    <w:p w14:paraId="3815EC8D">
      <w:pPr>
        <w:widowControl/>
        <w:snapToGrid w:val="0"/>
        <w:spacing w:line="360" w:lineRule="auto"/>
        <w:ind w:firstLine="560"/>
        <w:rPr>
          <w:szCs w:val="28"/>
        </w:rPr>
      </w:pPr>
      <w:r>
        <w:rPr>
          <w:rFonts w:hint="eastAsia"/>
          <w:szCs w:val="28"/>
        </w:rPr>
        <w:t>分析最大、最小主应力云图，一步骤采场充填的 2MPa 充填体内部大部分区域承受来自不同方向的压应力，数值大小为2.5MPa~7.5MPa；在侧壁的临空面承受不到0.12MPa的拉应力。</w:t>
      </w:r>
    </w:p>
    <w:p w14:paraId="6699758E">
      <w:pPr>
        <w:widowControl/>
        <w:snapToGrid w:val="0"/>
        <w:spacing w:line="360" w:lineRule="auto"/>
        <w:ind w:firstLine="560"/>
        <w:rPr>
          <w:szCs w:val="28"/>
        </w:rPr>
      </w:pPr>
      <w:r>
        <w:rPr>
          <w:rFonts w:hint="eastAsia"/>
          <w:szCs w:val="28"/>
        </w:rPr>
        <w:t>（2）工况Ⅱ-②结果分析</w:t>
      </w:r>
    </w:p>
    <w:p w14:paraId="283FB695">
      <w:pPr>
        <w:widowControl/>
        <w:snapToGrid w:val="0"/>
        <w:spacing w:line="360" w:lineRule="auto"/>
        <w:ind w:firstLine="560"/>
        <w:rPr>
          <w:szCs w:val="28"/>
        </w:rPr>
      </w:pPr>
      <w:r>
        <w:rPr>
          <w:rFonts w:hint="eastAsia"/>
          <w:szCs w:val="28"/>
        </w:rPr>
        <w:t>工况Ⅱ-②：-175m 中段 1、2 号矿体中垂直矿体走向布置的阶段空场法，一个盘区内的一步骤采场开采后充填 2MPa 的充填体，二步骤采场全部采空，但是不充填。6 号矿体中沿走向布置的分段空场法，一个盘区内的所有采场开采完后充填 0.6MPa 的充填体；位于上盘的 5 号矿体中沿走向布置的分段空场法，一个盘区内的所有采场全部采空，不充填。</w:t>
      </w:r>
    </w:p>
    <w:p w14:paraId="2F4C3E7B">
      <w:pPr>
        <w:widowControl/>
        <w:snapToGrid w:val="0"/>
        <w:spacing w:line="360" w:lineRule="auto"/>
        <w:ind w:firstLine="560"/>
        <w:rPr>
          <w:szCs w:val="28"/>
        </w:rPr>
      </w:pPr>
      <w:r>
        <w:rPr>
          <w:rFonts w:hint="eastAsia"/>
          <w:szCs w:val="28"/>
        </w:rPr>
        <w:t>垂直矿体走向布置的阶段空场嗣后充填法</w:t>
      </w:r>
    </w:p>
    <w:p w14:paraId="0F823BED">
      <w:pPr>
        <w:widowControl/>
        <w:snapToGrid w:val="0"/>
        <w:spacing w:line="360" w:lineRule="auto"/>
        <w:ind w:firstLine="560"/>
        <w:rPr>
          <w:szCs w:val="28"/>
        </w:rPr>
      </w:pPr>
      <w:r>
        <w:rPr>
          <w:rFonts w:hint="eastAsia"/>
          <w:szCs w:val="28"/>
        </w:rPr>
        <w:t>A．塑性区分析</w:t>
      </w:r>
    </w:p>
    <w:p w14:paraId="64C0CD62">
      <w:pPr>
        <w:widowControl/>
        <w:snapToGrid w:val="0"/>
        <w:spacing w:line="360" w:lineRule="auto"/>
        <w:ind w:firstLine="0" w:firstLineChars="0"/>
        <w:jc w:val="center"/>
        <w:rPr>
          <w:szCs w:val="28"/>
        </w:rPr>
      </w:pPr>
      <w:r>
        <w:drawing>
          <wp:inline distT="0" distB="0" distL="0" distR="0">
            <wp:extent cx="5904230" cy="3303905"/>
            <wp:effectExtent l="0" t="0" r="127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5"/>
                    <a:stretch>
                      <a:fillRect/>
                    </a:stretch>
                  </pic:blipFill>
                  <pic:spPr>
                    <a:xfrm>
                      <a:off x="0" y="0"/>
                      <a:ext cx="5904230" cy="3303905"/>
                    </a:xfrm>
                    <a:prstGeom prst="rect">
                      <a:avLst/>
                    </a:prstGeom>
                  </pic:spPr>
                </pic:pic>
              </a:graphicData>
            </a:graphic>
          </wp:inline>
        </w:drawing>
      </w:r>
    </w:p>
    <w:p w14:paraId="49786872">
      <w:pPr>
        <w:widowControl/>
        <w:snapToGrid w:val="0"/>
        <w:spacing w:line="360" w:lineRule="auto"/>
        <w:ind w:firstLine="0" w:firstLineChars="0"/>
        <w:jc w:val="center"/>
        <w:rPr>
          <w:szCs w:val="28"/>
        </w:rPr>
      </w:pPr>
      <w:r>
        <w:rPr>
          <w:rFonts w:hint="eastAsia"/>
          <w:szCs w:val="28"/>
        </w:rPr>
        <w:t>图</w:t>
      </w:r>
      <w:r>
        <w:rPr>
          <w:szCs w:val="28"/>
        </w:rPr>
        <w:t xml:space="preserve">3.4-5 </w:t>
      </w:r>
      <w:r>
        <w:rPr>
          <w:rFonts w:hint="eastAsia"/>
          <w:szCs w:val="28"/>
        </w:rPr>
        <w:t xml:space="preserve"> 塑性区分布云图</w:t>
      </w:r>
    </w:p>
    <w:p w14:paraId="30F88F37">
      <w:pPr>
        <w:widowControl/>
        <w:snapToGrid w:val="0"/>
        <w:spacing w:line="360" w:lineRule="auto"/>
        <w:ind w:firstLine="560"/>
        <w:rPr>
          <w:szCs w:val="28"/>
        </w:rPr>
      </w:pPr>
      <w:r>
        <w:rPr>
          <w:rFonts w:hint="eastAsia"/>
          <w:szCs w:val="28"/>
        </w:rPr>
        <w:t>通过上图的塑性区分布，可以看出当一步骤采场回采结束并完成充填，二步骤采场处于完全敞空状态时，一步骤采场充填的 2MPa 充填体存在较少塑性区，主要体现在顶部与顶板接触以及侧壁与盘区间柱接触的位置。其中侧壁与盘区间柱接触的充填体下部塑性表现尤为明显，两侧临空的充填体塑性表现不明显。</w:t>
      </w:r>
    </w:p>
    <w:p w14:paraId="0217ADC0">
      <w:pPr>
        <w:widowControl/>
        <w:snapToGrid w:val="0"/>
        <w:spacing w:line="360" w:lineRule="auto"/>
        <w:ind w:firstLine="560"/>
        <w:rPr>
          <w:szCs w:val="28"/>
        </w:rPr>
      </w:pPr>
      <w:r>
        <w:rPr>
          <w:rFonts w:hint="eastAsia"/>
          <w:szCs w:val="28"/>
        </w:rPr>
        <w:t>B．位移分析</w:t>
      </w:r>
    </w:p>
    <w:p w14:paraId="5540D7AA">
      <w:pPr>
        <w:widowControl/>
        <w:snapToGrid w:val="0"/>
        <w:spacing w:line="360" w:lineRule="auto"/>
        <w:ind w:firstLine="0" w:firstLineChars="0"/>
        <w:jc w:val="center"/>
        <w:rPr>
          <w:szCs w:val="28"/>
        </w:rPr>
      </w:pPr>
      <w:r>
        <w:drawing>
          <wp:inline distT="0" distB="0" distL="0" distR="0">
            <wp:extent cx="5904230" cy="3296920"/>
            <wp:effectExtent l="0" t="0" r="127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6"/>
                    <a:stretch>
                      <a:fillRect/>
                    </a:stretch>
                  </pic:blipFill>
                  <pic:spPr>
                    <a:xfrm>
                      <a:off x="0" y="0"/>
                      <a:ext cx="5904230" cy="3296920"/>
                    </a:xfrm>
                    <a:prstGeom prst="rect">
                      <a:avLst/>
                    </a:prstGeom>
                  </pic:spPr>
                </pic:pic>
              </a:graphicData>
            </a:graphic>
          </wp:inline>
        </w:drawing>
      </w:r>
    </w:p>
    <w:p w14:paraId="32BCCC29">
      <w:pPr>
        <w:widowControl/>
        <w:snapToGrid w:val="0"/>
        <w:spacing w:line="360" w:lineRule="auto"/>
        <w:ind w:firstLine="0" w:firstLineChars="0"/>
        <w:jc w:val="center"/>
        <w:rPr>
          <w:szCs w:val="28"/>
        </w:rPr>
      </w:pPr>
      <w:r>
        <w:rPr>
          <w:rFonts w:hint="eastAsia"/>
          <w:szCs w:val="28"/>
        </w:rPr>
        <w:t>（ a） X 方向位移云图</w:t>
      </w:r>
    </w:p>
    <w:p w14:paraId="2CE3CF44">
      <w:pPr>
        <w:widowControl/>
        <w:snapToGrid w:val="0"/>
        <w:spacing w:line="360" w:lineRule="auto"/>
        <w:ind w:firstLine="0" w:firstLineChars="0"/>
        <w:jc w:val="center"/>
        <w:rPr>
          <w:szCs w:val="28"/>
        </w:rPr>
      </w:pPr>
      <w:r>
        <w:drawing>
          <wp:inline distT="0" distB="0" distL="0" distR="0">
            <wp:extent cx="5904230" cy="3269615"/>
            <wp:effectExtent l="0" t="0" r="1270" b="698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7"/>
                    <a:stretch>
                      <a:fillRect/>
                    </a:stretch>
                  </pic:blipFill>
                  <pic:spPr>
                    <a:xfrm>
                      <a:off x="0" y="0"/>
                      <a:ext cx="5904230" cy="3269615"/>
                    </a:xfrm>
                    <a:prstGeom prst="rect">
                      <a:avLst/>
                    </a:prstGeom>
                  </pic:spPr>
                </pic:pic>
              </a:graphicData>
            </a:graphic>
          </wp:inline>
        </w:drawing>
      </w:r>
    </w:p>
    <w:p w14:paraId="3D95D034">
      <w:pPr>
        <w:widowControl/>
        <w:snapToGrid w:val="0"/>
        <w:spacing w:line="360" w:lineRule="auto"/>
        <w:ind w:firstLine="0" w:firstLineChars="0"/>
        <w:jc w:val="center"/>
        <w:rPr>
          <w:szCs w:val="28"/>
        </w:rPr>
      </w:pPr>
      <w:r>
        <w:rPr>
          <w:rFonts w:hint="eastAsia"/>
          <w:szCs w:val="28"/>
        </w:rPr>
        <w:t>（ b） Y 方向位移云图</w:t>
      </w:r>
    </w:p>
    <w:p w14:paraId="265085B2">
      <w:pPr>
        <w:widowControl/>
        <w:snapToGrid w:val="0"/>
        <w:spacing w:line="360" w:lineRule="auto"/>
        <w:ind w:firstLine="0" w:firstLineChars="0"/>
        <w:jc w:val="center"/>
        <w:rPr>
          <w:szCs w:val="28"/>
        </w:rPr>
      </w:pPr>
      <w:r>
        <w:drawing>
          <wp:inline distT="0" distB="0" distL="0" distR="0">
            <wp:extent cx="5904230" cy="3296920"/>
            <wp:effectExtent l="0" t="0" r="127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8"/>
                    <a:stretch>
                      <a:fillRect/>
                    </a:stretch>
                  </pic:blipFill>
                  <pic:spPr>
                    <a:xfrm>
                      <a:off x="0" y="0"/>
                      <a:ext cx="5904230" cy="3296920"/>
                    </a:xfrm>
                    <a:prstGeom prst="rect">
                      <a:avLst/>
                    </a:prstGeom>
                  </pic:spPr>
                </pic:pic>
              </a:graphicData>
            </a:graphic>
          </wp:inline>
        </w:drawing>
      </w:r>
    </w:p>
    <w:p w14:paraId="0FD49E79">
      <w:pPr>
        <w:widowControl/>
        <w:snapToGrid w:val="0"/>
        <w:spacing w:line="360" w:lineRule="auto"/>
        <w:ind w:firstLine="0" w:firstLineChars="0"/>
        <w:jc w:val="center"/>
        <w:rPr>
          <w:szCs w:val="28"/>
        </w:rPr>
      </w:pPr>
      <w:r>
        <w:rPr>
          <w:rFonts w:hint="eastAsia"/>
          <w:szCs w:val="28"/>
        </w:rPr>
        <w:t>（ c） Z 方向位移云图</w:t>
      </w:r>
    </w:p>
    <w:p w14:paraId="1525EB71">
      <w:pPr>
        <w:widowControl/>
        <w:snapToGrid w:val="0"/>
        <w:spacing w:line="360" w:lineRule="auto"/>
        <w:ind w:firstLine="0" w:firstLineChars="0"/>
        <w:jc w:val="center"/>
        <w:rPr>
          <w:szCs w:val="28"/>
        </w:rPr>
      </w:pPr>
      <w:r>
        <w:rPr>
          <w:rFonts w:hint="eastAsia"/>
          <w:szCs w:val="28"/>
        </w:rPr>
        <w:t xml:space="preserve">图 </w:t>
      </w:r>
      <w:r>
        <w:rPr>
          <w:szCs w:val="28"/>
        </w:rPr>
        <w:t>3.4-6</w:t>
      </w:r>
      <w:r>
        <w:rPr>
          <w:rFonts w:hint="eastAsia"/>
          <w:szCs w:val="28"/>
        </w:rPr>
        <w:t xml:space="preserve"> 位移云图</w:t>
      </w:r>
    </w:p>
    <w:p w14:paraId="29879FDE">
      <w:pPr>
        <w:widowControl/>
        <w:snapToGrid w:val="0"/>
        <w:spacing w:line="360" w:lineRule="auto"/>
        <w:ind w:firstLine="560"/>
        <w:rPr>
          <w:szCs w:val="28"/>
        </w:rPr>
      </w:pPr>
      <w:r>
        <w:rPr>
          <w:rFonts w:hint="eastAsia"/>
          <w:szCs w:val="28"/>
        </w:rPr>
        <w:t>结合位移云图，可以看出当一步骤采场回采结束并完成充填，二步骤采场处于完全敞空状态时，一步骤采场充填的 2MPa 充填体的水平位移主要集中在左右两侧临空面以及与盘区间柱接触的一侧，最大值达到了 9mm（X、Y 方向）；在垂直位移上，主要体现在充填体的顶、底部，顶部因一步骤采场空区的顶板下压表现为下沉，最大值为 17mm。底部与工况Ⅰ不同，因为工况Ⅱ为一期最后的开采阶段，其作业是在充填体上进行的，因此垂直位移也表现为下沉，最大值为 35mm。</w:t>
      </w:r>
    </w:p>
    <w:p w14:paraId="1DE849D9">
      <w:pPr>
        <w:widowControl/>
        <w:snapToGrid w:val="0"/>
        <w:spacing w:line="360" w:lineRule="auto"/>
        <w:ind w:firstLine="560"/>
        <w:rPr>
          <w:szCs w:val="28"/>
        </w:rPr>
      </w:pPr>
      <w:r>
        <w:rPr>
          <w:rFonts w:hint="eastAsia"/>
          <w:szCs w:val="28"/>
        </w:rPr>
        <w:t>C．应力分析</w:t>
      </w:r>
    </w:p>
    <w:p w14:paraId="221E2B44">
      <w:pPr>
        <w:widowControl/>
        <w:snapToGrid w:val="0"/>
        <w:spacing w:line="360" w:lineRule="auto"/>
        <w:ind w:firstLine="198" w:firstLineChars="71"/>
        <w:jc w:val="center"/>
        <w:rPr>
          <w:szCs w:val="28"/>
        </w:rPr>
      </w:pPr>
      <w:r>
        <w:drawing>
          <wp:inline distT="0" distB="0" distL="0" distR="0">
            <wp:extent cx="5904230" cy="3296920"/>
            <wp:effectExtent l="0" t="0" r="127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09"/>
                    <a:stretch>
                      <a:fillRect/>
                    </a:stretch>
                  </pic:blipFill>
                  <pic:spPr>
                    <a:xfrm>
                      <a:off x="0" y="0"/>
                      <a:ext cx="5904230" cy="3296920"/>
                    </a:xfrm>
                    <a:prstGeom prst="rect">
                      <a:avLst/>
                    </a:prstGeom>
                  </pic:spPr>
                </pic:pic>
              </a:graphicData>
            </a:graphic>
          </wp:inline>
        </w:drawing>
      </w:r>
    </w:p>
    <w:p w14:paraId="372DA553">
      <w:pPr>
        <w:widowControl/>
        <w:snapToGrid w:val="0"/>
        <w:spacing w:line="360" w:lineRule="auto"/>
        <w:ind w:firstLine="198" w:firstLineChars="71"/>
        <w:jc w:val="center"/>
        <w:rPr>
          <w:szCs w:val="28"/>
        </w:rPr>
      </w:pPr>
      <w:r>
        <w:rPr>
          <w:rFonts w:hint="eastAsia"/>
          <w:szCs w:val="28"/>
        </w:rPr>
        <w:t>（a）最大主应力云图</w:t>
      </w:r>
    </w:p>
    <w:p w14:paraId="15F6FA90">
      <w:pPr>
        <w:widowControl/>
        <w:snapToGrid w:val="0"/>
        <w:spacing w:line="360" w:lineRule="auto"/>
        <w:ind w:firstLine="198" w:firstLineChars="71"/>
        <w:jc w:val="center"/>
        <w:rPr>
          <w:szCs w:val="28"/>
        </w:rPr>
      </w:pPr>
      <w:r>
        <w:drawing>
          <wp:inline distT="0" distB="0" distL="0" distR="0">
            <wp:extent cx="5904230" cy="3289935"/>
            <wp:effectExtent l="0" t="0" r="1270" b="571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0"/>
                    <a:stretch>
                      <a:fillRect/>
                    </a:stretch>
                  </pic:blipFill>
                  <pic:spPr>
                    <a:xfrm>
                      <a:off x="0" y="0"/>
                      <a:ext cx="5904230" cy="3289935"/>
                    </a:xfrm>
                    <a:prstGeom prst="rect">
                      <a:avLst/>
                    </a:prstGeom>
                  </pic:spPr>
                </pic:pic>
              </a:graphicData>
            </a:graphic>
          </wp:inline>
        </w:drawing>
      </w:r>
    </w:p>
    <w:p w14:paraId="5636048E">
      <w:pPr>
        <w:widowControl/>
        <w:snapToGrid w:val="0"/>
        <w:spacing w:line="360" w:lineRule="auto"/>
        <w:ind w:firstLine="198" w:firstLineChars="71"/>
        <w:jc w:val="center"/>
        <w:rPr>
          <w:szCs w:val="28"/>
        </w:rPr>
      </w:pPr>
      <w:r>
        <w:rPr>
          <w:rFonts w:hint="eastAsia"/>
          <w:szCs w:val="28"/>
        </w:rPr>
        <w:t>（b）最小主应力云图</w:t>
      </w:r>
    </w:p>
    <w:p w14:paraId="4DA98B0E">
      <w:pPr>
        <w:widowControl/>
        <w:snapToGrid w:val="0"/>
        <w:spacing w:line="360" w:lineRule="auto"/>
        <w:ind w:firstLine="198" w:firstLineChars="71"/>
        <w:jc w:val="center"/>
        <w:rPr>
          <w:szCs w:val="28"/>
        </w:rPr>
      </w:pPr>
      <w:r>
        <w:rPr>
          <w:rFonts w:hint="eastAsia"/>
          <w:szCs w:val="28"/>
        </w:rPr>
        <w:t xml:space="preserve">图 </w:t>
      </w:r>
      <w:r>
        <w:rPr>
          <w:szCs w:val="28"/>
        </w:rPr>
        <w:t>3.4-7</w:t>
      </w:r>
      <w:r>
        <w:rPr>
          <w:rFonts w:hint="eastAsia"/>
          <w:szCs w:val="28"/>
        </w:rPr>
        <w:t xml:space="preserve">  应力云图</w:t>
      </w:r>
    </w:p>
    <w:p w14:paraId="6078B014">
      <w:pPr>
        <w:widowControl/>
        <w:snapToGrid w:val="0"/>
        <w:spacing w:line="360" w:lineRule="auto"/>
        <w:ind w:firstLine="560"/>
        <w:rPr>
          <w:szCs w:val="28"/>
        </w:rPr>
      </w:pPr>
      <w:r>
        <w:rPr>
          <w:rFonts w:hint="eastAsia"/>
          <w:szCs w:val="28"/>
        </w:rPr>
        <w:t>分析最大、最小主应力云图，一步骤采场充填的 2MPa 充填体内部大部分区域承受来自不同方向的压应力，数值大小为2.5MPa~7.5MPa；在侧壁的临空面承受不到0.15MPa的拉应力。</w:t>
      </w:r>
    </w:p>
    <w:p w14:paraId="16E0B3C4">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3.4.6评价小结</w:t>
      </w:r>
    </w:p>
    <w:p w14:paraId="455D2F09">
      <w:pPr>
        <w:tabs>
          <w:tab w:val="left" w:pos="993"/>
        </w:tabs>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该项目地下开采回采作业中主要危害有冒顶片帮、水灾、爆破器材爆炸、中毒窒息、物体打击、高处坠落、机械伤害、触电、粉尘、噪声与振动、深井开采危害等。</w:t>
      </w:r>
    </w:p>
    <w:p w14:paraId="22E23507">
      <w:pPr>
        <w:adjustRightInd w:val="0"/>
        <w:snapToGrid w:val="0"/>
        <w:spacing w:line="360" w:lineRule="auto"/>
        <w:ind w:firstLine="562"/>
        <w:rPr>
          <w:rFonts w:asciiTheme="minorHAnsi" w:hAnsiTheme="minorHAnsi" w:cstheme="minorHAnsi"/>
          <w:szCs w:val="28"/>
        </w:rPr>
      </w:pPr>
      <w:r>
        <w:rPr>
          <w:rFonts w:asciiTheme="minorHAnsi" w:hAnsiTheme="minorHAnsi" w:cstheme="minorHAnsi"/>
          <w:b/>
          <w:szCs w:val="28"/>
        </w:rPr>
        <w:t>下一阶段设计中应完善以下问题：</w:t>
      </w:r>
    </w:p>
    <w:p w14:paraId="6D3B8BFE">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目前进行的采场结构参数分析主要是采用理论图表法进行，相关岩体条件按照地质报告并结合经验进行评估。应补充一定的工程地质勘察工作以及必要的岩石力学试验，确定岩体参数，开展采场结构参数三维数值分析，校核采场结构参数和采场布置方式的合理性。</w:t>
      </w:r>
    </w:p>
    <w:p w14:paraId="7B20FE77">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（2）矿山最终开采深度大于800m，应开展地应力测试工作，如存在高地压情况，应对深部矿体开采岩爆倾向性论证及防治措施建议。</w:t>
      </w:r>
    </w:p>
    <w:p w14:paraId="5B190F54">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（3）下一步设计阶段应开展一、二期过渡的安全影响问题专题研究。</w:t>
      </w:r>
    </w:p>
    <w:p w14:paraId="6B6DF5C9">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4</w:t>
      </w:r>
      <w:r>
        <w:rPr>
          <w:rFonts w:hint="eastAsia" w:asciiTheme="minorHAnsi" w:hAnsiTheme="minorHAnsi" w:cstheme="minorHAnsi"/>
          <w:szCs w:val="28"/>
        </w:rPr>
        <w:t>）下一步设计阶段应明确井下爆破参数及炸药单耗，并对井下爆破对地表工业场地及上部开拓工程的影响进行分析。</w:t>
      </w:r>
    </w:p>
    <w:p w14:paraId="747B0BE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）下一步设计阶段应对井下充填挡墙构建、充填顺序、泄水设施、充填体强度等进行详细设计。</w:t>
      </w:r>
    </w:p>
    <w:p w14:paraId="2F84FF6D">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w:t>
      </w:r>
      <w:r>
        <w:rPr>
          <w:rFonts w:asciiTheme="minorHAnsi" w:hAnsiTheme="minorHAnsi" w:cstheme="minorHAnsi"/>
          <w:szCs w:val="28"/>
        </w:rPr>
        <w:t>加强巷道施工地质超前预报专题研究，重点调查断裂、冲击地压、突水和地面沉降的地质调查和超前灾害防治方案研究。</w:t>
      </w:r>
    </w:p>
    <w:p w14:paraId="1C47D656">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7</w:t>
      </w:r>
      <w:r>
        <w:rPr>
          <w:rFonts w:hint="eastAsia" w:asciiTheme="minorHAnsi" w:hAnsiTheme="minorHAnsi" w:cstheme="minorHAnsi"/>
          <w:szCs w:val="28"/>
        </w:rPr>
        <w:t>）</w:t>
      </w:r>
      <w:r>
        <w:rPr>
          <w:rFonts w:asciiTheme="minorHAnsi" w:hAnsiTheme="minorHAnsi" w:cstheme="minorHAnsi"/>
          <w:szCs w:val="28"/>
        </w:rPr>
        <w:t>实际生产过程中应重视井巷支护问题，应对支护强度、支护方式与支护参数的合理性重点考虑。</w:t>
      </w:r>
    </w:p>
    <w:p w14:paraId="0AF65DA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8</w:t>
      </w:r>
      <w:r>
        <w:rPr>
          <w:rFonts w:hint="eastAsia" w:asciiTheme="minorHAnsi" w:hAnsiTheme="minorHAnsi" w:cstheme="minorHAnsi"/>
          <w:szCs w:val="28"/>
        </w:rPr>
        <w:t>）</w:t>
      </w:r>
      <w:r>
        <w:rPr>
          <w:rFonts w:asciiTheme="minorHAnsi" w:hAnsiTheme="minorHAnsi" w:cstheme="minorHAnsi"/>
          <w:szCs w:val="28"/>
        </w:rPr>
        <w:t>长期监测开采过程中地表沉降，将观测数据进行统计、整理，并进行分析研究，得出地表沉降的空间时间移动规律，为矿区正常生产提供参考依据。</w:t>
      </w:r>
    </w:p>
    <w:p w14:paraId="2872F92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9</w:t>
      </w:r>
      <w:r>
        <w:rPr>
          <w:rFonts w:hint="eastAsia" w:asciiTheme="minorHAnsi" w:hAnsiTheme="minorHAnsi" w:cstheme="minorHAnsi"/>
          <w:szCs w:val="28"/>
        </w:rPr>
        <w:t>）</w:t>
      </w:r>
      <w:r>
        <w:rPr>
          <w:rFonts w:asciiTheme="minorHAnsi" w:hAnsiTheme="minorHAnsi" w:cstheme="minorHAnsi"/>
          <w:szCs w:val="28"/>
        </w:rPr>
        <w:t>研究深部地压活动规律，通过在线实时监测，分析深部开采岩体应力集中区和应力场变化特点，开展地压活动和岩爆先兆评估，进而预测、预报地压危害和岩爆发生。</w:t>
      </w:r>
    </w:p>
    <w:p w14:paraId="1B0D686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0</w:t>
      </w:r>
      <w:r>
        <w:rPr>
          <w:rFonts w:hint="eastAsia" w:asciiTheme="minorHAnsi" w:hAnsiTheme="minorHAnsi" w:cstheme="minorHAnsi"/>
          <w:szCs w:val="28"/>
        </w:rPr>
        <w:t>）下步设计完善支护设计内容，包括顶板分级、支护方式选择、支护参数确定、支护质量控制要求等。</w:t>
      </w:r>
    </w:p>
    <w:bookmarkEnd w:id="100"/>
    <w:p w14:paraId="5DCC2254">
      <w:pPr>
        <w:pStyle w:val="4"/>
        <w:spacing w:before="190" w:after="190" w:line="360" w:lineRule="exact"/>
        <w:rPr>
          <w:rFonts w:asciiTheme="minorHAnsi" w:hAnsiTheme="minorHAnsi" w:cstheme="minorHAnsi"/>
        </w:rPr>
      </w:pPr>
      <w:bookmarkStart w:id="102" w:name="_Toc9080"/>
      <w:bookmarkStart w:id="103" w:name="_Toc199426941"/>
      <w:bookmarkStart w:id="104" w:name="_Toc3259"/>
      <w:r>
        <w:rPr>
          <w:rFonts w:asciiTheme="minorHAnsi" w:hAnsiTheme="minorHAnsi" w:cstheme="minorHAnsi"/>
        </w:rPr>
        <w:t>3.5充填单元</w:t>
      </w:r>
      <w:bookmarkEnd w:id="102"/>
      <w:bookmarkEnd w:id="103"/>
    </w:p>
    <w:p w14:paraId="7B4DEB52">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3.5.1危险、有害因素辨识与分析</w:t>
      </w:r>
    </w:p>
    <w:p w14:paraId="77499DD3">
      <w:pPr>
        <w:tabs>
          <w:tab w:val="left" w:pos="993"/>
        </w:tabs>
        <w:snapToGrid w:val="0"/>
        <w:spacing w:line="360" w:lineRule="auto"/>
        <w:ind w:firstLine="560"/>
        <w:rPr>
          <w:rFonts w:asciiTheme="minorHAnsi" w:hAnsiTheme="minorHAnsi" w:cstheme="minorHAnsi"/>
          <w:szCs w:val="28"/>
        </w:rPr>
      </w:pPr>
      <w:r>
        <w:rPr>
          <w:rFonts w:asciiTheme="minorHAnsi" w:hAnsiTheme="minorHAnsi" w:cstheme="minorHAnsi"/>
          <w:szCs w:val="28"/>
        </w:rPr>
        <w:t>该项目地下开采充填作业中主要危害有：</w:t>
      </w:r>
    </w:p>
    <w:p w14:paraId="5E389D5D">
      <w:pPr>
        <w:tabs>
          <w:tab w:val="left" w:pos="993"/>
        </w:tabs>
        <w:snapToGrid w:val="0"/>
        <w:spacing w:line="360" w:lineRule="auto"/>
        <w:ind w:firstLine="560"/>
        <w:rPr>
          <w:rFonts w:asciiTheme="minorHAnsi" w:hAnsiTheme="minorHAnsi" w:cstheme="minorHAnsi"/>
          <w:szCs w:val="28"/>
        </w:rPr>
      </w:pPr>
      <w:r>
        <w:rPr>
          <w:rFonts w:asciiTheme="minorHAnsi" w:hAnsiTheme="minorHAnsi" w:cstheme="minorHAnsi"/>
          <w:szCs w:val="28"/>
        </w:rPr>
        <w:t>充填不及时</w:t>
      </w:r>
      <w:r>
        <w:rPr>
          <w:rFonts w:hint="eastAsia" w:asciiTheme="minorHAnsi" w:hAnsiTheme="minorHAnsi" w:cstheme="minorHAnsi"/>
          <w:szCs w:val="28"/>
        </w:rPr>
        <w:t>（</w:t>
      </w:r>
      <w:r>
        <w:rPr>
          <w:rFonts w:asciiTheme="minorHAnsi" w:hAnsiTheme="minorHAnsi" w:cstheme="minorHAnsi"/>
          <w:szCs w:val="28"/>
        </w:rPr>
        <w:t>未及时充填的采空区数量过多、面积过大等</w:t>
      </w:r>
      <w:r>
        <w:rPr>
          <w:rFonts w:hint="eastAsia" w:asciiTheme="minorHAnsi" w:hAnsiTheme="minorHAnsi" w:cstheme="minorHAnsi"/>
          <w:szCs w:val="28"/>
        </w:rPr>
        <w:t>）</w:t>
      </w:r>
      <w:r>
        <w:rPr>
          <w:rFonts w:asciiTheme="minorHAnsi" w:hAnsiTheme="minorHAnsi" w:cstheme="minorHAnsi"/>
          <w:szCs w:val="28"/>
        </w:rPr>
        <w:t>、不接顶、充填不实、充填强度不够、充填质量不合格，未按要求顺序进行充填等也会引发冒顶片帮，严重时会导致岩石移动范围内地表沉降。</w:t>
      </w:r>
    </w:p>
    <w:p w14:paraId="3CF9E069">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3.5.2预先危险性分析表</w:t>
      </w:r>
    </w:p>
    <w:p w14:paraId="5922FE00">
      <w:pPr>
        <w:tabs>
          <w:tab w:val="left" w:pos="1008"/>
        </w:tabs>
        <w:spacing w:line="360" w:lineRule="auto"/>
        <w:ind w:firstLine="560"/>
        <w:jc w:val="center"/>
        <w:rPr>
          <w:rFonts w:asciiTheme="minorHAnsi" w:hAnsiTheme="minorHAnsi" w:cstheme="minorHAnsi"/>
          <w:szCs w:val="28"/>
        </w:rPr>
      </w:pPr>
      <w:r>
        <w:rPr>
          <w:rFonts w:asciiTheme="minorHAnsi" w:hAnsiTheme="minorHAnsi" w:cstheme="minorHAnsi"/>
          <w:szCs w:val="28"/>
        </w:rPr>
        <w:t>表3.5-1充填单元预先危险性分析表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3560"/>
        <w:gridCol w:w="1170"/>
        <w:gridCol w:w="997"/>
        <w:gridCol w:w="3077"/>
      </w:tblGrid>
      <w:tr w14:paraId="2D446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73" w:type="pct"/>
            <w:vAlign w:val="center"/>
          </w:tcPr>
          <w:p w14:paraId="2E772862">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危险因素</w:t>
            </w:r>
          </w:p>
        </w:tc>
        <w:tc>
          <w:tcPr>
            <w:tcW w:w="1871" w:type="pct"/>
            <w:vAlign w:val="center"/>
          </w:tcPr>
          <w:p w14:paraId="2C54FE09">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615" w:type="pct"/>
            <w:vAlign w:val="center"/>
          </w:tcPr>
          <w:p w14:paraId="53A26F38">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524" w:type="pct"/>
            <w:vAlign w:val="center"/>
          </w:tcPr>
          <w:p w14:paraId="199189EB">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7F64B64A">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617" w:type="pct"/>
            <w:vAlign w:val="center"/>
          </w:tcPr>
          <w:p w14:paraId="55B21E61">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1962A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34042447">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冒顶片帮（地表塌陷）</w:t>
            </w:r>
          </w:p>
        </w:tc>
        <w:tc>
          <w:tcPr>
            <w:tcW w:w="1871" w:type="pct"/>
            <w:vAlign w:val="center"/>
          </w:tcPr>
          <w:p w14:paraId="1DF08798">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充填体强度不够或充填质量未满足要求。</w:t>
            </w:r>
          </w:p>
        </w:tc>
        <w:tc>
          <w:tcPr>
            <w:tcW w:w="615" w:type="pct"/>
            <w:vAlign w:val="center"/>
          </w:tcPr>
          <w:p w14:paraId="2F8E96DB">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人员伤亡设备损坏</w:t>
            </w:r>
          </w:p>
        </w:tc>
        <w:tc>
          <w:tcPr>
            <w:tcW w:w="524" w:type="pct"/>
            <w:vAlign w:val="center"/>
          </w:tcPr>
          <w:p w14:paraId="0C3E11B9">
            <w:pPr>
              <w:tabs>
                <w:tab w:val="left" w:pos="1260"/>
                <w:tab w:val="left" w:leader="middleDot" w:pos="7560"/>
              </w:tabs>
              <w:spacing w:line="240" w:lineRule="auto"/>
              <w:ind w:firstLine="0" w:firstLineChars="0"/>
              <w:jc w:val="center"/>
              <w:rPr>
                <w:rFonts w:asciiTheme="minorHAnsi" w:hAnsiTheme="minorHAnsi" w:cstheme="minorHAnsi"/>
                <w:bCs/>
                <w:sz w:val="21"/>
                <w:szCs w:val="21"/>
              </w:rPr>
            </w:pPr>
            <w:r>
              <w:rPr>
                <w:rFonts w:asciiTheme="minorHAnsi" w:hAnsiTheme="minorHAnsi" w:cstheme="minorHAnsi"/>
                <w:sz w:val="21"/>
                <w:szCs w:val="21"/>
              </w:rPr>
              <w:t>Ⅳ</w:t>
            </w:r>
          </w:p>
        </w:tc>
        <w:tc>
          <w:tcPr>
            <w:tcW w:w="1617" w:type="pct"/>
            <w:vAlign w:val="center"/>
          </w:tcPr>
          <w:p w14:paraId="443AA898">
            <w:pPr>
              <w:tabs>
                <w:tab w:val="left" w:pos="1260"/>
                <w:tab w:val="left" w:leader="middleDot" w:pos="7560"/>
              </w:tabs>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回采所形成的空区应及时充填，并保证充填质量。</w:t>
            </w:r>
          </w:p>
        </w:tc>
      </w:tr>
      <w:tr w14:paraId="43278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789ABA84">
            <w:pPr>
              <w:tabs>
                <w:tab w:val="left" w:pos="1260"/>
                <w:tab w:val="left" w:leader="middleDot" w:pos="7560"/>
              </w:tabs>
              <w:spacing w:line="38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充填体泄露(漏浆跑浆)</w:t>
            </w:r>
          </w:p>
        </w:tc>
        <w:tc>
          <w:tcPr>
            <w:tcW w:w="1871" w:type="pct"/>
            <w:vAlign w:val="center"/>
          </w:tcPr>
          <w:p w14:paraId="62F24C5E">
            <w:pPr>
              <w:tabs>
                <w:tab w:val="left" w:pos="1260"/>
                <w:tab w:val="left" w:leader="middleDot" w:pos="7560"/>
              </w:tabs>
              <w:spacing w:line="340" w:lineRule="exact"/>
              <w:ind w:firstLine="0" w:firstLineChars="0"/>
              <w:rPr>
                <w:rFonts w:asciiTheme="minorHAnsi" w:hAnsiTheme="minorHAnsi" w:cstheme="minorHAnsi"/>
                <w:sz w:val="21"/>
                <w:szCs w:val="21"/>
              </w:rPr>
            </w:pPr>
            <w:r>
              <w:rPr>
                <w:rFonts w:asciiTheme="minorHAnsi" w:hAnsiTheme="minorHAnsi" w:cstheme="minorHAnsi"/>
                <w:sz w:val="21"/>
                <w:szCs w:val="21"/>
              </w:rPr>
              <w:t>设备故障、闸阀磨损；充填材料质量或浓度不合格；充填工艺、充填路线设计不合理；充填管接头密封不严；充填管老化；采场及下部通道密封不严；隔墙不窂固。</w:t>
            </w:r>
          </w:p>
        </w:tc>
        <w:tc>
          <w:tcPr>
            <w:tcW w:w="615" w:type="pct"/>
            <w:vAlign w:val="center"/>
          </w:tcPr>
          <w:p w14:paraId="04689A14">
            <w:pPr>
              <w:tabs>
                <w:tab w:val="left" w:pos="1260"/>
                <w:tab w:val="left" w:leader="middleDot" w:pos="7560"/>
              </w:tabs>
              <w:spacing w:line="34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人员伤亡设备损坏</w:t>
            </w:r>
          </w:p>
        </w:tc>
        <w:tc>
          <w:tcPr>
            <w:tcW w:w="524" w:type="pct"/>
            <w:vAlign w:val="center"/>
          </w:tcPr>
          <w:p w14:paraId="3BEBA245">
            <w:pPr>
              <w:spacing w:line="34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617" w:type="pct"/>
            <w:vAlign w:val="center"/>
          </w:tcPr>
          <w:p w14:paraId="59BD02F6">
            <w:pPr>
              <w:tabs>
                <w:tab w:val="left" w:pos="1260"/>
                <w:tab w:val="left" w:leader="middleDot" w:pos="7560"/>
              </w:tabs>
              <w:spacing w:line="340" w:lineRule="exact"/>
              <w:ind w:firstLine="0" w:firstLineChars="0"/>
              <w:rPr>
                <w:rFonts w:asciiTheme="minorHAnsi" w:hAnsiTheme="minorHAnsi" w:cstheme="minorHAnsi"/>
                <w:sz w:val="21"/>
                <w:szCs w:val="21"/>
              </w:rPr>
            </w:pPr>
            <w:r>
              <w:rPr>
                <w:rFonts w:asciiTheme="minorHAnsi" w:hAnsiTheme="minorHAnsi" w:cstheme="minorHAnsi"/>
                <w:sz w:val="21"/>
                <w:szCs w:val="21"/>
              </w:rPr>
              <w:t>经常检查各种闸阀、胶筒的磨损程度，及时维修、更换；保证充填材料质量、浓度合格；合理设计充填工艺；采取合适的充填路线；充填管接头应密封严实；充填管老化应及时更换；采场及下部通道密封严实；隔墙应窂固可靠；加强管路巡检。</w:t>
            </w:r>
          </w:p>
        </w:tc>
      </w:tr>
      <w:tr w14:paraId="14521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Align w:val="center"/>
          </w:tcPr>
          <w:p w14:paraId="5E3F8C9E">
            <w:pPr>
              <w:tabs>
                <w:tab w:val="left" w:pos="1260"/>
                <w:tab w:val="left" w:leader="middleDot" w:pos="7560"/>
              </w:tabs>
              <w:spacing w:line="38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堵管</w:t>
            </w:r>
          </w:p>
        </w:tc>
        <w:tc>
          <w:tcPr>
            <w:tcW w:w="1871" w:type="pct"/>
            <w:vAlign w:val="center"/>
          </w:tcPr>
          <w:p w14:paraId="47027CA3">
            <w:pPr>
              <w:tabs>
                <w:tab w:val="left" w:pos="1260"/>
                <w:tab w:val="left" w:leader="middleDot" w:pos="7560"/>
              </w:tabs>
              <w:spacing w:line="380" w:lineRule="exact"/>
              <w:ind w:firstLine="0" w:firstLineChars="0"/>
              <w:rPr>
                <w:rFonts w:asciiTheme="minorHAnsi" w:hAnsiTheme="minorHAnsi" w:cstheme="minorHAnsi"/>
                <w:sz w:val="21"/>
                <w:szCs w:val="21"/>
              </w:rPr>
            </w:pPr>
            <w:r>
              <w:rPr>
                <w:rFonts w:asciiTheme="minorHAnsi" w:hAnsiTheme="minorHAnsi" w:cstheme="minorHAnsi"/>
                <w:sz w:val="21"/>
                <w:szCs w:val="21"/>
              </w:rPr>
              <w:t>充填体浓度太高。</w:t>
            </w:r>
          </w:p>
        </w:tc>
        <w:tc>
          <w:tcPr>
            <w:tcW w:w="615" w:type="pct"/>
            <w:vAlign w:val="center"/>
          </w:tcPr>
          <w:p w14:paraId="457460FE">
            <w:pPr>
              <w:tabs>
                <w:tab w:val="left" w:pos="1260"/>
                <w:tab w:val="left" w:leader="middleDot" w:pos="7560"/>
              </w:tabs>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影响生产</w:t>
            </w:r>
          </w:p>
        </w:tc>
        <w:tc>
          <w:tcPr>
            <w:tcW w:w="524" w:type="pct"/>
            <w:vAlign w:val="center"/>
          </w:tcPr>
          <w:p w14:paraId="1CB9B9B5">
            <w:pPr>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Ⅱ</w:t>
            </w:r>
          </w:p>
        </w:tc>
        <w:tc>
          <w:tcPr>
            <w:tcW w:w="1617" w:type="pct"/>
            <w:vAlign w:val="center"/>
          </w:tcPr>
          <w:p w14:paraId="1C160888">
            <w:pPr>
              <w:tabs>
                <w:tab w:val="left" w:pos="1260"/>
                <w:tab w:val="left" w:leader="middleDot" w:pos="7560"/>
              </w:tabs>
              <w:spacing w:line="380" w:lineRule="exact"/>
              <w:ind w:firstLine="0" w:firstLineChars="0"/>
              <w:rPr>
                <w:rFonts w:asciiTheme="minorHAnsi" w:hAnsiTheme="minorHAnsi" w:cstheme="minorHAnsi"/>
                <w:sz w:val="21"/>
                <w:szCs w:val="21"/>
              </w:rPr>
            </w:pPr>
            <w:r>
              <w:rPr>
                <w:rFonts w:asciiTheme="minorHAnsi" w:hAnsiTheme="minorHAnsi" w:cstheme="minorHAnsi"/>
                <w:sz w:val="21"/>
                <w:szCs w:val="21"/>
              </w:rPr>
              <w:t>随时观测充填体浓度，防止其浓度过高。</w:t>
            </w:r>
          </w:p>
        </w:tc>
      </w:tr>
    </w:tbl>
    <w:p w14:paraId="2B5339C3">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3.5.3充填系统评价</w:t>
      </w:r>
    </w:p>
    <w:p w14:paraId="32DBBD91">
      <w:pPr>
        <w:snapToGrid w:val="0"/>
        <w:spacing w:line="360" w:lineRule="auto"/>
        <w:ind w:firstLine="560"/>
        <w:rPr>
          <w:rFonts w:asciiTheme="minorHAnsi" w:hAnsiTheme="minorHAnsi" w:cstheme="minorHAnsi"/>
          <w:szCs w:val="28"/>
        </w:rPr>
      </w:pPr>
      <w:r>
        <w:rPr>
          <w:rFonts w:asciiTheme="minorHAnsi" w:hAnsiTheme="minorHAnsi" w:cstheme="minorHAnsi"/>
          <w:szCs w:val="28"/>
        </w:rPr>
        <w:t>可研采用</w:t>
      </w:r>
      <w:r>
        <w:rPr>
          <w:rFonts w:hint="eastAsia" w:asciiTheme="minorHAnsi" w:hAnsiTheme="minorHAnsi" w:cstheme="minorHAnsi"/>
          <w:szCs w:val="28"/>
        </w:rPr>
        <w:t>全尾砂胶结充填</w:t>
      </w:r>
      <w:r>
        <w:rPr>
          <w:rFonts w:asciiTheme="minorHAnsi" w:hAnsiTheme="minorHAnsi" w:cstheme="minorHAnsi"/>
          <w:szCs w:val="28"/>
        </w:rPr>
        <w:t>。</w:t>
      </w:r>
    </w:p>
    <w:p w14:paraId="437616B3">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设计充填料浓度为65%，灰砂比1:6、1:10和1:20三种，</w:t>
      </w:r>
    </w:p>
    <w:p w14:paraId="19032BD0">
      <w:pPr>
        <w:widowControl/>
        <w:adjustRightInd w:val="0"/>
        <w:snapToGrid w:val="0"/>
        <w:spacing w:line="360" w:lineRule="auto"/>
        <w:ind w:firstLine="560"/>
        <w:rPr>
          <w:bCs/>
          <w:szCs w:val="28"/>
        </w:rPr>
      </w:pPr>
      <w:r>
        <w:rPr>
          <w:rFonts w:hint="eastAsia"/>
          <w:bCs/>
          <w:szCs w:val="28"/>
        </w:rPr>
        <w:t>采用阶段空场嗣后充填采矿法（占比51.6%）的采场结构参数（长×宽×高）：矿厚×25m×75m，分两步回采，一步采场顶部5m及底部10m采用灰砂比1:6的胶结充填料，中间部分采用灰砂比1:10的胶结充填料。二步采场顶部5m及底部10m采用灰砂比1:6的胶结充填料，中间部分采用灰砂比1:20的胶结充填料。</w:t>
      </w:r>
    </w:p>
    <w:p w14:paraId="29B487DB">
      <w:pPr>
        <w:widowControl/>
        <w:adjustRightInd w:val="0"/>
        <w:snapToGrid w:val="0"/>
        <w:spacing w:line="360" w:lineRule="auto"/>
        <w:ind w:firstLine="560"/>
        <w:rPr>
          <w:bCs/>
          <w:szCs w:val="28"/>
        </w:rPr>
      </w:pPr>
      <w:r>
        <w:rPr>
          <w:rFonts w:hint="eastAsia"/>
          <w:bCs/>
          <w:szCs w:val="28"/>
        </w:rPr>
        <w:t>采用分段空场嗣后充填采矿法（占比48.4%）的采场结构参数（长×宽×高）：40×矿厚×75m，采场顶部2m采用灰砂比1:6的胶结充填料，剩余部分采用灰砂比1:20的胶结充填料。</w:t>
      </w:r>
    </w:p>
    <w:p w14:paraId="407FF340">
      <w:pPr>
        <w:snapToGrid w:val="0"/>
        <w:spacing w:line="360" w:lineRule="auto"/>
        <w:ind w:firstLine="560"/>
        <w:rPr>
          <w:rFonts w:asciiTheme="minorHAnsi" w:hAnsiTheme="minorHAnsi" w:cstheme="minorHAnsi"/>
          <w:szCs w:val="28"/>
        </w:rPr>
      </w:pPr>
      <w:r>
        <w:rPr>
          <w:rFonts w:asciiTheme="minorHAnsi" w:hAnsiTheme="minorHAnsi" w:cstheme="minorHAnsi"/>
          <w:szCs w:val="28"/>
        </w:rPr>
        <w:t>尾砂胶结充填在国内外均得到了广泛应用，影响尾砂充填体强度的主要因素有：水泥含量及其浓度，在我国实际生产矿山中，灰砂比多为1：8～1：10，在矿块底部经常采用1：4～1：6的灰砂比。</w:t>
      </w:r>
    </w:p>
    <w:p w14:paraId="1EBCF78A">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3.5.4评价小结</w:t>
      </w:r>
    </w:p>
    <w:p w14:paraId="52713E07">
      <w:pPr>
        <w:snapToGrid w:val="0"/>
        <w:spacing w:line="360" w:lineRule="auto"/>
        <w:ind w:firstLine="560"/>
        <w:rPr>
          <w:rFonts w:asciiTheme="minorHAnsi" w:hAnsiTheme="minorHAnsi" w:cstheme="minorHAnsi"/>
          <w:szCs w:val="28"/>
        </w:rPr>
      </w:pPr>
      <w:r>
        <w:rPr>
          <w:rFonts w:asciiTheme="minorHAnsi" w:hAnsiTheme="minorHAnsi" w:cstheme="minorHAnsi"/>
          <w:szCs w:val="28"/>
        </w:rPr>
        <w:t>充填系统主要危害是冒顶片帮（地表塌陷）、充填体泄露</w:t>
      </w:r>
      <w:r>
        <w:rPr>
          <w:rFonts w:hint="eastAsia" w:asciiTheme="minorHAnsi" w:hAnsiTheme="minorHAnsi" w:cstheme="minorHAnsi"/>
          <w:szCs w:val="28"/>
        </w:rPr>
        <w:t>（</w:t>
      </w:r>
      <w:r>
        <w:rPr>
          <w:rFonts w:asciiTheme="minorHAnsi" w:hAnsiTheme="minorHAnsi" w:cstheme="minorHAnsi"/>
          <w:szCs w:val="28"/>
        </w:rPr>
        <w:t>漏浆跑浆</w:t>
      </w:r>
      <w:r>
        <w:rPr>
          <w:rFonts w:hint="eastAsia" w:asciiTheme="minorHAnsi" w:hAnsiTheme="minorHAnsi" w:cstheme="minorHAnsi"/>
          <w:szCs w:val="28"/>
        </w:rPr>
        <w:t>）</w:t>
      </w:r>
      <w:r>
        <w:rPr>
          <w:rFonts w:asciiTheme="minorHAnsi" w:hAnsiTheme="minorHAnsi" w:cstheme="minorHAnsi"/>
          <w:szCs w:val="28"/>
        </w:rPr>
        <w:t>、堵管。</w:t>
      </w:r>
    </w:p>
    <w:p w14:paraId="5D6564AA">
      <w:pPr>
        <w:snapToGrid w:val="0"/>
        <w:spacing w:line="360" w:lineRule="auto"/>
        <w:ind w:firstLine="560"/>
        <w:rPr>
          <w:rFonts w:asciiTheme="minorHAnsi" w:hAnsiTheme="minorHAnsi" w:cstheme="minorHAnsi"/>
          <w:szCs w:val="28"/>
        </w:rPr>
      </w:pPr>
      <w:r>
        <w:rPr>
          <w:rFonts w:asciiTheme="minorHAnsi" w:hAnsiTheme="minorHAnsi" w:cstheme="minorHAnsi"/>
          <w:szCs w:val="28"/>
        </w:rPr>
        <w:t>下一阶段设计中应完善以下问题：</w:t>
      </w:r>
    </w:p>
    <w:p w14:paraId="2CDBFF7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（1）下一步设计前应开展充填材料试验研究，结合配比及强度试验结果对充填浓度进行适当调整。</w:t>
      </w:r>
    </w:p>
    <w:p w14:paraId="15D3AA9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w:t>
      </w:r>
      <w:r>
        <w:rPr>
          <w:rFonts w:asciiTheme="minorHAnsi" w:hAnsiTheme="minorHAnsi" w:cstheme="minorHAnsi"/>
          <w:szCs w:val="28"/>
        </w:rPr>
        <w:t>为确保充填质量，防止爆管、堵管等危害，建议对充填料配比和浓度合理性进行验证。</w:t>
      </w:r>
    </w:p>
    <w:p w14:paraId="7444651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3</w:t>
      </w:r>
      <w:r>
        <w:rPr>
          <w:rFonts w:hint="eastAsia" w:asciiTheme="minorHAnsi" w:hAnsiTheme="minorHAnsi" w:cstheme="minorHAnsi"/>
          <w:szCs w:val="28"/>
        </w:rPr>
        <w:t>）</w:t>
      </w:r>
      <w:r>
        <w:rPr>
          <w:rFonts w:asciiTheme="minorHAnsi" w:hAnsiTheme="minorHAnsi" w:cstheme="minorHAnsi"/>
          <w:szCs w:val="28"/>
        </w:rPr>
        <w:t>为防止压力太大导致爆管危害，建议在充填时管道系统设置压力调控和减压控制措施，建立对管道压力动态检测系统。</w:t>
      </w:r>
    </w:p>
    <w:p w14:paraId="7EE6A4A0">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4</w:t>
      </w:r>
      <w:r>
        <w:rPr>
          <w:rFonts w:hint="eastAsia" w:asciiTheme="minorHAnsi" w:hAnsiTheme="minorHAnsi" w:cstheme="minorHAnsi"/>
          <w:szCs w:val="28"/>
        </w:rPr>
        <w:t>）</w:t>
      </w:r>
      <w:r>
        <w:rPr>
          <w:rFonts w:asciiTheme="minorHAnsi" w:hAnsiTheme="minorHAnsi" w:cstheme="minorHAnsi"/>
          <w:szCs w:val="28"/>
        </w:rPr>
        <w:t>采场应按要求设置充填挡墙。</w:t>
      </w:r>
    </w:p>
    <w:p w14:paraId="76AB56A0">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）采场充填应根据充填料的泄水情况和沉积情况等，分多次充填，多次接顶，必须保证接顶充填质量。</w:t>
      </w:r>
    </w:p>
    <w:p w14:paraId="714691C5">
      <w:pPr>
        <w:pStyle w:val="4"/>
        <w:spacing w:before="190" w:after="190" w:line="360" w:lineRule="exact"/>
        <w:rPr>
          <w:rFonts w:asciiTheme="minorHAnsi" w:hAnsiTheme="minorHAnsi" w:cstheme="minorHAnsi"/>
        </w:rPr>
      </w:pPr>
      <w:bookmarkStart w:id="105" w:name="_Toc199426942"/>
      <w:r>
        <w:rPr>
          <w:rFonts w:asciiTheme="minorHAnsi" w:hAnsiTheme="minorHAnsi" w:cstheme="minorHAnsi"/>
        </w:rPr>
        <w:t>3.6通风单元</w:t>
      </w:r>
      <w:bookmarkEnd w:id="104"/>
      <w:bookmarkEnd w:id="105"/>
    </w:p>
    <w:p w14:paraId="3B533850">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3.6.1危险、有害因素辨识与分析</w:t>
      </w:r>
    </w:p>
    <w:p w14:paraId="02A437BF">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矿山设计有相对独立、较完善的通风系统，但在建设、生产过程中有可能存在下述危险、有害因素：</w:t>
      </w:r>
    </w:p>
    <w:p w14:paraId="70FB565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（1）未按设计购置、安装主扇风机，没有建立机械通风系统，无法保证井下所需的风量、风速、风质要求，风流紊乱，炮烟粉尘积聚难以外排。</w:t>
      </w:r>
    </w:p>
    <w:p w14:paraId="752BBA58">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 xml:space="preserve">（2）用风点计算不全面或实际与计算有差异，造成通风量不足，不能及时排除炮烟或除尘效果差，或排弃有毒有害气体效果差，致炮烟中毒事故。 </w:t>
      </w:r>
    </w:p>
    <w:p w14:paraId="2998AD0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（3）井巷断面实际与设计计算的有差异，造成风速过高或过低。</w:t>
      </w:r>
    </w:p>
    <w:p w14:paraId="61334833">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（4）风速、风质检测不及时，造成通风效果下降、人员误入，致炮烟中毒事故。</w:t>
      </w:r>
    </w:p>
    <w:p w14:paraId="0765B821">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（5）开拓、采准形成后，未重新进行通风验算，造成通风效果不好。</w:t>
      </w:r>
    </w:p>
    <w:p w14:paraId="6455772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（6）主扇控制柜缺少反风开关，或井下缺少反向风门，导致井下发生火灾时需反风时未及时反风，作业人员无法逃生。</w:t>
      </w:r>
    </w:p>
    <w:p w14:paraId="3DC99AC4">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（7）该矿设计进出口较多，对通风构筑物的设计位置及数量未进行明确，生产中通风构筑物（风门、风桥、风窗）缺乏或没有检查、维修；采空区未按要求封闭等而致漏风、污风串联或风流紊乱。</w:t>
      </w:r>
    </w:p>
    <w:p w14:paraId="7A432B7D">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（8）独头采掘工作面未使用局扇通风或风筒布材质差、悬挂不当致通风效果差，引发作业人员炮烟中毒与尘肺病。</w:t>
      </w:r>
    </w:p>
    <w:p w14:paraId="7DE855E3">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（9）采空区未及时封闭或封闭不及时，造成通风系统漏风。可能影响通风系统的有效果。</w:t>
      </w:r>
    </w:p>
    <w:p w14:paraId="5533F2D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（10）井下未悬挂《避灾线路示意图》，或图中未反映出发生不同事故时的避灾线路，发生事故时井下作业人员可能选择错误的逃生线路，导致伤亡事故。</w:t>
      </w:r>
    </w:p>
    <w:p w14:paraId="44F88C1B">
      <w:pPr>
        <w:snapToGrid w:val="0"/>
        <w:spacing w:line="360" w:lineRule="auto"/>
        <w:ind w:firstLine="560"/>
        <w:rPr>
          <w:rFonts w:asciiTheme="minorHAnsi" w:hAnsiTheme="minorHAnsi" w:cstheme="minorHAnsi"/>
          <w:szCs w:val="24"/>
        </w:rPr>
      </w:pPr>
      <w:r>
        <w:rPr>
          <w:rFonts w:hint="eastAsia" w:asciiTheme="minorHAnsi" w:hAnsiTheme="minorHAnsi" w:cstheme="minorHAnsi"/>
          <w:szCs w:val="24"/>
        </w:rPr>
        <w:t>（11）设计部分新鲜风采用斜坡道进入，同时，斜坡道又作为无轨设备运输通道。井下运输车辆消耗氧气量以及尾气排放量及产生的粉尘均较大，导致进入井下各中段（或分段）巷道的空气质量较差，可能影响井下作业人员身心健康。</w:t>
      </w:r>
    </w:p>
    <w:p w14:paraId="28C76AB2">
      <w:pPr>
        <w:snapToGrid w:val="0"/>
        <w:spacing w:line="360" w:lineRule="auto"/>
        <w:ind w:firstLine="560"/>
        <w:rPr>
          <w:rFonts w:asciiTheme="minorHAnsi" w:hAnsiTheme="minorHAnsi" w:cstheme="minorHAnsi"/>
          <w:szCs w:val="24"/>
        </w:rPr>
      </w:pPr>
    </w:p>
    <w:p w14:paraId="2884E1F0">
      <w:pPr>
        <w:snapToGrid w:val="0"/>
        <w:spacing w:line="360" w:lineRule="auto"/>
        <w:ind w:firstLine="560"/>
        <w:rPr>
          <w:rFonts w:asciiTheme="minorHAnsi" w:hAnsiTheme="minorHAnsi" w:cstheme="minorHAnsi"/>
          <w:szCs w:val="24"/>
        </w:rPr>
      </w:pPr>
    </w:p>
    <w:p w14:paraId="7F172FB4">
      <w:pPr>
        <w:snapToGrid w:val="0"/>
        <w:spacing w:line="360" w:lineRule="auto"/>
        <w:ind w:firstLine="560"/>
        <w:rPr>
          <w:rFonts w:asciiTheme="minorHAnsi" w:hAnsiTheme="minorHAnsi" w:cstheme="minorHAnsi"/>
          <w:szCs w:val="24"/>
        </w:rPr>
      </w:pPr>
    </w:p>
    <w:p w14:paraId="5C165C8A">
      <w:pPr>
        <w:snapToGrid w:val="0"/>
        <w:spacing w:line="360" w:lineRule="auto"/>
        <w:ind w:firstLine="560"/>
        <w:rPr>
          <w:rFonts w:asciiTheme="minorHAnsi" w:hAnsiTheme="minorHAnsi" w:cstheme="minorHAnsi"/>
          <w:szCs w:val="24"/>
        </w:rPr>
      </w:pPr>
    </w:p>
    <w:p w14:paraId="0E4CDD85">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3.6.2预先危险性分析表</w:t>
      </w:r>
    </w:p>
    <w:p w14:paraId="35DAFD73">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表3.6-1通风单元预先危险性分析表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3915"/>
        <w:gridCol w:w="1054"/>
        <w:gridCol w:w="727"/>
        <w:gridCol w:w="3091"/>
      </w:tblGrid>
      <w:tr w14:paraId="3E194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82" w:type="pct"/>
            <w:vAlign w:val="center"/>
          </w:tcPr>
          <w:p w14:paraId="2D39FF38">
            <w:pPr>
              <w:spacing w:line="320" w:lineRule="exact"/>
              <w:ind w:firstLine="0" w:firstLineChars="0"/>
              <w:jc w:val="center"/>
              <w:rPr>
                <w:rFonts w:asciiTheme="minorHAnsi" w:hAnsiTheme="minorHAnsi" w:cstheme="minorHAnsi"/>
                <w:b/>
                <w:bCs/>
                <w:sz w:val="21"/>
                <w:szCs w:val="21"/>
              </w:rPr>
            </w:pPr>
            <w:bookmarkStart w:id="106" w:name="_Toc210118067"/>
            <w:bookmarkStart w:id="107" w:name="_Toc210100383"/>
            <w:bookmarkStart w:id="108" w:name="_Toc211100253"/>
            <w:bookmarkStart w:id="109" w:name="_Toc212527233"/>
            <w:bookmarkStart w:id="110" w:name="_Toc211099779"/>
            <w:bookmarkStart w:id="111" w:name="_Toc213048424"/>
            <w:r>
              <w:rPr>
                <w:rFonts w:asciiTheme="minorHAnsi" w:hAnsiTheme="minorHAnsi" w:cstheme="minorHAnsi"/>
                <w:b/>
                <w:bCs/>
                <w:sz w:val="21"/>
                <w:szCs w:val="21"/>
              </w:rPr>
              <w:t>危险因素</w:t>
            </w:r>
          </w:p>
        </w:tc>
        <w:tc>
          <w:tcPr>
            <w:tcW w:w="2057" w:type="pct"/>
            <w:vAlign w:val="center"/>
          </w:tcPr>
          <w:p w14:paraId="2500C40A">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554" w:type="pct"/>
            <w:vAlign w:val="center"/>
          </w:tcPr>
          <w:p w14:paraId="296D6C0E">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382" w:type="pct"/>
            <w:vAlign w:val="center"/>
          </w:tcPr>
          <w:p w14:paraId="65D7264E">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09E57AA5">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624" w:type="pct"/>
            <w:vAlign w:val="center"/>
          </w:tcPr>
          <w:p w14:paraId="439ECC88">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59C91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Align w:val="center"/>
          </w:tcPr>
          <w:p w14:paraId="6AC239C0">
            <w:pPr>
              <w:spacing w:line="240" w:lineRule="atLeast"/>
              <w:ind w:firstLine="0" w:firstLineChars="0"/>
              <w:jc w:val="center"/>
              <w:rPr>
                <w:rFonts w:asciiTheme="minorHAnsi" w:hAnsiTheme="minorHAnsi" w:cstheme="minorHAnsi"/>
                <w:snapToGrid w:val="0"/>
                <w:kern w:val="0"/>
                <w:sz w:val="21"/>
                <w:szCs w:val="21"/>
              </w:rPr>
            </w:pPr>
            <w:r>
              <w:rPr>
                <w:rFonts w:asciiTheme="minorHAnsi" w:hAnsiTheme="minorHAnsi" w:cstheme="minorHAnsi"/>
                <w:sz w:val="21"/>
                <w:szCs w:val="21"/>
              </w:rPr>
              <w:t>中毒窒息</w:t>
            </w:r>
          </w:p>
        </w:tc>
        <w:tc>
          <w:tcPr>
            <w:tcW w:w="2057" w:type="pct"/>
          </w:tcPr>
          <w:p w14:paraId="382E642D">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1.通风设计不合理（矿井供风量不足；风量分配不合理；风速不符合排烟要求；采场通风不合理—未针对采场进路为独头巷道的特点确定采场通风方法等）；通风管理不善，使炮烟长时间在作业区域滞留。</w:t>
            </w:r>
          </w:p>
          <w:p w14:paraId="66C5DBA0">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2.使用不合格爆破器材；未按审批的爆破设计进行爆破作业。</w:t>
            </w:r>
          </w:p>
          <w:p w14:paraId="4F877BB1">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3.装药、填塞质量不符合要求，造成半爆或爆燃。</w:t>
            </w:r>
          </w:p>
          <w:p w14:paraId="1BA104BA">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4.爆破后未及时通风或通风不畅。</w:t>
            </w:r>
          </w:p>
          <w:p w14:paraId="0B3F1BBB">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5.爆破后通风时间不足就进入工作面查炮。</w:t>
            </w:r>
          </w:p>
          <w:p w14:paraId="0F178557">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6.人员没有按照要求撤到安全地点，炮烟进入人员避炮巷道。</w:t>
            </w:r>
          </w:p>
          <w:p w14:paraId="14631B1F">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7.独头巷道掘进时未进行局部通风，没有足够的风流稀释炮烟。</w:t>
            </w:r>
          </w:p>
          <w:p w14:paraId="391436CC">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8.警戒标志不合理或没有设置警戒标志，人员意外进入通风不畅、长时间不通风的巷道、硐室等。</w:t>
            </w:r>
          </w:p>
          <w:p w14:paraId="57871556">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9.意外风流短路，人员意外进入炮烟污染区并长时间停留。</w:t>
            </w:r>
          </w:p>
          <w:p w14:paraId="744A6D4A">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10.发生火灾时，烟流造成人员中毒窒息。</w:t>
            </w:r>
          </w:p>
        </w:tc>
        <w:tc>
          <w:tcPr>
            <w:tcW w:w="554" w:type="pct"/>
            <w:vAlign w:val="center"/>
          </w:tcPr>
          <w:p w14:paraId="664FA30C">
            <w:pPr>
              <w:spacing w:line="240" w:lineRule="atLeast"/>
              <w:ind w:firstLine="0" w:firstLineChars="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中毒窒息、人员伤亡</w:t>
            </w:r>
          </w:p>
        </w:tc>
        <w:tc>
          <w:tcPr>
            <w:tcW w:w="382" w:type="pct"/>
            <w:vAlign w:val="center"/>
          </w:tcPr>
          <w:p w14:paraId="182EE43F">
            <w:pPr>
              <w:spacing w:line="240" w:lineRule="atLeast"/>
              <w:ind w:firstLine="105" w:firstLineChars="50"/>
              <w:jc w:val="center"/>
              <w:rPr>
                <w:rFonts w:asciiTheme="minorHAnsi" w:hAnsiTheme="minorHAnsi" w:cstheme="minorHAnsi"/>
                <w:snapToGrid w:val="0"/>
                <w:kern w:val="0"/>
                <w:sz w:val="21"/>
                <w:szCs w:val="21"/>
              </w:rPr>
            </w:pPr>
            <w:r>
              <w:rPr>
                <w:rFonts w:asciiTheme="minorHAnsi" w:hAnsiTheme="minorHAnsi" w:cstheme="minorHAnsi"/>
                <w:sz w:val="21"/>
                <w:szCs w:val="21"/>
              </w:rPr>
              <w:t>Ⅳ</w:t>
            </w:r>
          </w:p>
        </w:tc>
        <w:tc>
          <w:tcPr>
            <w:tcW w:w="1624" w:type="pct"/>
          </w:tcPr>
          <w:p w14:paraId="59F6F30B">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1.合理进行矿井通风设计（含采场通风设计），按照设计设置各种通风构筑物；加强通风管理。</w:t>
            </w:r>
          </w:p>
          <w:p w14:paraId="71D6C2A3">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2.使用合格爆破器材；按审批的爆破设计进行爆破作业。</w:t>
            </w:r>
          </w:p>
          <w:p w14:paraId="56F5D8A8">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3.按照规程操作，确保装药和填塞质量，避免半爆或爆燃。</w:t>
            </w:r>
          </w:p>
          <w:p w14:paraId="30857F2C">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4.爆破前后加强通风，采取措施向死角盲区引入风流。</w:t>
            </w:r>
          </w:p>
          <w:p w14:paraId="0C6C822B">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5.爆破后按照规定的等待时间以后进入工作面查炮。</w:t>
            </w:r>
          </w:p>
          <w:p w14:paraId="39CA7487">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6.在安全地点避炮。</w:t>
            </w:r>
          </w:p>
          <w:p w14:paraId="26E52EC5">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7.独头掘进时按照规定进行局扇通风。</w:t>
            </w:r>
          </w:p>
          <w:p w14:paraId="413FF93C">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8.爆破前应在通往爆破点的巷道设置警示标志，避免人员误入。</w:t>
            </w:r>
          </w:p>
          <w:p w14:paraId="4E493914">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9.配备必要的防火设施，加强防火安全管理。</w:t>
            </w:r>
          </w:p>
          <w:p w14:paraId="6A1F9CA3">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10.加强对职工防火和火灾中逃生措施的教育。</w:t>
            </w:r>
          </w:p>
        </w:tc>
      </w:tr>
      <w:tr w14:paraId="7D074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vAlign w:val="center"/>
          </w:tcPr>
          <w:p w14:paraId="13064DDD">
            <w:pPr>
              <w:spacing w:line="240" w:lineRule="atLeast"/>
              <w:ind w:left="162" w:leftChars="58" w:firstLine="0" w:firstLineChars="0"/>
              <w:jc w:val="center"/>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触电</w:t>
            </w:r>
          </w:p>
        </w:tc>
        <w:tc>
          <w:tcPr>
            <w:tcW w:w="2057" w:type="pct"/>
          </w:tcPr>
          <w:p w14:paraId="73E5E176">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1.该项目拟使用的主扇、局扇供电线路绝缘损坏。</w:t>
            </w:r>
          </w:p>
          <w:p w14:paraId="55076553">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2.主扇未进行良好接地。</w:t>
            </w:r>
          </w:p>
          <w:p w14:paraId="17C70BEE">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3.人的不安全行为。</w:t>
            </w:r>
          </w:p>
        </w:tc>
        <w:tc>
          <w:tcPr>
            <w:tcW w:w="554" w:type="pct"/>
          </w:tcPr>
          <w:p w14:paraId="4A2156B8">
            <w:pPr>
              <w:spacing w:line="240" w:lineRule="atLeast"/>
              <w:ind w:firstLine="0" w:firstLineChars="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人员伤害，财产损失。</w:t>
            </w:r>
          </w:p>
        </w:tc>
        <w:tc>
          <w:tcPr>
            <w:tcW w:w="382" w:type="pct"/>
            <w:vAlign w:val="center"/>
          </w:tcPr>
          <w:p w14:paraId="7C089F97">
            <w:pPr>
              <w:spacing w:line="240" w:lineRule="atLeast"/>
              <w:ind w:firstLine="105" w:firstLineChars="50"/>
              <w:jc w:val="center"/>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Ⅱ</w:t>
            </w:r>
          </w:p>
        </w:tc>
        <w:tc>
          <w:tcPr>
            <w:tcW w:w="1624" w:type="pct"/>
          </w:tcPr>
          <w:p w14:paraId="71DF6062">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1.对主扇、局扇供电线路绝缘加强检查和维护。</w:t>
            </w:r>
          </w:p>
          <w:p w14:paraId="21818B9C">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2.对主扇进行良好接地。</w:t>
            </w:r>
          </w:p>
          <w:p w14:paraId="01D5AAD4">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3.严格按照操作规程进行作业，严禁违规作业。</w:t>
            </w:r>
          </w:p>
        </w:tc>
      </w:tr>
      <w:tr w14:paraId="6F6F9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4" w:hRule="atLeast"/>
        </w:trPr>
        <w:tc>
          <w:tcPr>
            <w:tcW w:w="382" w:type="pct"/>
            <w:textDirection w:val="tbRlV"/>
            <w:vAlign w:val="center"/>
          </w:tcPr>
          <w:p w14:paraId="1A6CD92A">
            <w:pPr>
              <w:spacing w:line="240" w:lineRule="atLeast"/>
              <w:ind w:right="113" w:firstLine="105" w:firstLineChars="50"/>
              <w:jc w:val="center"/>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机械伤害</w:t>
            </w:r>
          </w:p>
        </w:tc>
        <w:tc>
          <w:tcPr>
            <w:tcW w:w="2057" w:type="pct"/>
          </w:tcPr>
          <w:p w14:paraId="5CD3E26B">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1.接近主扇、局扇运转的危险区域，导致卷入。</w:t>
            </w:r>
          </w:p>
          <w:p w14:paraId="47A20B9F">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2.扇风机安全防护装置缺乏或损坏、被拆除等。</w:t>
            </w:r>
          </w:p>
          <w:p w14:paraId="2EA4AA0E">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3.在检修时，扇风机突然被别人随意启动。</w:t>
            </w:r>
          </w:p>
          <w:p w14:paraId="7E1CA603">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4.在局扇上停留、休息。</w:t>
            </w:r>
          </w:p>
        </w:tc>
        <w:tc>
          <w:tcPr>
            <w:tcW w:w="554" w:type="pct"/>
          </w:tcPr>
          <w:p w14:paraId="2C19B382">
            <w:pPr>
              <w:spacing w:line="240" w:lineRule="atLeast"/>
              <w:ind w:firstLine="0" w:firstLineChars="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造成人身伤害事故。</w:t>
            </w:r>
          </w:p>
        </w:tc>
        <w:tc>
          <w:tcPr>
            <w:tcW w:w="382" w:type="pct"/>
            <w:vAlign w:val="center"/>
          </w:tcPr>
          <w:p w14:paraId="710843C9">
            <w:pPr>
              <w:spacing w:line="240" w:lineRule="atLeast"/>
              <w:ind w:firstLine="121" w:firstLineChars="0"/>
              <w:jc w:val="center"/>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Ⅱ</w:t>
            </w:r>
          </w:p>
        </w:tc>
        <w:tc>
          <w:tcPr>
            <w:tcW w:w="1624" w:type="pct"/>
          </w:tcPr>
          <w:p w14:paraId="651D73BF">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1.操作人员精心操作，身体远离扇风机危险部位。</w:t>
            </w:r>
          </w:p>
          <w:p w14:paraId="35EE5ECC">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2.保证扇风机安全防护装置完好。</w:t>
            </w:r>
          </w:p>
          <w:p w14:paraId="14B78DFB">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3.在检修时，挂牌作业。</w:t>
            </w:r>
          </w:p>
          <w:p w14:paraId="60CE8FCD">
            <w:pPr>
              <w:spacing w:line="240" w:lineRule="atLeast"/>
              <w:ind w:firstLine="105" w:firstLineChars="50"/>
              <w:rPr>
                <w:rFonts w:asciiTheme="minorHAnsi" w:hAnsiTheme="minorHAnsi" w:cstheme="minorHAnsi"/>
                <w:snapToGrid w:val="0"/>
                <w:kern w:val="0"/>
                <w:sz w:val="21"/>
                <w:szCs w:val="21"/>
              </w:rPr>
            </w:pPr>
            <w:r>
              <w:rPr>
                <w:rFonts w:asciiTheme="minorHAnsi" w:hAnsiTheme="minorHAnsi" w:cstheme="minorHAnsi"/>
                <w:snapToGrid w:val="0"/>
                <w:kern w:val="0"/>
                <w:sz w:val="21"/>
                <w:szCs w:val="21"/>
              </w:rPr>
              <w:t>4.加强教育，不在局扇上停留、休息。</w:t>
            </w:r>
          </w:p>
        </w:tc>
      </w:tr>
      <w:bookmarkEnd w:id="106"/>
      <w:bookmarkEnd w:id="107"/>
      <w:bookmarkEnd w:id="108"/>
      <w:bookmarkEnd w:id="109"/>
      <w:bookmarkEnd w:id="110"/>
      <w:bookmarkEnd w:id="111"/>
    </w:tbl>
    <w:p w14:paraId="2845529A">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3.6.3安全检查表法</w:t>
      </w:r>
    </w:p>
    <w:p w14:paraId="067EA49B">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表3.6-2通风单元安全检查表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3739"/>
        <w:gridCol w:w="2034"/>
        <w:gridCol w:w="2386"/>
        <w:gridCol w:w="889"/>
      </w:tblGrid>
      <w:tr w14:paraId="02E51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45" w:type="pct"/>
            <w:tcBorders>
              <w:top w:val="single" w:color="auto" w:sz="4" w:space="0"/>
              <w:left w:val="single" w:color="auto" w:sz="4" w:space="0"/>
              <w:bottom w:val="single" w:color="auto" w:sz="4" w:space="0"/>
              <w:right w:val="single" w:color="auto" w:sz="4" w:space="0"/>
            </w:tcBorders>
            <w:vAlign w:val="center"/>
          </w:tcPr>
          <w:p w14:paraId="437D8CCD">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965" w:type="pct"/>
            <w:tcBorders>
              <w:top w:val="single" w:color="auto" w:sz="4" w:space="0"/>
              <w:left w:val="single" w:color="auto" w:sz="4" w:space="0"/>
              <w:bottom w:val="single" w:color="auto" w:sz="4" w:space="0"/>
              <w:right w:val="single" w:color="auto" w:sz="4" w:space="0"/>
            </w:tcBorders>
            <w:vAlign w:val="center"/>
          </w:tcPr>
          <w:p w14:paraId="428F5AAE">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069" w:type="pct"/>
            <w:tcBorders>
              <w:top w:val="single" w:color="auto" w:sz="4" w:space="0"/>
              <w:left w:val="single" w:color="auto" w:sz="4" w:space="0"/>
              <w:bottom w:val="single" w:color="auto" w:sz="4" w:space="0"/>
              <w:right w:val="single" w:color="auto" w:sz="4" w:space="0"/>
            </w:tcBorders>
            <w:vAlign w:val="center"/>
          </w:tcPr>
          <w:p w14:paraId="1096A69F">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254" w:type="pct"/>
            <w:tcBorders>
              <w:top w:val="single" w:color="auto" w:sz="4" w:space="0"/>
              <w:left w:val="single" w:color="auto" w:sz="4" w:space="0"/>
              <w:bottom w:val="single" w:color="auto" w:sz="4" w:space="0"/>
              <w:right w:val="single" w:color="auto" w:sz="4" w:space="0"/>
            </w:tcBorders>
            <w:vAlign w:val="center"/>
          </w:tcPr>
          <w:p w14:paraId="7E82DA54">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可研情况及说明</w:t>
            </w:r>
          </w:p>
        </w:tc>
        <w:tc>
          <w:tcPr>
            <w:tcW w:w="467" w:type="pct"/>
            <w:tcBorders>
              <w:top w:val="single" w:color="auto" w:sz="4" w:space="0"/>
              <w:left w:val="single" w:color="auto" w:sz="4" w:space="0"/>
              <w:bottom w:val="single" w:color="auto" w:sz="4" w:space="0"/>
              <w:right w:val="single" w:color="auto" w:sz="4" w:space="0"/>
            </w:tcBorders>
            <w:vAlign w:val="center"/>
          </w:tcPr>
          <w:p w14:paraId="7CFECE09">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5633237B">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4777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2A58D93E">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965" w:type="pct"/>
            <w:tcBorders>
              <w:top w:val="single" w:color="auto" w:sz="4" w:space="0"/>
              <w:left w:val="single" w:color="auto" w:sz="4" w:space="0"/>
              <w:bottom w:val="single" w:color="auto" w:sz="4" w:space="0"/>
              <w:right w:val="single" w:color="auto" w:sz="4" w:space="0"/>
            </w:tcBorders>
            <w:vAlign w:val="center"/>
          </w:tcPr>
          <w:p w14:paraId="2D92FA6A">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矿井总风量等于矿井需风量乘以矿井风量备用系数K</w:t>
            </w:r>
            <w:r>
              <w:rPr>
                <w:rFonts w:asciiTheme="minorHAnsi" w:hAnsiTheme="minorHAnsi" w:cstheme="minorHAnsi"/>
                <w:kern w:val="0"/>
                <w:sz w:val="21"/>
                <w:szCs w:val="21"/>
                <w:vertAlign w:val="subscript"/>
              </w:rPr>
              <w:t>b</w:t>
            </w:r>
            <w:r>
              <w:rPr>
                <w:rFonts w:asciiTheme="minorHAnsi" w:hAnsiTheme="minorHAnsi" w:cstheme="minorHAnsi"/>
                <w:kern w:val="0"/>
                <w:sz w:val="21"/>
                <w:szCs w:val="21"/>
              </w:rPr>
              <w:t>。后者是考虑到漏风、风量不能完全按需分配和调整不及时等因素。K</w:t>
            </w:r>
            <w:r>
              <w:rPr>
                <w:rFonts w:hint="eastAsia" w:asciiTheme="minorHAnsi" w:hAnsiTheme="minorHAnsi" w:cstheme="minorHAnsi"/>
                <w:kern w:val="0"/>
                <w:sz w:val="21"/>
                <w:szCs w:val="21"/>
                <w:vertAlign w:val="subscript"/>
              </w:rPr>
              <w:t>b</w:t>
            </w:r>
            <w:r>
              <w:rPr>
                <w:rFonts w:asciiTheme="minorHAnsi" w:hAnsiTheme="minorHAnsi" w:cstheme="minorHAnsi"/>
                <w:kern w:val="0"/>
                <w:sz w:val="21"/>
                <w:szCs w:val="21"/>
              </w:rPr>
              <w:t>值为1．20～1．45，可根据矿井开采范围的大小、所用的采矿方法、设计通风系统中风机的布局等具体条件进行选取。</w:t>
            </w:r>
          </w:p>
        </w:tc>
        <w:tc>
          <w:tcPr>
            <w:tcW w:w="1069" w:type="pct"/>
            <w:tcBorders>
              <w:top w:val="single" w:color="auto" w:sz="4" w:space="0"/>
              <w:left w:val="single" w:color="auto" w:sz="4" w:space="0"/>
              <w:bottom w:val="single" w:color="auto" w:sz="4" w:space="0"/>
              <w:right w:val="single" w:color="auto" w:sz="4" w:space="0"/>
            </w:tcBorders>
            <w:vAlign w:val="center"/>
          </w:tcPr>
          <w:p w14:paraId="7A9D8BA5">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《金属非金属地下矿山通风技术规范通风系统》（AQ2013.1-2008）</w:t>
            </w:r>
          </w:p>
          <w:p w14:paraId="090342AA">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第5.3条</w:t>
            </w:r>
          </w:p>
        </w:tc>
        <w:tc>
          <w:tcPr>
            <w:tcW w:w="1254" w:type="pct"/>
            <w:tcBorders>
              <w:top w:val="single" w:color="auto" w:sz="4" w:space="0"/>
              <w:left w:val="single" w:color="auto" w:sz="4" w:space="0"/>
              <w:bottom w:val="single" w:color="auto" w:sz="4" w:space="0"/>
              <w:right w:val="single" w:color="auto" w:sz="4" w:space="0"/>
            </w:tcBorders>
            <w:vAlign w:val="center"/>
          </w:tcPr>
          <w:p w14:paraId="5D2121D6">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bCs/>
                <w:sz w:val="21"/>
                <w:szCs w:val="21"/>
              </w:rPr>
              <w:t>考虑1.38的备用系数，</w:t>
            </w:r>
            <w:r>
              <w:rPr>
                <w:rFonts w:hint="eastAsia" w:asciiTheme="minorHAnsi" w:hAnsiTheme="minorHAnsi" w:cstheme="minorHAnsi"/>
                <w:sz w:val="21"/>
                <w:szCs w:val="21"/>
              </w:rPr>
              <w:t>矿井总风量为</w:t>
            </w:r>
            <w:r>
              <w:rPr>
                <w:rFonts w:asciiTheme="minorHAnsi" w:hAnsiTheme="minorHAnsi" w:cstheme="minorHAnsi"/>
                <w:sz w:val="21"/>
                <w:szCs w:val="21"/>
              </w:rPr>
              <w:t>670</w:t>
            </w:r>
            <w:r>
              <w:rPr>
                <w:rFonts w:hint="eastAsia" w:asciiTheme="minorHAnsi" w:hAnsiTheme="minorHAnsi" w:cstheme="minorHAnsi"/>
                <w:sz w:val="21"/>
                <w:szCs w:val="21"/>
              </w:rPr>
              <w:t>m</w:t>
            </w:r>
            <w:r>
              <w:rPr>
                <w:rFonts w:hint="eastAsia" w:asciiTheme="minorHAnsi" w:hAnsiTheme="minorHAnsi" w:cstheme="minorHAnsi"/>
                <w:sz w:val="21"/>
                <w:szCs w:val="21"/>
                <w:vertAlign w:val="superscript"/>
              </w:rPr>
              <w:t>3</w:t>
            </w:r>
            <w:r>
              <w:rPr>
                <w:rFonts w:hint="eastAsia" w:asciiTheme="minorHAnsi" w:hAnsiTheme="minorHAnsi" w:cstheme="minorHAnsi"/>
                <w:sz w:val="21"/>
                <w:szCs w:val="21"/>
              </w:rPr>
              <w:t>/s。</w:t>
            </w:r>
          </w:p>
        </w:tc>
        <w:tc>
          <w:tcPr>
            <w:tcW w:w="467" w:type="pct"/>
            <w:tcBorders>
              <w:top w:val="single" w:color="auto" w:sz="4" w:space="0"/>
              <w:left w:val="single" w:color="auto" w:sz="4" w:space="0"/>
              <w:bottom w:val="single" w:color="auto" w:sz="4" w:space="0"/>
              <w:right w:val="single" w:color="auto" w:sz="4" w:space="0"/>
            </w:tcBorders>
            <w:vAlign w:val="center"/>
          </w:tcPr>
          <w:p w14:paraId="5B1C03C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CC9DED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2E23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4771E81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965" w:type="pct"/>
            <w:tcBorders>
              <w:top w:val="single" w:color="auto" w:sz="4" w:space="0"/>
              <w:left w:val="single" w:color="auto" w:sz="4" w:space="0"/>
              <w:bottom w:val="single" w:color="auto" w:sz="4" w:space="0"/>
              <w:right w:val="single" w:color="auto" w:sz="4" w:space="0"/>
            </w:tcBorders>
            <w:vAlign w:val="center"/>
          </w:tcPr>
          <w:p w14:paraId="77E28649">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进入矿井的空气不应受到有害物质的污染，主要进风风流不应直接通过采空区或塌陷区；需要通过时，应砌筑严密的通风假巷引流。</w:t>
            </w:r>
          </w:p>
          <w:p w14:paraId="484691FC">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矿井排出的污风不应对矿区环境造成危害。</w:t>
            </w:r>
          </w:p>
        </w:tc>
        <w:tc>
          <w:tcPr>
            <w:tcW w:w="1069" w:type="pct"/>
            <w:tcBorders>
              <w:top w:val="single" w:color="auto" w:sz="4" w:space="0"/>
              <w:left w:val="single" w:color="auto" w:sz="4" w:space="0"/>
              <w:bottom w:val="single" w:color="auto" w:sz="4" w:space="0"/>
              <w:right w:val="single" w:color="auto" w:sz="4" w:space="0"/>
            </w:tcBorders>
            <w:vAlign w:val="center"/>
          </w:tcPr>
          <w:p w14:paraId="565B46F0">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06BD4F97">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27A304A3">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w:t>
            </w:r>
            <w:r>
              <w:rPr>
                <w:rFonts w:asciiTheme="minorHAnsi" w:hAnsiTheme="minorHAnsi" w:cstheme="minorHAnsi"/>
                <w:kern w:val="0"/>
                <w:sz w:val="21"/>
                <w:szCs w:val="21"/>
              </w:rPr>
              <w:t>6.6.2.4条</w:t>
            </w:r>
          </w:p>
        </w:tc>
        <w:tc>
          <w:tcPr>
            <w:tcW w:w="1254" w:type="pct"/>
            <w:tcBorders>
              <w:top w:val="single" w:color="auto" w:sz="4" w:space="0"/>
              <w:left w:val="single" w:color="auto" w:sz="4" w:space="0"/>
              <w:bottom w:val="single" w:color="auto" w:sz="4" w:space="0"/>
              <w:right w:val="single" w:color="auto" w:sz="4" w:space="0"/>
            </w:tcBorders>
            <w:vAlign w:val="center"/>
          </w:tcPr>
          <w:p w14:paraId="33F59E35">
            <w:pPr>
              <w:adjustRightInd w:val="0"/>
              <w:snapToGrid w:val="0"/>
              <w:spacing w:line="240" w:lineRule="auto"/>
              <w:ind w:firstLine="0" w:firstLineChars="0"/>
              <w:rPr>
                <w:rFonts w:asciiTheme="minorHAnsi" w:hAnsiTheme="minorHAnsi" w:cstheme="minorHAnsi"/>
                <w:kern w:val="0"/>
                <w:sz w:val="21"/>
                <w:szCs w:val="21"/>
              </w:rPr>
            </w:pPr>
            <w:r>
              <w:rPr>
                <w:rFonts w:cs="Times New Roman"/>
                <w:kern w:val="0"/>
                <w:sz w:val="21"/>
                <w:szCs w:val="21"/>
              </w:rPr>
              <w:t>回风井不在进风井的上风侧，且相距较远。</w:t>
            </w:r>
          </w:p>
        </w:tc>
        <w:tc>
          <w:tcPr>
            <w:tcW w:w="467" w:type="pct"/>
            <w:tcBorders>
              <w:top w:val="single" w:color="auto" w:sz="4" w:space="0"/>
              <w:left w:val="single" w:color="auto" w:sz="4" w:space="0"/>
              <w:bottom w:val="single" w:color="auto" w:sz="4" w:space="0"/>
              <w:right w:val="single" w:color="auto" w:sz="4" w:space="0"/>
            </w:tcBorders>
            <w:vAlign w:val="center"/>
          </w:tcPr>
          <w:p w14:paraId="70C32B8C">
            <w:pPr>
              <w:snapToGrid w:val="0"/>
              <w:spacing w:line="240" w:lineRule="auto"/>
              <w:ind w:firstLine="0" w:firstLineChars="0"/>
              <w:jc w:val="left"/>
              <w:rPr>
                <w:rFonts w:cs="Times New Roman"/>
                <w:sz w:val="21"/>
                <w:szCs w:val="21"/>
              </w:rPr>
            </w:pPr>
            <w:r>
              <w:rPr>
                <w:rFonts w:cs="Times New Roman"/>
                <w:sz w:val="21"/>
                <w:szCs w:val="21"/>
              </w:rPr>
              <w:t>符合</w:t>
            </w:r>
          </w:p>
          <w:p w14:paraId="0A6A80F7">
            <w:pPr>
              <w:snapToGrid w:val="0"/>
              <w:spacing w:line="240" w:lineRule="auto"/>
              <w:ind w:firstLine="0" w:firstLineChars="0"/>
              <w:jc w:val="left"/>
              <w:rPr>
                <w:rFonts w:asciiTheme="minorHAnsi" w:hAnsiTheme="minorHAnsi" w:cstheme="minorHAnsi"/>
                <w:sz w:val="21"/>
                <w:szCs w:val="21"/>
              </w:rPr>
            </w:pPr>
            <w:r>
              <w:rPr>
                <w:rFonts w:cs="Times New Roman"/>
                <w:sz w:val="21"/>
                <w:szCs w:val="21"/>
              </w:rPr>
              <w:t>要求</w:t>
            </w:r>
          </w:p>
        </w:tc>
      </w:tr>
      <w:tr w14:paraId="5DB47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2B10C211">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965" w:type="pct"/>
            <w:tcBorders>
              <w:top w:val="single" w:color="auto" w:sz="4" w:space="0"/>
              <w:left w:val="single" w:color="auto" w:sz="4" w:space="0"/>
              <w:bottom w:val="single" w:color="auto" w:sz="4" w:space="0"/>
              <w:right w:val="single" w:color="auto" w:sz="4" w:space="0"/>
            </w:tcBorders>
            <w:vAlign w:val="center"/>
          </w:tcPr>
          <w:p w14:paraId="3CF1C9FD">
            <w:pPr>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1"/>
              </w:rPr>
              <w:t>井下破碎硐室、主溜井等处的污风，应引入回风道。不能引入回风道的应采取净化措施。</w:t>
            </w:r>
          </w:p>
        </w:tc>
        <w:tc>
          <w:tcPr>
            <w:tcW w:w="1069" w:type="pct"/>
            <w:tcBorders>
              <w:top w:val="single" w:color="auto" w:sz="4" w:space="0"/>
              <w:left w:val="single" w:color="auto" w:sz="4" w:space="0"/>
              <w:bottom w:val="single" w:color="auto" w:sz="4" w:space="0"/>
              <w:right w:val="single" w:color="auto" w:sz="4" w:space="0"/>
            </w:tcBorders>
            <w:vAlign w:val="center"/>
          </w:tcPr>
          <w:p w14:paraId="22DEB126">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《金属非金属地下矿山通风技术规范通风系统》（AQ2013.1-2008）</w:t>
            </w:r>
          </w:p>
          <w:p w14:paraId="543EC829">
            <w:pPr>
              <w:snapToGrid w:val="0"/>
              <w:spacing w:line="240" w:lineRule="auto"/>
              <w:ind w:firstLine="0" w:firstLineChars="0"/>
              <w:jc w:val="center"/>
              <w:rPr>
                <w:rFonts w:asciiTheme="minorHAnsi" w:hAnsiTheme="minorHAnsi" w:cstheme="minorHAnsi"/>
                <w:sz w:val="21"/>
                <w:szCs w:val="24"/>
              </w:rPr>
            </w:pPr>
            <w:r>
              <w:rPr>
                <w:rFonts w:asciiTheme="minorHAnsi" w:hAnsiTheme="minorHAnsi" w:cstheme="minorHAnsi"/>
                <w:sz w:val="21"/>
                <w:szCs w:val="21"/>
              </w:rPr>
              <w:t>第6.3.4.1条</w:t>
            </w:r>
          </w:p>
        </w:tc>
        <w:tc>
          <w:tcPr>
            <w:tcW w:w="1254" w:type="pct"/>
            <w:tcBorders>
              <w:top w:val="single" w:color="auto" w:sz="4" w:space="0"/>
              <w:left w:val="single" w:color="auto" w:sz="4" w:space="0"/>
              <w:bottom w:val="single" w:color="auto" w:sz="4" w:space="0"/>
              <w:right w:val="single" w:color="auto" w:sz="4" w:space="0"/>
            </w:tcBorders>
            <w:vAlign w:val="center"/>
          </w:tcPr>
          <w:p w14:paraId="0791A012">
            <w:pPr>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设置了破碎硐室、主溜井，也设置了回风道和净化措施</w:t>
            </w:r>
          </w:p>
        </w:tc>
        <w:tc>
          <w:tcPr>
            <w:tcW w:w="467" w:type="pct"/>
            <w:tcBorders>
              <w:top w:val="single" w:color="auto" w:sz="4" w:space="0"/>
              <w:left w:val="single" w:color="auto" w:sz="4" w:space="0"/>
              <w:bottom w:val="single" w:color="auto" w:sz="4" w:space="0"/>
              <w:right w:val="single" w:color="auto" w:sz="4" w:space="0"/>
            </w:tcBorders>
            <w:vAlign w:val="center"/>
          </w:tcPr>
          <w:p w14:paraId="78B6777A">
            <w:pPr>
              <w:snapToGrid w:val="0"/>
              <w:spacing w:line="240" w:lineRule="auto"/>
              <w:ind w:firstLine="0" w:firstLineChars="0"/>
              <w:jc w:val="left"/>
              <w:rPr>
                <w:rFonts w:asciiTheme="minorHAnsi" w:hAnsiTheme="minorHAnsi" w:cstheme="minorHAnsi"/>
                <w:sz w:val="21"/>
                <w:szCs w:val="24"/>
              </w:rPr>
            </w:pPr>
            <w:r>
              <w:rPr>
                <w:rFonts w:asciiTheme="minorHAnsi" w:hAnsiTheme="minorHAnsi" w:cstheme="minorHAnsi"/>
                <w:sz w:val="21"/>
                <w:szCs w:val="24"/>
              </w:rPr>
              <w:t>符合</w:t>
            </w:r>
          </w:p>
          <w:p w14:paraId="0B127238">
            <w:pPr>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4"/>
              </w:rPr>
              <w:t>要求</w:t>
            </w:r>
          </w:p>
        </w:tc>
      </w:tr>
      <w:tr w14:paraId="2292D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6FE8325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1965" w:type="pct"/>
            <w:tcBorders>
              <w:top w:val="single" w:color="auto" w:sz="4" w:space="0"/>
              <w:left w:val="single" w:color="auto" w:sz="4" w:space="0"/>
              <w:bottom w:val="single" w:color="auto" w:sz="4" w:space="0"/>
              <w:right w:val="single" w:color="auto" w:sz="4" w:space="0"/>
            </w:tcBorders>
            <w:vAlign w:val="center"/>
          </w:tcPr>
          <w:p w14:paraId="39E01E61">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井下所有机电硐室都应供给新鲜空气。</w:t>
            </w:r>
          </w:p>
        </w:tc>
        <w:tc>
          <w:tcPr>
            <w:tcW w:w="1069" w:type="pct"/>
            <w:tcBorders>
              <w:top w:val="single" w:color="auto" w:sz="4" w:space="0"/>
              <w:left w:val="single" w:color="auto" w:sz="4" w:space="0"/>
              <w:bottom w:val="single" w:color="auto" w:sz="4" w:space="0"/>
              <w:right w:val="single" w:color="auto" w:sz="4" w:space="0"/>
            </w:tcBorders>
            <w:vAlign w:val="center"/>
          </w:tcPr>
          <w:p w14:paraId="65FA42E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《金属非金属地下矿山通风技术规范通风系统》（AQ 2013.1-2008）</w:t>
            </w:r>
          </w:p>
          <w:p w14:paraId="4CE6A08B">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第6.3.4条</w:t>
            </w:r>
          </w:p>
        </w:tc>
        <w:tc>
          <w:tcPr>
            <w:tcW w:w="1254" w:type="pct"/>
            <w:tcBorders>
              <w:top w:val="single" w:color="auto" w:sz="4" w:space="0"/>
              <w:left w:val="single" w:color="auto" w:sz="4" w:space="0"/>
              <w:bottom w:val="single" w:color="auto" w:sz="4" w:space="0"/>
              <w:right w:val="single" w:color="auto" w:sz="4" w:space="0"/>
            </w:tcBorders>
            <w:vAlign w:val="center"/>
          </w:tcPr>
          <w:p w14:paraId="46A9C68B">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机电硐室供给新鲜空气。</w:t>
            </w:r>
          </w:p>
        </w:tc>
        <w:tc>
          <w:tcPr>
            <w:tcW w:w="467" w:type="pct"/>
            <w:tcBorders>
              <w:top w:val="single" w:color="auto" w:sz="4" w:space="0"/>
              <w:left w:val="single" w:color="auto" w:sz="4" w:space="0"/>
              <w:bottom w:val="single" w:color="auto" w:sz="4" w:space="0"/>
              <w:right w:val="single" w:color="auto" w:sz="4" w:space="0"/>
            </w:tcBorders>
            <w:vAlign w:val="center"/>
          </w:tcPr>
          <w:p w14:paraId="7A32985C">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符合</w:t>
            </w:r>
          </w:p>
          <w:p w14:paraId="020C07C6">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要求</w:t>
            </w:r>
          </w:p>
        </w:tc>
      </w:tr>
      <w:tr w14:paraId="6994B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7765BE6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1965" w:type="pct"/>
            <w:tcBorders>
              <w:top w:val="single" w:color="auto" w:sz="4" w:space="0"/>
              <w:left w:val="single" w:color="auto" w:sz="4" w:space="0"/>
              <w:bottom w:val="single" w:color="auto" w:sz="4" w:space="0"/>
              <w:right w:val="single" w:color="auto" w:sz="4" w:space="0"/>
            </w:tcBorders>
            <w:vAlign w:val="center"/>
          </w:tcPr>
          <w:p w14:paraId="15467540">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矿井进风应满足下列要求：</w:t>
            </w:r>
          </w:p>
          <w:p w14:paraId="4B0CC73B">
            <w:pPr>
              <w:adjustRightInd w:val="0"/>
              <w:snapToGrid w:val="0"/>
              <w:spacing w:line="240" w:lineRule="auto"/>
              <w:ind w:firstLine="420"/>
              <w:rPr>
                <w:rFonts w:cs="Times New Roman"/>
                <w:kern w:val="0"/>
                <w:sz w:val="21"/>
                <w:szCs w:val="21"/>
              </w:rPr>
            </w:pPr>
            <w:r>
              <w:rPr>
                <w:rFonts w:hint="eastAsia" w:cs="Times New Roman"/>
                <w:kern w:val="0"/>
                <w:sz w:val="21"/>
                <w:szCs w:val="21"/>
              </w:rPr>
              <w:t>——井下工作人员供风量不少于4m</w:t>
            </w:r>
            <w:r>
              <w:rPr>
                <w:rFonts w:hint="eastAsia" w:cs="Times New Roman"/>
                <w:kern w:val="0"/>
                <w:sz w:val="21"/>
                <w:szCs w:val="21"/>
                <w:vertAlign w:val="superscript"/>
              </w:rPr>
              <w:t>3</w:t>
            </w:r>
            <w:r>
              <w:rPr>
                <w:rFonts w:hint="eastAsia" w:cs="Times New Roman"/>
                <w:kern w:val="0"/>
                <w:sz w:val="21"/>
                <w:szCs w:val="21"/>
              </w:rPr>
              <w:t>/（min·人）；</w:t>
            </w:r>
          </w:p>
          <w:p w14:paraId="4443F800">
            <w:pPr>
              <w:adjustRightInd w:val="0"/>
              <w:snapToGrid w:val="0"/>
              <w:spacing w:line="240" w:lineRule="auto"/>
              <w:ind w:firstLine="420"/>
              <w:rPr>
                <w:rFonts w:cs="Times New Roman"/>
                <w:kern w:val="0"/>
                <w:sz w:val="21"/>
                <w:szCs w:val="21"/>
              </w:rPr>
            </w:pPr>
            <w:r>
              <w:rPr>
                <w:rFonts w:hint="eastAsia" w:cs="Times New Roman"/>
                <w:kern w:val="0"/>
                <w:sz w:val="21"/>
                <w:szCs w:val="21"/>
              </w:rPr>
              <w:t>——排尘风速：硐室型采场不小于0.15m/s，饰面石材开采时不小于0.06m/s；巷道型采场和掘进巷道不小于0.25m/s；电耙道和二次破碎巷道不小于0.5m/s；箕斗硐室、装矿皮带道等作业地点的风速不小于0.2m/s；</w:t>
            </w:r>
          </w:p>
          <w:p w14:paraId="7E8E0278">
            <w:pPr>
              <w:adjustRightInd w:val="0"/>
              <w:snapToGrid w:val="0"/>
              <w:spacing w:line="240" w:lineRule="auto"/>
              <w:ind w:firstLine="420"/>
              <w:rPr>
                <w:rFonts w:cs="Times New Roman"/>
                <w:kern w:val="0"/>
                <w:sz w:val="21"/>
                <w:szCs w:val="21"/>
              </w:rPr>
            </w:pPr>
            <w:r>
              <w:rPr>
                <w:rFonts w:hint="eastAsia" w:cs="Times New Roman"/>
                <w:kern w:val="0"/>
                <w:sz w:val="21"/>
                <w:szCs w:val="21"/>
              </w:rPr>
              <w:t>——破碎机硐室：采用旋回破碎机的，风量不小于12m</w:t>
            </w:r>
            <w:r>
              <w:rPr>
                <w:rFonts w:hint="eastAsia" w:cs="Times New Roman"/>
                <w:kern w:val="0"/>
                <w:sz w:val="21"/>
                <w:szCs w:val="21"/>
                <w:vertAlign w:val="superscript"/>
              </w:rPr>
              <w:t>3</w:t>
            </w:r>
            <w:r>
              <w:rPr>
                <w:rFonts w:hint="eastAsia" w:cs="Times New Roman"/>
                <w:kern w:val="0"/>
                <w:sz w:val="21"/>
                <w:szCs w:val="21"/>
              </w:rPr>
              <w:t>/s；采用其他破碎机的，风量不小于8m</w:t>
            </w:r>
            <w:r>
              <w:rPr>
                <w:rFonts w:hint="eastAsia" w:cs="Times New Roman"/>
                <w:kern w:val="0"/>
                <w:sz w:val="21"/>
                <w:szCs w:val="21"/>
                <w:vertAlign w:val="superscript"/>
              </w:rPr>
              <w:t>3</w:t>
            </w:r>
            <w:r>
              <w:rPr>
                <w:rFonts w:hint="eastAsia" w:cs="Times New Roman"/>
                <w:kern w:val="0"/>
                <w:sz w:val="21"/>
                <w:szCs w:val="21"/>
              </w:rPr>
              <w:t>/s，采用2台破碎设备时，不小于12m</w:t>
            </w:r>
            <w:r>
              <w:rPr>
                <w:rFonts w:hint="eastAsia" w:cs="Times New Roman"/>
                <w:kern w:val="0"/>
                <w:sz w:val="21"/>
                <w:szCs w:val="21"/>
                <w:vertAlign w:val="superscript"/>
              </w:rPr>
              <w:t>3</w:t>
            </w:r>
            <w:r>
              <w:rPr>
                <w:rFonts w:hint="eastAsia" w:cs="Times New Roman"/>
                <w:kern w:val="0"/>
                <w:sz w:val="21"/>
                <w:szCs w:val="21"/>
              </w:rPr>
              <w:t>/s；</w:t>
            </w:r>
          </w:p>
          <w:p w14:paraId="2901BA12">
            <w:pPr>
              <w:adjustRightInd w:val="0"/>
              <w:snapToGrid w:val="0"/>
              <w:spacing w:line="240" w:lineRule="auto"/>
              <w:ind w:firstLine="420"/>
              <w:rPr>
                <w:rFonts w:cs="Times New Roman"/>
                <w:kern w:val="0"/>
                <w:sz w:val="21"/>
                <w:szCs w:val="21"/>
              </w:rPr>
            </w:pPr>
            <w:r>
              <w:rPr>
                <w:rFonts w:hint="eastAsia" w:cs="Times New Roman"/>
                <w:kern w:val="0"/>
                <w:sz w:val="21"/>
                <w:szCs w:val="21"/>
              </w:rPr>
              <w:t>——柴油设备运行时供风量不小于4m</w:t>
            </w:r>
            <w:r>
              <w:rPr>
                <w:rFonts w:hint="eastAsia" w:cs="Times New Roman"/>
                <w:kern w:val="0"/>
                <w:sz w:val="21"/>
                <w:szCs w:val="21"/>
                <w:vertAlign w:val="superscript"/>
              </w:rPr>
              <w:t>3</w:t>
            </w:r>
            <w:r>
              <w:rPr>
                <w:rFonts w:hint="eastAsia" w:cs="Times New Roman"/>
                <w:kern w:val="0"/>
                <w:sz w:val="21"/>
                <w:szCs w:val="21"/>
              </w:rPr>
              <w:t>/（min·kW）；</w:t>
            </w:r>
          </w:p>
          <w:p w14:paraId="424BFD69">
            <w:pPr>
              <w:adjustRightInd w:val="0"/>
              <w:snapToGrid w:val="0"/>
              <w:spacing w:line="240" w:lineRule="auto"/>
              <w:ind w:firstLine="0" w:firstLineChars="0"/>
              <w:rPr>
                <w:rFonts w:asciiTheme="minorHAnsi" w:hAnsiTheme="minorHAnsi" w:cstheme="minorHAnsi"/>
                <w:kern w:val="0"/>
                <w:sz w:val="21"/>
                <w:szCs w:val="21"/>
              </w:rPr>
            </w:pPr>
            <w:r>
              <w:rPr>
                <w:rFonts w:hint="eastAsia" w:cs="Times New Roman"/>
                <w:kern w:val="0"/>
                <w:sz w:val="21"/>
                <w:szCs w:val="21"/>
              </w:rPr>
              <w:t>——满足6.6.1.4规定的风速要求。</w:t>
            </w:r>
          </w:p>
        </w:tc>
        <w:tc>
          <w:tcPr>
            <w:tcW w:w="1069" w:type="pct"/>
            <w:tcBorders>
              <w:top w:val="single" w:color="auto" w:sz="4" w:space="0"/>
              <w:left w:val="single" w:color="auto" w:sz="4" w:space="0"/>
              <w:bottom w:val="single" w:color="auto" w:sz="4" w:space="0"/>
              <w:right w:val="single" w:color="auto" w:sz="4" w:space="0"/>
            </w:tcBorders>
            <w:vAlign w:val="center"/>
          </w:tcPr>
          <w:p w14:paraId="784579CF">
            <w:pPr>
              <w:adjustRightInd w:val="0"/>
              <w:snapToGrid w:val="0"/>
              <w:spacing w:line="240" w:lineRule="auto"/>
              <w:ind w:firstLine="0" w:firstLineChars="0"/>
              <w:jc w:val="center"/>
              <w:rPr>
                <w:rFonts w:asciiTheme="minorHAnsi" w:hAnsiTheme="minorHAnsi" w:cstheme="minorHAnsi"/>
                <w:sz w:val="21"/>
                <w:szCs w:val="21"/>
              </w:rPr>
            </w:pPr>
            <w:r>
              <w:rPr>
                <w:rFonts w:cs="Times New Roman"/>
                <w:sz w:val="21"/>
                <w:szCs w:val="21"/>
              </w:rPr>
              <w:t>《金属非金属矿山安全规程》（GB16423-2020）第</w:t>
            </w:r>
            <w:r>
              <w:rPr>
                <w:rFonts w:cs="Times New Roman"/>
                <w:kern w:val="0"/>
                <w:sz w:val="21"/>
                <w:szCs w:val="21"/>
              </w:rPr>
              <w:t>6.6.1.3条</w:t>
            </w:r>
          </w:p>
        </w:tc>
        <w:tc>
          <w:tcPr>
            <w:tcW w:w="1254" w:type="pct"/>
            <w:tcBorders>
              <w:top w:val="single" w:color="auto" w:sz="4" w:space="0"/>
              <w:left w:val="single" w:color="auto" w:sz="4" w:space="0"/>
              <w:bottom w:val="single" w:color="auto" w:sz="4" w:space="0"/>
              <w:right w:val="single" w:color="auto" w:sz="4" w:space="0"/>
            </w:tcBorders>
            <w:vAlign w:val="center"/>
          </w:tcPr>
          <w:p w14:paraId="1C5F0425">
            <w:pPr>
              <w:adjustRightInd w:val="0"/>
              <w:snapToGrid w:val="0"/>
              <w:spacing w:line="240" w:lineRule="auto"/>
              <w:ind w:firstLine="0" w:firstLineChars="0"/>
              <w:rPr>
                <w:rFonts w:asciiTheme="minorHAnsi" w:hAnsiTheme="minorHAnsi" w:cstheme="minorHAnsi"/>
                <w:kern w:val="0"/>
                <w:sz w:val="21"/>
                <w:szCs w:val="21"/>
              </w:rPr>
            </w:pPr>
            <w:r>
              <w:rPr>
                <w:rFonts w:hint="eastAsia" w:cs="Times New Roman"/>
                <w:kern w:val="0"/>
                <w:sz w:val="21"/>
                <w:szCs w:val="21"/>
              </w:rPr>
              <w:t>井下风速满足要求。</w:t>
            </w:r>
          </w:p>
        </w:tc>
        <w:tc>
          <w:tcPr>
            <w:tcW w:w="467" w:type="pct"/>
            <w:tcBorders>
              <w:top w:val="single" w:color="auto" w:sz="4" w:space="0"/>
              <w:left w:val="single" w:color="auto" w:sz="4" w:space="0"/>
              <w:bottom w:val="single" w:color="auto" w:sz="4" w:space="0"/>
              <w:right w:val="single" w:color="auto" w:sz="4" w:space="0"/>
            </w:tcBorders>
            <w:vAlign w:val="center"/>
          </w:tcPr>
          <w:p w14:paraId="042EC25B">
            <w:pPr>
              <w:snapToGrid w:val="0"/>
              <w:spacing w:line="240" w:lineRule="auto"/>
              <w:ind w:firstLine="0" w:firstLineChars="0"/>
              <w:jc w:val="left"/>
              <w:rPr>
                <w:rFonts w:cs="Times New Roman"/>
                <w:sz w:val="21"/>
                <w:szCs w:val="21"/>
              </w:rPr>
            </w:pPr>
            <w:r>
              <w:rPr>
                <w:rFonts w:hint="eastAsia" w:cs="Times New Roman"/>
                <w:sz w:val="21"/>
                <w:szCs w:val="21"/>
              </w:rPr>
              <w:t>符合</w:t>
            </w:r>
          </w:p>
          <w:p w14:paraId="10E2D868">
            <w:pPr>
              <w:snapToGrid w:val="0"/>
              <w:spacing w:line="240" w:lineRule="auto"/>
              <w:ind w:firstLine="0" w:firstLineChars="0"/>
              <w:jc w:val="left"/>
              <w:rPr>
                <w:rFonts w:asciiTheme="minorHAnsi" w:hAnsiTheme="minorHAnsi" w:cstheme="minorHAnsi"/>
                <w:sz w:val="21"/>
                <w:szCs w:val="21"/>
              </w:rPr>
            </w:pPr>
            <w:r>
              <w:rPr>
                <w:rFonts w:hint="eastAsia" w:cs="Times New Roman"/>
                <w:sz w:val="21"/>
                <w:szCs w:val="21"/>
              </w:rPr>
              <w:t>要求</w:t>
            </w:r>
          </w:p>
        </w:tc>
      </w:tr>
      <w:tr w14:paraId="015EC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09F7DBF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7</w:t>
            </w:r>
          </w:p>
        </w:tc>
        <w:tc>
          <w:tcPr>
            <w:tcW w:w="1965" w:type="pct"/>
            <w:tcBorders>
              <w:top w:val="single" w:color="auto" w:sz="4" w:space="0"/>
              <w:left w:val="single" w:color="auto" w:sz="4" w:space="0"/>
              <w:bottom w:val="single" w:color="auto" w:sz="4" w:space="0"/>
              <w:right w:val="single" w:color="auto" w:sz="4" w:space="0"/>
            </w:tcBorders>
            <w:vAlign w:val="center"/>
          </w:tcPr>
          <w:p w14:paraId="04BE3B92">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进风井巷空气温度应不低于2℃；低于2℃时，应有空气加热设施。不应采用明火直接加热进入矿井的空气。</w:t>
            </w:r>
          </w:p>
        </w:tc>
        <w:tc>
          <w:tcPr>
            <w:tcW w:w="1069" w:type="pct"/>
            <w:tcBorders>
              <w:top w:val="single" w:color="auto" w:sz="4" w:space="0"/>
              <w:left w:val="single" w:color="auto" w:sz="4" w:space="0"/>
              <w:bottom w:val="single" w:color="auto" w:sz="4" w:space="0"/>
              <w:right w:val="single" w:color="auto" w:sz="4" w:space="0"/>
            </w:tcBorders>
            <w:vAlign w:val="center"/>
          </w:tcPr>
          <w:p w14:paraId="1100034B">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《金属非金属矿山安全规程》（GB16423-2020）第</w:t>
            </w:r>
            <w:r>
              <w:rPr>
                <w:rFonts w:cs="Times New Roman"/>
                <w:kern w:val="0"/>
                <w:sz w:val="21"/>
                <w:szCs w:val="21"/>
              </w:rPr>
              <w:t>6.6.1.5条</w:t>
            </w:r>
          </w:p>
        </w:tc>
        <w:tc>
          <w:tcPr>
            <w:tcW w:w="1254" w:type="pct"/>
            <w:tcBorders>
              <w:top w:val="single" w:color="auto" w:sz="4" w:space="0"/>
              <w:left w:val="single" w:color="auto" w:sz="4" w:space="0"/>
              <w:bottom w:val="single" w:color="auto" w:sz="4" w:space="0"/>
              <w:right w:val="single" w:color="auto" w:sz="4" w:space="0"/>
            </w:tcBorders>
            <w:vAlign w:val="center"/>
          </w:tcPr>
          <w:p w14:paraId="488B1103">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为防止冬季进风井及斜坡道口结冰，应使进入井筒的空气温度不低于2℃，在副井设置空气加热间，安装组合式空调机组，进风井井口设置室外型远红外电热风炉，经过加热的热风直接送至井下。</w:t>
            </w:r>
          </w:p>
        </w:tc>
        <w:tc>
          <w:tcPr>
            <w:tcW w:w="467" w:type="pct"/>
            <w:tcBorders>
              <w:top w:val="single" w:color="auto" w:sz="4" w:space="0"/>
              <w:left w:val="single" w:color="auto" w:sz="4" w:space="0"/>
              <w:bottom w:val="single" w:color="auto" w:sz="4" w:space="0"/>
              <w:right w:val="single" w:color="auto" w:sz="4" w:space="0"/>
            </w:tcBorders>
            <w:vAlign w:val="center"/>
          </w:tcPr>
          <w:p w14:paraId="1A1885D8">
            <w:pPr>
              <w:snapToGrid w:val="0"/>
              <w:spacing w:line="240" w:lineRule="auto"/>
              <w:ind w:firstLine="0" w:firstLineChars="0"/>
              <w:jc w:val="left"/>
              <w:rPr>
                <w:rFonts w:cs="Times New Roman"/>
                <w:sz w:val="21"/>
                <w:szCs w:val="21"/>
              </w:rPr>
            </w:pPr>
            <w:r>
              <w:rPr>
                <w:rFonts w:hint="eastAsia" w:cs="Times New Roman"/>
                <w:sz w:val="21"/>
                <w:szCs w:val="21"/>
              </w:rPr>
              <w:t>符合</w:t>
            </w:r>
          </w:p>
          <w:p w14:paraId="39D37C92">
            <w:pPr>
              <w:snapToGrid w:val="0"/>
              <w:spacing w:line="240" w:lineRule="auto"/>
              <w:ind w:firstLine="0" w:firstLineChars="0"/>
              <w:jc w:val="left"/>
              <w:rPr>
                <w:rFonts w:cs="Times New Roman"/>
                <w:sz w:val="21"/>
                <w:szCs w:val="21"/>
              </w:rPr>
            </w:pPr>
            <w:r>
              <w:rPr>
                <w:rFonts w:hint="eastAsia" w:cs="Times New Roman"/>
                <w:sz w:val="21"/>
                <w:szCs w:val="21"/>
              </w:rPr>
              <w:t>要求</w:t>
            </w:r>
          </w:p>
        </w:tc>
      </w:tr>
      <w:tr w14:paraId="22CC7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2B795D7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8</w:t>
            </w:r>
          </w:p>
        </w:tc>
        <w:tc>
          <w:tcPr>
            <w:tcW w:w="1965" w:type="pct"/>
            <w:tcBorders>
              <w:top w:val="single" w:color="auto" w:sz="4" w:space="0"/>
              <w:left w:val="single" w:color="auto" w:sz="4" w:space="0"/>
              <w:bottom w:val="single" w:color="auto" w:sz="4" w:space="0"/>
              <w:right w:val="single" w:color="auto" w:sz="4" w:space="0"/>
            </w:tcBorders>
            <w:vAlign w:val="center"/>
          </w:tcPr>
          <w:p w14:paraId="6A045FAC">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地下矿山应采用机械通风。设有在线监测系统的矿山应根据监测结果及时调整通风系统；未设置在线监测系统的矿山每年应对通风系统进行1次检测，并根据检测结果及时调整通风系统。矿山应及时更新通风系统图。通风系统图应标明通风设备、风量、风流方向、通风构筑物、与通风系统隔离的区域等。</w:t>
            </w:r>
          </w:p>
        </w:tc>
        <w:tc>
          <w:tcPr>
            <w:tcW w:w="1069" w:type="pct"/>
            <w:tcBorders>
              <w:top w:val="single" w:color="auto" w:sz="4" w:space="0"/>
              <w:left w:val="single" w:color="auto" w:sz="4" w:space="0"/>
              <w:bottom w:val="single" w:color="auto" w:sz="4" w:space="0"/>
              <w:right w:val="single" w:color="auto" w:sz="4" w:space="0"/>
            </w:tcBorders>
            <w:vAlign w:val="center"/>
          </w:tcPr>
          <w:p w14:paraId="44D737F7">
            <w:pPr>
              <w:adjustRightInd w:val="0"/>
              <w:snapToGrid w:val="0"/>
              <w:spacing w:line="240" w:lineRule="auto"/>
              <w:ind w:firstLine="0" w:firstLineChars="0"/>
              <w:jc w:val="center"/>
              <w:rPr>
                <w:rFonts w:cs="Times New Roman"/>
                <w:sz w:val="21"/>
                <w:szCs w:val="21"/>
              </w:rPr>
            </w:pPr>
            <w:r>
              <w:rPr>
                <w:rFonts w:cs="Times New Roman"/>
                <w:sz w:val="21"/>
                <w:szCs w:val="21"/>
              </w:rPr>
              <w:t>《金属非金属矿山安全规程》（GB16423-2020）第</w:t>
            </w:r>
            <w:r>
              <w:rPr>
                <w:rFonts w:cs="Times New Roman"/>
                <w:kern w:val="0"/>
                <w:sz w:val="21"/>
                <w:szCs w:val="21"/>
              </w:rPr>
              <w:t>6.6.2.1条</w:t>
            </w:r>
          </w:p>
        </w:tc>
        <w:tc>
          <w:tcPr>
            <w:tcW w:w="1254" w:type="pct"/>
            <w:tcBorders>
              <w:top w:val="single" w:color="auto" w:sz="4" w:space="0"/>
              <w:left w:val="single" w:color="auto" w:sz="4" w:space="0"/>
              <w:bottom w:val="single" w:color="auto" w:sz="4" w:space="0"/>
              <w:right w:val="single" w:color="auto" w:sz="4" w:space="0"/>
            </w:tcBorders>
            <w:vAlign w:val="center"/>
          </w:tcPr>
          <w:p w14:paraId="0F8AE53C">
            <w:pPr>
              <w:adjustRightInd w:val="0"/>
              <w:snapToGrid w:val="0"/>
              <w:spacing w:line="240" w:lineRule="auto"/>
              <w:ind w:firstLine="0" w:firstLineChars="0"/>
              <w:rPr>
                <w:rFonts w:cs="Times New Roman"/>
                <w:kern w:val="0"/>
                <w:sz w:val="21"/>
                <w:szCs w:val="21"/>
              </w:rPr>
            </w:pPr>
            <w:r>
              <w:rPr>
                <w:rFonts w:hint="eastAsia" w:cs="Times New Roman"/>
                <w:kern w:val="0"/>
                <w:sz w:val="21"/>
                <w:szCs w:val="21"/>
              </w:rPr>
              <w:t>设计矿山采用机械通风。</w:t>
            </w:r>
          </w:p>
        </w:tc>
        <w:tc>
          <w:tcPr>
            <w:tcW w:w="467" w:type="pct"/>
            <w:tcBorders>
              <w:top w:val="single" w:color="auto" w:sz="4" w:space="0"/>
              <w:left w:val="single" w:color="auto" w:sz="4" w:space="0"/>
              <w:bottom w:val="single" w:color="auto" w:sz="4" w:space="0"/>
              <w:right w:val="single" w:color="auto" w:sz="4" w:space="0"/>
            </w:tcBorders>
            <w:vAlign w:val="center"/>
          </w:tcPr>
          <w:p w14:paraId="5E88F4DA">
            <w:pPr>
              <w:snapToGrid w:val="0"/>
              <w:spacing w:line="240" w:lineRule="auto"/>
              <w:ind w:firstLine="0" w:firstLineChars="0"/>
              <w:jc w:val="left"/>
              <w:rPr>
                <w:rFonts w:cs="Times New Roman"/>
                <w:sz w:val="21"/>
                <w:szCs w:val="21"/>
              </w:rPr>
            </w:pPr>
            <w:r>
              <w:rPr>
                <w:rFonts w:hint="eastAsia" w:cs="Times New Roman"/>
                <w:sz w:val="21"/>
                <w:szCs w:val="21"/>
              </w:rPr>
              <w:t>符合</w:t>
            </w:r>
          </w:p>
          <w:p w14:paraId="47264907">
            <w:pPr>
              <w:snapToGrid w:val="0"/>
              <w:spacing w:line="240" w:lineRule="auto"/>
              <w:ind w:firstLine="0" w:firstLineChars="0"/>
              <w:jc w:val="left"/>
              <w:rPr>
                <w:rFonts w:cs="Times New Roman"/>
                <w:sz w:val="21"/>
                <w:szCs w:val="21"/>
              </w:rPr>
            </w:pPr>
            <w:r>
              <w:rPr>
                <w:rFonts w:hint="eastAsia" w:cs="Times New Roman"/>
                <w:sz w:val="21"/>
                <w:szCs w:val="21"/>
              </w:rPr>
              <w:t>要求</w:t>
            </w:r>
          </w:p>
        </w:tc>
      </w:tr>
      <w:tr w14:paraId="5DBE7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19400942">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9</w:t>
            </w:r>
          </w:p>
        </w:tc>
        <w:tc>
          <w:tcPr>
            <w:tcW w:w="1965" w:type="pct"/>
            <w:tcBorders>
              <w:top w:val="single" w:color="auto" w:sz="4" w:space="0"/>
              <w:left w:val="single" w:color="auto" w:sz="4" w:space="0"/>
              <w:bottom w:val="single" w:color="auto" w:sz="4" w:space="0"/>
              <w:right w:val="single" w:color="auto" w:sz="4" w:space="0"/>
            </w:tcBorders>
            <w:vAlign w:val="center"/>
          </w:tcPr>
          <w:p w14:paraId="48AFD75B">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采场应利用贯穿风流通风或机械通风。</w:t>
            </w:r>
          </w:p>
        </w:tc>
        <w:tc>
          <w:tcPr>
            <w:tcW w:w="1069" w:type="pct"/>
            <w:tcBorders>
              <w:top w:val="single" w:color="auto" w:sz="4" w:space="0"/>
              <w:left w:val="single" w:color="auto" w:sz="4" w:space="0"/>
              <w:bottom w:val="single" w:color="auto" w:sz="4" w:space="0"/>
              <w:right w:val="single" w:color="auto" w:sz="4" w:space="0"/>
            </w:tcBorders>
            <w:vAlign w:val="center"/>
          </w:tcPr>
          <w:p w14:paraId="1CE5A89C">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6.6.2.7条</w:t>
            </w:r>
          </w:p>
        </w:tc>
        <w:tc>
          <w:tcPr>
            <w:tcW w:w="1254" w:type="pct"/>
            <w:tcBorders>
              <w:top w:val="single" w:color="auto" w:sz="4" w:space="0"/>
              <w:left w:val="single" w:color="auto" w:sz="4" w:space="0"/>
              <w:bottom w:val="single" w:color="auto" w:sz="4" w:space="0"/>
              <w:right w:val="single" w:color="auto" w:sz="4" w:space="0"/>
            </w:tcBorders>
            <w:vAlign w:val="center"/>
          </w:tcPr>
          <w:p w14:paraId="31822763">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采场利用贯穿风流通风或机械通风。</w:t>
            </w:r>
          </w:p>
        </w:tc>
        <w:tc>
          <w:tcPr>
            <w:tcW w:w="467" w:type="pct"/>
            <w:tcBorders>
              <w:top w:val="single" w:color="auto" w:sz="4" w:space="0"/>
              <w:left w:val="single" w:color="auto" w:sz="4" w:space="0"/>
              <w:bottom w:val="single" w:color="auto" w:sz="4" w:space="0"/>
              <w:right w:val="single" w:color="auto" w:sz="4" w:space="0"/>
            </w:tcBorders>
            <w:vAlign w:val="center"/>
          </w:tcPr>
          <w:p w14:paraId="692DDC13">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1F60C050">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07AB5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6EDEC511">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1</w:t>
            </w:r>
            <w:r>
              <w:rPr>
                <w:rFonts w:asciiTheme="minorHAnsi" w:hAnsiTheme="minorHAnsi" w:cstheme="minorHAnsi"/>
                <w:sz w:val="21"/>
                <w:szCs w:val="21"/>
              </w:rPr>
              <w:t>0</w:t>
            </w:r>
          </w:p>
        </w:tc>
        <w:tc>
          <w:tcPr>
            <w:tcW w:w="1965" w:type="pct"/>
            <w:tcBorders>
              <w:top w:val="single" w:color="auto" w:sz="4" w:space="0"/>
              <w:left w:val="single" w:color="auto" w:sz="4" w:space="0"/>
              <w:bottom w:val="single" w:color="auto" w:sz="4" w:space="0"/>
              <w:right w:val="single" w:color="auto" w:sz="4" w:space="0"/>
            </w:tcBorders>
            <w:vAlign w:val="center"/>
          </w:tcPr>
          <w:p w14:paraId="733B2026">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每台主通风机电机均应有备用，并能迅速更换。同一个硐室或风机房内使用多台同型号电机时，可以只备用1台。</w:t>
            </w:r>
          </w:p>
        </w:tc>
        <w:tc>
          <w:tcPr>
            <w:tcW w:w="1069" w:type="pct"/>
            <w:tcBorders>
              <w:top w:val="single" w:color="auto" w:sz="4" w:space="0"/>
              <w:left w:val="single" w:color="auto" w:sz="4" w:space="0"/>
              <w:bottom w:val="single" w:color="auto" w:sz="4" w:space="0"/>
              <w:right w:val="single" w:color="auto" w:sz="4" w:space="0"/>
            </w:tcBorders>
            <w:vAlign w:val="center"/>
          </w:tcPr>
          <w:p w14:paraId="3E4D3F20">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6.6.3.2条</w:t>
            </w:r>
          </w:p>
        </w:tc>
        <w:tc>
          <w:tcPr>
            <w:tcW w:w="1254" w:type="pct"/>
            <w:tcBorders>
              <w:top w:val="single" w:color="auto" w:sz="4" w:space="0"/>
              <w:left w:val="single" w:color="auto" w:sz="4" w:space="0"/>
              <w:bottom w:val="single" w:color="auto" w:sz="4" w:space="0"/>
              <w:right w:val="single" w:color="auto" w:sz="4" w:space="0"/>
            </w:tcBorders>
            <w:vAlign w:val="center"/>
          </w:tcPr>
          <w:p w14:paraId="347B8911">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每台风机设置具有相同型号和规格的备用电动机，在风机站巷道顶板设手拉葫芦，以便迅速调换电动机。</w:t>
            </w:r>
          </w:p>
        </w:tc>
        <w:tc>
          <w:tcPr>
            <w:tcW w:w="467" w:type="pct"/>
            <w:tcBorders>
              <w:top w:val="single" w:color="auto" w:sz="4" w:space="0"/>
              <w:left w:val="single" w:color="auto" w:sz="4" w:space="0"/>
              <w:bottom w:val="single" w:color="auto" w:sz="4" w:space="0"/>
              <w:right w:val="single" w:color="auto" w:sz="4" w:space="0"/>
            </w:tcBorders>
            <w:vAlign w:val="center"/>
          </w:tcPr>
          <w:p w14:paraId="02460DDF">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w:t>
            </w:r>
          </w:p>
          <w:p w14:paraId="548EDC6F">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要求</w:t>
            </w:r>
          </w:p>
        </w:tc>
      </w:tr>
      <w:tr w14:paraId="7F42D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547D6ACE">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1</w:t>
            </w:r>
            <w:r>
              <w:rPr>
                <w:rFonts w:asciiTheme="minorHAnsi" w:hAnsiTheme="minorHAnsi" w:cstheme="minorHAnsi"/>
                <w:sz w:val="21"/>
                <w:szCs w:val="21"/>
              </w:rPr>
              <w:t>1</w:t>
            </w:r>
          </w:p>
        </w:tc>
        <w:tc>
          <w:tcPr>
            <w:tcW w:w="1965" w:type="pct"/>
            <w:tcBorders>
              <w:top w:val="single" w:color="auto" w:sz="4" w:space="0"/>
              <w:left w:val="single" w:color="auto" w:sz="4" w:space="0"/>
              <w:bottom w:val="single" w:color="auto" w:sz="4" w:space="0"/>
              <w:right w:val="single" w:color="auto" w:sz="4" w:space="0"/>
            </w:tcBorders>
            <w:vAlign w:val="center"/>
          </w:tcPr>
          <w:p w14:paraId="6A773EB8">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掘进工作面和通风不良的工作场所，应设局部通风设施，并应有防止其被撞击破坏的措施。</w:t>
            </w:r>
          </w:p>
        </w:tc>
        <w:tc>
          <w:tcPr>
            <w:tcW w:w="1069" w:type="pct"/>
            <w:tcBorders>
              <w:top w:val="single" w:color="auto" w:sz="4" w:space="0"/>
              <w:left w:val="single" w:color="auto" w:sz="4" w:space="0"/>
              <w:bottom w:val="single" w:color="auto" w:sz="4" w:space="0"/>
              <w:right w:val="single" w:color="auto" w:sz="4" w:space="0"/>
            </w:tcBorders>
            <w:vAlign w:val="center"/>
          </w:tcPr>
          <w:p w14:paraId="7BAE0988">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6.6.3.5条</w:t>
            </w:r>
          </w:p>
        </w:tc>
        <w:tc>
          <w:tcPr>
            <w:tcW w:w="1254" w:type="pct"/>
            <w:tcBorders>
              <w:top w:val="single" w:color="auto" w:sz="4" w:space="0"/>
              <w:left w:val="single" w:color="auto" w:sz="4" w:space="0"/>
              <w:bottom w:val="single" w:color="auto" w:sz="4" w:space="0"/>
              <w:right w:val="single" w:color="auto" w:sz="4" w:space="0"/>
            </w:tcBorders>
            <w:vAlign w:val="center"/>
          </w:tcPr>
          <w:p w14:paraId="74FD6ECA">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回采工作面设置JK58-1No4.5型局扇45台，30台工作，15台备用。</w:t>
            </w:r>
          </w:p>
          <w:p w14:paraId="5EB0ADCD">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采准工作面设置JK58-1No4型局扇36台，24台工作，12台备用。</w:t>
            </w:r>
          </w:p>
        </w:tc>
        <w:tc>
          <w:tcPr>
            <w:tcW w:w="467" w:type="pct"/>
            <w:tcBorders>
              <w:top w:val="single" w:color="auto" w:sz="4" w:space="0"/>
              <w:left w:val="single" w:color="auto" w:sz="4" w:space="0"/>
              <w:bottom w:val="single" w:color="auto" w:sz="4" w:space="0"/>
              <w:right w:val="single" w:color="auto" w:sz="4" w:space="0"/>
            </w:tcBorders>
            <w:vAlign w:val="center"/>
          </w:tcPr>
          <w:p w14:paraId="3B087401">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4E571EB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40793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 w:type="pct"/>
            <w:tcBorders>
              <w:top w:val="single" w:color="auto" w:sz="4" w:space="0"/>
              <w:left w:val="single" w:color="auto" w:sz="4" w:space="0"/>
              <w:bottom w:val="single" w:color="auto" w:sz="4" w:space="0"/>
              <w:right w:val="single" w:color="auto" w:sz="4" w:space="0"/>
            </w:tcBorders>
            <w:vAlign w:val="center"/>
          </w:tcPr>
          <w:p w14:paraId="42B22BAF">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1</w:t>
            </w:r>
            <w:r>
              <w:rPr>
                <w:rFonts w:asciiTheme="minorHAnsi" w:hAnsiTheme="minorHAnsi" w:cstheme="minorHAnsi"/>
                <w:sz w:val="21"/>
                <w:szCs w:val="21"/>
              </w:rPr>
              <w:t>2</w:t>
            </w:r>
          </w:p>
        </w:tc>
        <w:tc>
          <w:tcPr>
            <w:tcW w:w="1965" w:type="pct"/>
            <w:tcBorders>
              <w:top w:val="single" w:color="auto" w:sz="4" w:space="0"/>
              <w:left w:val="single" w:color="auto" w:sz="4" w:space="0"/>
              <w:bottom w:val="single" w:color="auto" w:sz="4" w:space="0"/>
              <w:right w:val="single" w:color="auto" w:sz="4" w:space="0"/>
            </w:tcBorders>
            <w:vAlign w:val="center"/>
          </w:tcPr>
          <w:p w14:paraId="4842B1D0">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采用凿岩爆破法掘进应遵守下列规定：</w:t>
            </w:r>
          </w:p>
          <w:p w14:paraId="41AC5F37">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采取湿式凿岩、爆破喷雾、装岩洒水和净化风流等综合防尘措施；</w:t>
            </w:r>
          </w:p>
          <w:p w14:paraId="0CCD94FB">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在遇水膨胀、强度降低的岩层中掘进不能采用湿式凿岩时，可采用干式凿岩，但应采取降尘措施，作业人员应佩戴防尘保护用品；</w:t>
            </w:r>
          </w:p>
        </w:tc>
        <w:tc>
          <w:tcPr>
            <w:tcW w:w="1069" w:type="pct"/>
            <w:tcBorders>
              <w:top w:val="single" w:color="auto" w:sz="4" w:space="0"/>
              <w:left w:val="single" w:color="auto" w:sz="4" w:space="0"/>
              <w:bottom w:val="single" w:color="auto" w:sz="4" w:space="0"/>
              <w:right w:val="single" w:color="auto" w:sz="4" w:space="0"/>
            </w:tcBorders>
            <w:vAlign w:val="center"/>
          </w:tcPr>
          <w:p w14:paraId="45D9060C">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6.1.4.1条</w:t>
            </w:r>
          </w:p>
        </w:tc>
        <w:tc>
          <w:tcPr>
            <w:tcW w:w="1254" w:type="pct"/>
            <w:tcBorders>
              <w:top w:val="single" w:color="auto" w:sz="4" w:space="0"/>
              <w:left w:val="single" w:color="auto" w:sz="4" w:space="0"/>
              <w:bottom w:val="single" w:color="auto" w:sz="4" w:space="0"/>
              <w:right w:val="single" w:color="auto" w:sz="4" w:space="0"/>
            </w:tcBorders>
            <w:vAlign w:val="center"/>
          </w:tcPr>
          <w:p w14:paraId="31C9E249">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矿山凿岩采取湿式作业，凿岩机的最小供水量，满足凿岩除尘的要求。</w:t>
            </w:r>
          </w:p>
          <w:p w14:paraId="28FAE1E3">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爆破后和装卸矿(岩)时，进行喷雾洒水。凿岩、出碴前，先清洗工作面10m内的巷壁。进风道、人行道及运输巷道的岩壁，每季至少清洗一次。</w:t>
            </w:r>
          </w:p>
        </w:tc>
        <w:tc>
          <w:tcPr>
            <w:tcW w:w="467" w:type="pct"/>
            <w:tcBorders>
              <w:top w:val="single" w:color="auto" w:sz="4" w:space="0"/>
              <w:left w:val="single" w:color="auto" w:sz="4" w:space="0"/>
              <w:bottom w:val="single" w:color="auto" w:sz="4" w:space="0"/>
              <w:right w:val="single" w:color="auto" w:sz="4" w:space="0"/>
            </w:tcBorders>
            <w:vAlign w:val="center"/>
          </w:tcPr>
          <w:p w14:paraId="3BB8935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2FA1EB8">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bl>
    <w:p w14:paraId="05CDFEA2">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3.6.4风量风速复核</w:t>
      </w:r>
    </w:p>
    <w:p w14:paraId="4AAE4E43">
      <w:pPr>
        <w:snapToGrid w:val="0"/>
        <w:spacing w:line="360" w:lineRule="auto"/>
        <w:ind w:firstLine="560"/>
        <w:rPr>
          <w:rFonts w:asciiTheme="minorHAnsi" w:hAnsiTheme="minorHAnsi" w:eastAsiaTheme="minorEastAsia" w:cstheme="minorHAnsi"/>
          <w:szCs w:val="28"/>
        </w:rPr>
      </w:pPr>
      <w:r>
        <w:rPr>
          <w:rFonts w:hint="eastAsia" w:asciiTheme="minorHAnsi" w:hAnsiTheme="minorHAnsi" w:eastAsiaTheme="minorEastAsia" w:cstheme="minorHAnsi"/>
          <w:szCs w:val="28"/>
        </w:rPr>
        <w:t>达产规模800×1</w:t>
      </w:r>
      <w:r>
        <w:rPr>
          <w:rFonts w:asciiTheme="minorHAnsi" w:hAnsiTheme="minorHAnsi" w:eastAsiaTheme="minorEastAsia" w:cstheme="minorHAnsi"/>
          <w:szCs w:val="28"/>
        </w:rPr>
        <w:t>0</w:t>
      </w:r>
      <w:r>
        <w:rPr>
          <w:rFonts w:asciiTheme="minorHAnsi" w:hAnsiTheme="minorHAnsi" w:eastAsiaTheme="minorEastAsia" w:cstheme="minorHAnsi"/>
          <w:szCs w:val="28"/>
          <w:vertAlign w:val="superscript"/>
        </w:rPr>
        <w:t>4</w:t>
      </w:r>
      <w:r>
        <w:rPr>
          <w:rFonts w:hint="eastAsia" w:asciiTheme="minorHAnsi" w:hAnsiTheme="minorHAnsi" w:eastAsiaTheme="minorEastAsia" w:cstheme="minorHAnsi"/>
          <w:szCs w:val="28"/>
        </w:rPr>
        <w:t>t/a时，矿山总需风量最大，设计按此状态考虑矿山总需风量。</w:t>
      </w:r>
      <w:r>
        <w:rPr>
          <w:rFonts w:asciiTheme="minorHAnsi" w:hAnsiTheme="minorHAnsi" w:eastAsiaTheme="minorEastAsia" w:cstheme="minorHAnsi"/>
          <w:szCs w:val="28"/>
        </w:rPr>
        <w:t>具体如下：</w:t>
      </w:r>
    </w:p>
    <w:p w14:paraId="1BFD5023">
      <w:pPr>
        <w:snapToGrid w:val="0"/>
        <w:spacing w:line="360" w:lineRule="auto"/>
        <w:ind w:firstLine="562"/>
        <w:rPr>
          <w:rFonts w:asciiTheme="minorHAnsi" w:hAnsiTheme="minorHAnsi" w:eastAsiaTheme="minorEastAsia" w:cstheme="minorHAnsi"/>
          <w:b/>
          <w:bCs/>
          <w:szCs w:val="28"/>
        </w:rPr>
      </w:pPr>
      <w:r>
        <w:rPr>
          <w:rFonts w:hint="eastAsia" w:asciiTheme="minorHAnsi" w:hAnsiTheme="minorHAnsi" w:eastAsiaTheme="minorEastAsia" w:cstheme="minorHAnsi"/>
          <w:b/>
          <w:bCs/>
          <w:szCs w:val="28"/>
        </w:rPr>
        <w:t>（</w:t>
      </w:r>
      <w:r>
        <w:rPr>
          <w:rFonts w:asciiTheme="minorHAnsi" w:hAnsiTheme="minorHAnsi" w:eastAsiaTheme="minorEastAsia" w:cstheme="minorHAnsi"/>
          <w:b/>
          <w:bCs/>
          <w:szCs w:val="28"/>
        </w:rPr>
        <w:t>1</w:t>
      </w:r>
      <w:r>
        <w:rPr>
          <w:rFonts w:hint="eastAsia" w:asciiTheme="minorHAnsi" w:hAnsiTheme="minorHAnsi" w:eastAsiaTheme="minorEastAsia" w:cstheme="minorHAnsi"/>
          <w:b/>
          <w:bCs/>
          <w:szCs w:val="28"/>
        </w:rPr>
        <w:t>）</w:t>
      </w:r>
      <w:r>
        <w:rPr>
          <w:rFonts w:asciiTheme="minorHAnsi" w:hAnsiTheme="minorHAnsi" w:eastAsiaTheme="minorEastAsia" w:cstheme="minorHAnsi"/>
          <w:b/>
          <w:bCs/>
          <w:szCs w:val="28"/>
        </w:rPr>
        <w:t>采场区域需风量</w:t>
      </w:r>
    </w:p>
    <w:p w14:paraId="11F3EF4D">
      <w:pPr>
        <w:snapToGrid w:val="0"/>
        <w:spacing w:line="360" w:lineRule="auto"/>
        <w:ind w:firstLine="560"/>
        <w:rPr>
          <w:szCs w:val="28"/>
        </w:rPr>
      </w:pPr>
      <w:r>
        <w:rPr>
          <w:szCs w:val="28"/>
        </w:rPr>
        <w:t>1）按井下同时工作的最多人数计算，供风量应不少于每人4m</w:t>
      </w:r>
      <w:r>
        <w:rPr>
          <w:szCs w:val="28"/>
          <w:vertAlign w:val="superscript"/>
        </w:rPr>
        <w:t>3</w:t>
      </w:r>
      <w:r>
        <w:rPr>
          <w:szCs w:val="28"/>
        </w:rPr>
        <w:t>/min，井下当班最大工作人数为</w:t>
      </w:r>
      <w:r>
        <w:rPr>
          <w:rFonts w:hint="eastAsia"/>
          <w:szCs w:val="28"/>
        </w:rPr>
        <w:t>119</w:t>
      </w:r>
      <w:r>
        <w:rPr>
          <w:szCs w:val="28"/>
        </w:rPr>
        <w:t>人计算，所需供风量为</w:t>
      </w:r>
      <w:r>
        <w:rPr>
          <w:rFonts w:hint="eastAsia"/>
          <w:szCs w:val="28"/>
        </w:rPr>
        <w:t>476</w:t>
      </w:r>
      <w:r>
        <w:rPr>
          <w:szCs w:val="28"/>
        </w:rPr>
        <w:t>m</w:t>
      </w:r>
      <w:r>
        <w:rPr>
          <w:szCs w:val="28"/>
          <w:vertAlign w:val="superscript"/>
        </w:rPr>
        <w:t>3</w:t>
      </w:r>
      <w:r>
        <w:rPr>
          <w:szCs w:val="28"/>
        </w:rPr>
        <w:t>/min，即</w:t>
      </w:r>
      <w:r>
        <w:rPr>
          <w:rFonts w:hint="eastAsia"/>
          <w:szCs w:val="28"/>
        </w:rPr>
        <w:t>7.9</w:t>
      </w:r>
      <w:r>
        <w:rPr>
          <w:szCs w:val="28"/>
        </w:rPr>
        <w:t>m</w:t>
      </w:r>
      <w:r>
        <w:rPr>
          <w:szCs w:val="28"/>
          <w:vertAlign w:val="superscript"/>
        </w:rPr>
        <w:t>3</w:t>
      </w:r>
      <w:r>
        <w:rPr>
          <w:szCs w:val="28"/>
        </w:rPr>
        <w:t>/s。</w:t>
      </w:r>
    </w:p>
    <w:p w14:paraId="56301039">
      <w:pPr>
        <w:snapToGrid w:val="0"/>
        <w:spacing w:line="360" w:lineRule="auto"/>
        <w:ind w:firstLine="560"/>
        <w:rPr>
          <w:szCs w:val="28"/>
        </w:rPr>
      </w:pPr>
      <w:r>
        <w:rPr>
          <w:rFonts w:hint="eastAsia"/>
          <w:szCs w:val="28"/>
        </w:rPr>
        <w:t>2）</w:t>
      </w:r>
      <w:r>
        <w:rPr>
          <w:szCs w:val="28"/>
        </w:rPr>
        <w:t>有柴油设备运行的矿井，按同时作业机台数每千瓦每分钟供风量4m</w:t>
      </w:r>
      <w:r>
        <w:rPr>
          <w:szCs w:val="28"/>
          <w:vertAlign w:val="superscript"/>
        </w:rPr>
        <w:t>3</w:t>
      </w:r>
      <w:r>
        <w:rPr>
          <w:szCs w:val="28"/>
        </w:rPr>
        <w:t>计算采场需风量。按柴油设备计算的采场需风量见表3.6-3。</w:t>
      </w:r>
    </w:p>
    <w:p w14:paraId="781E59E5">
      <w:pPr>
        <w:widowControl/>
        <w:spacing w:line="240" w:lineRule="auto"/>
        <w:ind w:firstLine="0" w:firstLineChars="0"/>
        <w:jc w:val="left"/>
        <w:rPr>
          <w:rFonts w:asciiTheme="minorHAnsi" w:hAnsiTheme="minorHAnsi" w:eastAsiaTheme="minorEastAsia" w:cstheme="minorHAnsi"/>
          <w:szCs w:val="28"/>
        </w:rPr>
      </w:pPr>
      <w:r>
        <w:rPr>
          <w:rFonts w:asciiTheme="minorHAnsi" w:hAnsiTheme="minorHAnsi" w:eastAsiaTheme="minorEastAsia" w:cstheme="minorHAnsi"/>
          <w:szCs w:val="28"/>
        </w:rPr>
        <w:br w:type="page"/>
      </w:r>
    </w:p>
    <w:p w14:paraId="367FCA6C">
      <w:pPr>
        <w:snapToGrid w:val="0"/>
        <w:spacing w:line="360" w:lineRule="auto"/>
        <w:ind w:firstLine="56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表3.6-3  </w:t>
      </w:r>
      <w:r>
        <w:rPr>
          <w:rFonts w:hint="eastAsia" w:asciiTheme="minorHAnsi" w:hAnsiTheme="minorHAnsi" w:eastAsiaTheme="minorEastAsia" w:cstheme="minorHAnsi"/>
          <w:szCs w:val="28"/>
        </w:rPr>
        <w:t>柴油设备需风量表</w:t>
      </w:r>
    </w:p>
    <w:tbl>
      <w:tblPr>
        <w:tblStyle w:val="54"/>
        <w:tblW w:w="4997" w:type="pct"/>
        <w:tblInd w:w="0" w:type="dxa"/>
        <w:tblLayout w:type="autofit"/>
        <w:tblCellMar>
          <w:top w:w="0" w:type="dxa"/>
          <w:left w:w="108" w:type="dxa"/>
          <w:bottom w:w="0" w:type="dxa"/>
          <w:right w:w="108" w:type="dxa"/>
        </w:tblCellMar>
      </w:tblPr>
      <w:tblGrid>
        <w:gridCol w:w="502"/>
        <w:gridCol w:w="3031"/>
        <w:gridCol w:w="502"/>
        <w:gridCol w:w="502"/>
        <w:gridCol w:w="1005"/>
        <w:gridCol w:w="889"/>
        <w:gridCol w:w="752"/>
        <w:gridCol w:w="1372"/>
        <w:gridCol w:w="953"/>
      </w:tblGrid>
      <w:tr w14:paraId="17BB983A">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73D30E09">
            <w:pPr>
              <w:widowControl/>
              <w:adjustRightInd w:val="0"/>
              <w:snapToGrid w:val="0"/>
              <w:spacing w:line="240" w:lineRule="auto"/>
              <w:ind w:firstLine="0" w:firstLineChars="0"/>
              <w:jc w:val="center"/>
              <w:rPr>
                <w:w w:val="90"/>
                <w:kern w:val="0"/>
                <w:sz w:val="21"/>
                <w:szCs w:val="21"/>
              </w:rPr>
            </w:pPr>
            <w:r>
              <w:rPr>
                <w:w w:val="90"/>
                <w:kern w:val="0"/>
                <w:sz w:val="21"/>
                <w:szCs w:val="21"/>
              </w:rPr>
              <w:t>序号</w:t>
            </w:r>
          </w:p>
        </w:tc>
        <w:tc>
          <w:tcPr>
            <w:tcW w:w="1593" w:type="pct"/>
            <w:tcBorders>
              <w:top w:val="single" w:color="000000" w:sz="4" w:space="0"/>
              <w:left w:val="single" w:color="000000" w:sz="4" w:space="0"/>
              <w:bottom w:val="single" w:color="000000" w:sz="4" w:space="0"/>
              <w:right w:val="single" w:color="000000" w:sz="4" w:space="0"/>
            </w:tcBorders>
            <w:vAlign w:val="center"/>
          </w:tcPr>
          <w:p w14:paraId="02CE612A">
            <w:pPr>
              <w:widowControl/>
              <w:adjustRightInd w:val="0"/>
              <w:snapToGrid w:val="0"/>
              <w:spacing w:line="240" w:lineRule="auto"/>
              <w:ind w:firstLine="0" w:firstLineChars="0"/>
              <w:jc w:val="center"/>
              <w:rPr>
                <w:w w:val="90"/>
                <w:kern w:val="0"/>
                <w:sz w:val="21"/>
                <w:szCs w:val="21"/>
              </w:rPr>
            </w:pPr>
            <w:r>
              <w:rPr>
                <w:w w:val="90"/>
                <w:kern w:val="0"/>
                <w:sz w:val="21"/>
                <w:szCs w:val="21"/>
              </w:rPr>
              <w:t>设备名称规格及型号</w:t>
            </w:r>
          </w:p>
        </w:tc>
        <w:tc>
          <w:tcPr>
            <w:tcW w:w="264" w:type="pct"/>
            <w:tcBorders>
              <w:top w:val="single" w:color="000000" w:sz="4" w:space="0"/>
              <w:left w:val="single" w:color="000000" w:sz="4" w:space="0"/>
              <w:bottom w:val="single" w:color="000000" w:sz="4" w:space="0"/>
              <w:right w:val="single" w:color="000000" w:sz="4" w:space="0"/>
            </w:tcBorders>
            <w:vAlign w:val="center"/>
          </w:tcPr>
          <w:p w14:paraId="42723F55">
            <w:pPr>
              <w:widowControl/>
              <w:adjustRightInd w:val="0"/>
              <w:snapToGrid w:val="0"/>
              <w:spacing w:line="240" w:lineRule="auto"/>
              <w:ind w:firstLine="0" w:firstLineChars="0"/>
              <w:jc w:val="center"/>
              <w:rPr>
                <w:w w:val="90"/>
                <w:kern w:val="0"/>
                <w:sz w:val="21"/>
                <w:szCs w:val="21"/>
              </w:rPr>
            </w:pPr>
            <w:r>
              <w:rPr>
                <w:w w:val="90"/>
                <w:kern w:val="0"/>
                <w:sz w:val="21"/>
                <w:szCs w:val="21"/>
              </w:rPr>
              <w:t>单位</w:t>
            </w:r>
          </w:p>
        </w:tc>
        <w:tc>
          <w:tcPr>
            <w:tcW w:w="264" w:type="pct"/>
            <w:tcBorders>
              <w:top w:val="single" w:color="000000" w:sz="4" w:space="0"/>
              <w:left w:val="single" w:color="000000" w:sz="4" w:space="0"/>
              <w:bottom w:val="single" w:color="000000" w:sz="4" w:space="0"/>
              <w:right w:val="single" w:color="000000" w:sz="4" w:space="0"/>
            </w:tcBorders>
            <w:vAlign w:val="center"/>
          </w:tcPr>
          <w:p w14:paraId="33F466C4">
            <w:pPr>
              <w:widowControl/>
              <w:adjustRightInd w:val="0"/>
              <w:snapToGrid w:val="0"/>
              <w:spacing w:line="240" w:lineRule="auto"/>
              <w:ind w:firstLine="0" w:firstLineChars="0"/>
              <w:jc w:val="center"/>
              <w:rPr>
                <w:w w:val="90"/>
                <w:kern w:val="0"/>
                <w:sz w:val="21"/>
                <w:szCs w:val="21"/>
              </w:rPr>
            </w:pPr>
            <w:r>
              <w:rPr>
                <w:w w:val="90"/>
                <w:kern w:val="0"/>
                <w:sz w:val="21"/>
                <w:szCs w:val="21"/>
              </w:rPr>
              <w:t>工作</w:t>
            </w:r>
          </w:p>
          <w:p w14:paraId="4217313D">
            <w:pPr>
              <w:widowControl/>
              <w:adjustRightInd w:val="0"/>
              <w:snapToGrid w:val="0"/>
              <w:spacing w:line="240" w:lineRule="auto"/>
              <w:ind w:firstLine="0" w:firstLineChars="0"/>
              <w:jc w:val="center"/>
              <w:rPr>
                <w:w w:val="90"/>
                <w:kern w:val="0"/>
                <w:sz w:val="21"/>
                <w:szCs w:val="21"/>
              </w:rPr>
            </w:pPr>
            <w:r>
              <w:rPr>
                <w:w w:val="90"/>
                <w:kern w:val="0"/>
                <w:sz w:val="21"/>
                <w:szCs w:val="21"/>
              </w:rPr>
              <w:t>数量</w:t>
            </w:r>
          </w:p>
        </w:tc>
        <w:tc>
          <w:tcPr>
            <w:tcW w:w="528" w:type="pct"/>
            <w:tcBorders>
              <w:top w:val="single" w:color="000000" w:sz="4" w:space="0"/>
              <w:left w:val="single" w:color="000000" w:sz="4" w:space="0"/>
              <w:bottom w:val="single" w:color="000000" w:sz="4" w:space="0"/>
              <w:right w:val="single" w:color="000000" w:sz="4" w:space="0"/>
            </w:tcBorders>
            <w:vAlign w:val="center"/>
          </w:tcPr>
          <w:p w14:paraId="0EC8C84E">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单台功率</w:t>
            </w:r>
          </w:p>
          <w:p w14:paraId="47B91554">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w:t>
            </w:r>
            <w:r>
              <w:rPr>
                <w:w w:val="90"/>
                <w:kern w:val="0"/>
                <w:sz w:val="21"/>
                <w:szCs w:val="21"/>
              </w:rPr>
              <w:t>kW</w:t>
            </w:r>
            <w:r>
              <w:rPr>
                <w:rFonts w:hint="eastAsia"/>
                <w:w w:val="90"/>
                <w:kern w:val="0"/>
                <w:sz w:val="21"/>
                <w:szCs w:val="21"/>
              </w:rPr>
              <w:t>）</w:t>
            </w:r>
          </w:p>
        </w:tc>
        <w:tc>
          <w:tcPr>
            <w:tcW w:w="467" w:type="pct"/>
            <w:tcBorders>
              <w:top w:val="single" w:color="000000" w:sz="4" w:space="0"/>
              <w:left w:val="single" w:color="000000" w:sz="4" w:space="0"/>
              <w:bottom w:val="single" w:color="000000" w:sz="4" w:space="0"/>
              <w:right w:val="single" w:color="000000" w:sz="4" w:space="0"/>
            </w:tcBorders>
            <w:vAlign w:val="center"/>
          </w:tcPr>
          <w:p w14:paraId="22740BD0">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总功率</w:t>
            </w:r>
          </w:p>
          <w:p w14:paraId="58F5EB4D">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w:t>
            </w:r>
            <w:r>
              <w:rPr>
                <w:w w:val="90"/>
                <w:kern w:val="0"/>
                <w:sz w:val="21"/>
                <w:szCs w:val="21"/>
              </w:rPr>
              <w:t>kW</w:t>
            </w:r>
            <w:r>
              <w:rPr>
                <w:rFonts w:hint="eastAsia"/>
                <w:w w:val="90"/>
                <w:kern w:val="0"/>
                <w:sz w:val="21"/>
                <w:szCs w:val="21"/>
              </w:rPr>
              <w:t>）</w:t>
            </w:r>
          </w:p>
        </w:tc>
        <w:tc>
          <w:tcPr>
            <w:tcW w:w="395" w:type="pct"/>
            <w:tcBorders>
              <w:top w:val="single" w:color="000000" w:sz="4" w:space="0"/>
              <w:left w:val="single" w:color="000000" w:sz="4" w:space="0"/>
              <w:bottom w:val="single" w:color="000000" w:sz="4" w:space="0"/>
              <w:right w:val="single" w:color="000000" w:sz="4" w:space="0"/>
            </w:tcBorders>
            <w:vAlign w:val="center"/>
          </w:tcPr>
          <w:p w14:paraId="6D50C069">
            <w:pPr>
              <w:widowControl/>
              <w:adjustRightInd w:val="0"/>
              <w:snapToGrid w:val="0"/>
              <w:spacing w:line="240" w:lineRule="auto"/>
              <w:ind w:firstLine="0" w:firstLineChars="0"/>
              <w:jc w:val="center"/>
              <w:rPr>
                <w:w w:val="90"/>
                <w:kern w:val="0"/>
                <w:sz w:val="21"/>
                <w:szCs w:val="21"/>
              </w:rPr>
            </w:pPr>
            <w:r>
              <w:rPr>
                <w:w w:val="90"/>
                <w:kern w:val="0"/>
                <w:sz w:val="21"/>
                <w:szCs w:val="21"/>
              </w:rPr>
              <w:t>同时工</w:t>
            </w:r>
          </w:p>
          <w:p w14:paraId="4DF27B5F">
            <w:pPr>
              <w:widowControl/>
              <w:adjustRightInd w:val="0"/>
              <w:snapToGrid w:val="0"/>
              <w:spacing w:line="240" w:lineRule="auto"/>
              <w:ind w:firstLine="0" w:firstLineChars="0"/>
              <w:jc w:val="center"/>
              <w:rPr>
                <w:w w:val="90"/>
                <w:kern w:val="0"/>
                <w:sz w:val="21"/>
                <w:szCs w:val="21"/>
              </w:rPr>
            </w:pPr>
            <w:r>
              <w:rPr>
                <w:w w:val="90"/>
                <w:kern w:val="0"/>
                <w:sz w:val="21"/>
                <w:szCs w:val="21"/>
              </w:rPr>
              <w:t>作系数</w:t>
            </w:r>
          </w:p>
        </w:tc>
        <w:tc>
          <w:tcPr>
            <w:tcW w:w="721" w:type="pct"/>
            <w:tcBorders>
              <w:top w:val="single" w:color="000000" w:sz="4" w:space="0"/>
              <w:left w:val="single" w:color="000000" w:sz="4" w:space="0"/>
              <w:bottom w:val="single" w:color="000000" w:sz="4" w:space="0"/>
              <w:right w:val="single" w:color="000000" w:sz="4" w:space="0"/>
            </w:tcBorders>
            <w:vAlign w:val="center"/>
          </w:tcPr>
          <w:p w14:paraId="6A73D5D5">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单位需风量</w:t>
            </w:r>
          </w:p>
          <w:p w14:paraId="78DF42EA">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w:t>
            </w:r>
            <w:r>
              <w:rPr>
                <w:w w:val="90"/>
                <w:kern w:val="0"/>
                <w:sz w:val="21"/>
                <w:szCs w:val="21"/>
              </w:rPr>
              <w:t>m</w:t>
            </w:r>
            <w:r>
              <w:rPr>
                <w:w w:val="90"/>
                <w:kern w:val="0"/>
                <w:sz w:val="21"/>
                <w:szCs w:val="21"/>
                <w:vertAlign w:val="superscript"/>
              </w:rPr>
              <w:t>3</w:t>
            </w:r>
            <w:r>
              <w:rPr>
                <w:w w:val="90"/>
                <w:kern w:val="0"/>
                <w:sz w:val="21"/>
                <w:szCs w:val="21"/>
              </w:rPr>
              <w:t>/kW.s</w:t>
            </w:r>
            <w:r>
              <w:rPr>
                <w:rFonts w:hint="eastAsia"/>
                <w:w w:val="90"/>
                <w:kern w:val="0"/>
                <w:sz w:val="21"/>
                <w:szCs w:val="21"/>
              </w:rPr>
              <w:t>）</w:t>
            </w:r>
          </w:p>
        </w:tc>
        <w:tc>
          <w:tcPr>
            <w:tcW w:w="501" w:type="pct"/>
            <w:tcBorders>
              <w:top w:val="single" w:color="000000" w:sz="4" w:space="0"/>
              <w:left w:val="single" w:color="000000" w:sz="4" w:space="0"/>
              <w:bottom w:val="single" w:color="000000" w:sz="4" w:space="0"/>
              <w:right w:val="single" w:color="000000" w:sz="4" w:space="0"/>
            </w:tcBorders>
            <w:vAlign w:val="center"/>
          </w:tcPr>
          <w:p w14:paraId="2816F27C">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需风量</w:t>
            </w:r>
          </w:p>
          <w:p w14:paraId="1361530B">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w:t>
            </w:r>
            <w:r>
              <w:rPr>
                <w:w w:val="90"/>
                <w:kern w:val="0"/>
                <w:sz w:val="21"/>
                <w:szCs w:val="21"/>
              </w:rPr>
              <w:t>m</w:t>
            </w:r>
            <w:r>
              <w:rPr>
                <w:w w:val="90"/>
                <w:kern w:val="0"/>
                <w:sz w:val="21"/>
                <w:szCs w:val="21"/>
                <w:vertAlign w:val="superscript"/>
              </w:rPr>
              <w:t>3</w:t>
            </w:r>
            <w:r>
              <w:rPr>
                <w:w w:val="90"/>
                <w:kern w:val="0"/>
                <w:sz w:val="21"/>
                <w:szCs w:val="21"/>
              </w:rPr>
              <w:t>/s</w:t>
            </w:r>
            <w:r>
              <w:rPr>
                <w:rFonts w:hint="eastAsia"/>
                <w:w w:val="90"/>
                <w:kern w:val="0"/>
                <w:sz w:val="21"/>
                <w:szCs w:val="21"/>
              </w:rPr>
              <w:t>）</w:t>
            </w:r>
          </w:p>
        </w:tc>
      </w:tr>
      <w:tr w14:paraId="64EB0E69">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12CBAAA3">
            <w:pPr>
              <w:widowControl/>
              <w:adjustRightInd w:val="0"/>
              <w:snapToGrid w:val="0"/>
              <w:spacing w:line="240" w:lineRule="auto"/>
              <w:ind w:firstLine="0" w:firstLineChars="0"/>
              <w:jc w:val="center"/>
              <w:rPr>
                <w:w w:val="90"/>
                <w:kern w:val="0"/>
                <w:sz w:val="21"/>
                <w:szCs w:val="21"/>
              </w:rPr>
            </w:pPr>
            <w:r>
              <w:rPr>
                <w:w w:val="90"/>
                <w:kern w:val="0"/>
                <w:sz w:val="21"/>
                <w:szCs w:val="21"/>
              </w:rPr>
              <w:t>1</w:t>
            </w:r>
          </w:p>
        </w:tc>
        <w:tc>
          <w:tcPr>
            <w:tcW w:w="1593" w:type="pct"/>
            <w:tcBorders>
              <w:top w:val="single" w:color="000000" w:sz="4" w:space="0"/>
              <w:left w:val="single" w:color="000000" w:sz="4" w:space="0"/>
              <w:bottom w:val="single" w:color="000000" w:sz="4" w:space="0"/>
              <w:right w:val="single" w:color="000000" w:sz="4" w:space="0"/>
            </w:tcBorders>
            <w:vAlign w:val="center"/>
          </w:tcPr>
          <w:p w14:paraId="2A5DE038">
            <w:pPr>
              <w:widowControl/>
              <w:adjustRightInd w:val="0"/>
              <w:snapToGrid w:val="0"/>
              <w:spacing w:line="240" w:lineRule="auto"/>
              <w:ind w:firstLine="0" w:firstLineChars="0"/>
              <w:jc w:val="center"/>
              <w:rPr>
                <w:w w:val="90"/>
                <w:kern w:val="0"/>
                <w:sz w:val="21"/>
                <w:szCs w:val="21"/>
              </w:rPr>
            </w:pPr>
            <w:r>
              <w:rPr>
                <w:w w:val="90"/>
                <w:kern w:val="0"/>
                <w:sz w:val="21"/>
                <w:szCs w:val="21"/>
              </w:rPr>
              <w:t>Simba1354</w:t>
            </w:r>
            <w:r>
              <w:rPr>
                <w:rFonts w:hint="eastAsia"/>
                <w:w w:val="90"/>
                <w:kern w:val="0"/>
                <w:sz w:val="21"/>
                <w:szCs w:val="21"/>
              </w:rPr>
              <w:t>顶锤式凿岩台车</w:t>
            </w:r>
          </w:p>
        </w:tc>
        <w:tc>
          <w:tcPr>
            <w:tcW w:w="264" w:type="pct"/>
            <w:tcBorders>
              <w:top w:val="single" w:color="000000" w:sz="4" w:space="0"/>
              <w:left w:val="single" w:color="000000" w:sz="4" w:space="0"/>
              <w:bottom w:val="single" w:color="000000" w:sz="4" w:space="0"/>
              <w:right w:val="single" w:color="000000" w:sz="4" w:space="0"/>
            </w:tcBorders>
            <w:vAlign w:val="center"/>
          </w:tcPr>
          <w:p w14:paraId="6E6F963D">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49E39074">
            <w:pPr>
              <w:widowControl/>
              <w:adjustRightInd w:val="0"/>
              <w:snapToGrid w:val="0"/>
              <w:spacing w:line="240" w:lineRule="auto"/>
              <w:ind w:firstLine="0" w:firstLineChars="0"/>
              <w:jc w:val="center"/>
              <w:rPr>
                <w:w w:val="90"/>
                <w:kern w:val="0"/>
                <w:sz w:val="21"/>
                <w:szCs w:val="21"/>
              </w:rPr>
            </w:pPr>
            <w:r>
              <w:rPr>
                <w:w w:val="90"/>
                <w:kern w:val="0"/>
                <w:sz w:val="21"/>
                <w:szCs w:val="21"/>
              </w:rPr>
              <w:t>8</w:t>
            </w:r>
          </w:p>
        </w:tc>
        <w:tc>
          <w:tcPr>
            <w:tcW w:w="528" w:type="pct"/>
            <w:tcBorders>
              <w:top w:val="single" w:color="000000" w:sz="4" w:space="0"/>
              <w:left w:val="single" w:color="000000" w:sz="4" w:space="0"/>
              <w:bottom w:val="single" w:color="000000" w:sz="4" w:space="0"/>
              <w:right w:val="single" w:color="000000" w:sz="4" w:space="0"/>
            </w:tcBorders>
            <w:vAlign w:val="center"/>
          </w:tcPr>
          <w:p w14:paraId="3A299A5E">
            <w:pPr>
              <w:widowControl/>
              <w:adjustRightInd w:val="0"/>
              <w:snapToGrid w:val="0"/>
              <w:spacing w:line="240" w:lineRule="auto"/>
              <w:ind w:firstLine="0" w:firstLineChars="0"/>
              <w:jc w:val="center"/>
              <w:rPr>
                <w:w w:val="90"/>
                <w:kern w:val="0"/>
                <w:sz w:val="21"/>
                <w:szCs w:val="21"/>
              </w:rPr>
            </w:pPr>
            <w:r>
              <w:rPr>
                <w:w w:val="90"/>
                <w:kern w:val="0"/>
                <w:sz w:val="21"/>
                <w:szCs w:val="21"/>
              </w:rPr>
              <w:t>55</w:t>
            </w:r>
          </w:p>
        </w:tc>
        <w:tc>
          <w:tcPr>
            <w:tcW w:w="467" w:type="pct"/>
            <w:tcBorders>
              <w:top w:val="single" w:color="000000" w:sz="4" w:space="0"/>
              <w:left w:val="single" w:color="000000" w:sz="4" w:space="0"/>
              <w:bottom w:val="single" w:color="000000" w:sz="4" w:space="0"/>
              <w:right w:val="single" w:color="000000" w:sz="4" w:space="0"/>
            </w:tcBorders>
            <w:vAlign w:val="center"/>
          </w:tcPr>
          <w:p w14:paraId="6913D506">
            <w:pPr>
              <w:widowControl/>
              <w:adjustRightInd w:val="0"/>
              <w:snapToGrid w:val="0"/>
              <w:spacing w:line="240" w:lineRule="auto"/>
              <w:ind w:firstLine="0" w:firstLineChars="0"/>
              <w:jc w:val="center"/>
              <w:rPr>
                <w:w w:val="90"/>
                <w:kern w:val="0"/>
                <w:sz w:val="21"/>
                <w:szCs w:val="21"/>
              </w:rPr>
            </w:pPr>
            <w:r>
              <w:rPr>
                <w:w w:val="90"/>
                <w:kern w:val="0"/>
                <w:sz w:val="21"/>
                <w:szCs w:val="21"/>
              </w:rPr>
              <w:t>440</w:t>
            </w:r>
          </w:p>
        </w:tc>
        <w:tc>
          <w:tcPr>
            <w:tcW w:w="395" w:type="pct"/>
            <w:tcBorders>
              <w:top w:val="single" w:color="000000" w:sz="4" w:space="0"/>
              <w:left w:val="single" w:color="000000" w:sz="4" w:space="0"/>
              <w:bottom w:val="single" w:color="000000" w:sz="4" w:space="0"/>
              <w:right w:val="single" w:color="000000" w:sz="4" w:space="0"/>
            </w:tcBorders>
            <w:vAlign w:val="center"/>
          </w:tcPr>
          <w:p w14:paraId="38E02EF5">
            <w:pPr>
              <w:widowControl/>
              <w:adjustRightInd w:val="0"/>
              <w:snapToGrid w:val="0"/>
              <w:spacing w:line="240" w:lineRule="auto"/>
              <w:ind w:firstLine="0" w:firstLineChars="0"/>
              <w:jc w:val="center"/>
              <w:rPr>
                <w:w w:val="90"/>
                <w:kern w:val="0"/>
                <w:sz w:val="21"/>
                <w:szCs w:val="21"/>
              </w:rPr>
            </w:pPr>
            <w:r>
              <w:rPr>
                <w:w w:val="90"/>
                <w:kern w:val="0"/>
                <w:sz w:val="21"/>
                <w:szCs w:val="21"/>
              </w:rPr>
              <w:t>1</w:t>
            </w:r>
          </w:p>
        </w:tc>
        <w:tc>
          <w:tcPr>
            <w:tcW w:w="721" w:type="pct"/>
            <w:tcBorders>
              <w:top w:val="single" w:color="000000" w:sz="4" w:space="0"/>
              <w:left w:val="single" w:color="000000" w:sz="4" w:space="0"/>
              <w:bottom w:val="single" w:color="000000" w:sz="4" w:space="0"/>
              <w:right w:val="single" w:color="000000" w:sz="4" w:space="0"/>
            </w:tcBorders>
            <w:vAlign w:val="center"/>
          </w:tcPr>
          <w:p w14:paraId="0B763670">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1131A76">
            <w:pPr>
              <w:widowControl/>
              <w:adjustRightInd w:val="0"/>
              <w:snapToGrid w:val="0"/>
              <w:spacing w:line="240" w:lineRule="auto"/>
              <w:ind w:firstLine="0" w:firstLineChars="0"/>
              <w:jc w:val="center"/>
              <w:rPr>
                <w:w w:val="90"/>
                <w:kern w:val="0"/>
                <w:sz w:val="21"/>
                <w:szCs w:val="21"/>
              </w:rPr>
            </w:pPr>
            <w:r>
              <w:rPr>
                <w:w w:val="90"/>
                <w:kern w:val="0"/>
                <w:sz w:val="21"/>
                <w:szCs w:val="21"/>
              </w:rPr>
              <w:t>29.3</w:t>
            </w:r>
          </w:p>
        </w:tc>
      </w:tr>
      <w:tr w14:paraId="4C4B1ED8">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2894C16A">
            <w:pPr>
              <w:widowControl/>
              <w:adjustRightInd w:val="0"/>
              <w:snapToGrid w:val="0"/>
              <w:spacing w:line="240" w:lineRule="auto"/>
              <w:ind w:firstLine="0" w:firstLineChars="0"/>
              <w:jc w:val="center"/>
              <w:rPr>
                <w:w w:val="90"/>
                <w:kern w:val="0"/>
                <w:sz w:val="21"/>
                <w:szCs w:val="21"/>
              </w:rPr>
            </w:pPr>
            <w:r>
              <w:rPr>
                <w:w w:val="90"/>
                <w:kern w:val="0"/>
                <w:sz w:val="21"/>
                <w:szCs w:val="21"/>
              </w:rPr>
              <w:t>2</w:t>
            </w:r>
          </w:p>
        </w:tc>
        <w:tc>
          <w:tcPr>
            <w:tcW w:w="1593" w:type="pct"/>
            <w:tcBorders>
              <w:top w:val="single" w:color="000000" w:sz="4" w:space="0"/>
              <w:left w:val="single" w:color="000000" w:sz="4" w:space="0"/>
              <w:bottom w:val="single" w:color="000000" w:sz="4" w:space="0"/>
              <w:right w:val="single" w:color="000000" w:sz="4" w:space="0"/>
            </w:tcBorders>
            <w:vAlign w:val="center"/>
          </w:tcPr>
          <w:p w14:paraId="6DCCCF3B">
            <w:pPr>
              <w:widowControl/>
              <w:adjustRightInd w:val="0"/>
              <w:snapToGrid w:val="0"/>
              <w:spacing w:line="240" w:lineRule="auto"/>
              <w:ind w:firstLine="0" w:firstLineChars="0"/>
              <w:jc w:val="center"/>
              <w:rPr>
                <w:w w:val="90"/>
                <w:kern w:val="0"/>
                <w:sz w:val="21"/>
                <w:szCs w:val="21"/>
              </w:rPr>
            </w:pPr>
            <w:r>
              <w:rPr>
                <w:w w:val="90"/>
                <w:kern w:val="0"/>
                <w:sz w:val="21"/>
                <w:szCs w:val="21"/>
              </w:rPr>
              <w:t>BoomerK111</w:t>
            </w:r>
            <w:r>
              <w:rPr>
                <w:rFonts w:hint="eastAsia"/>
                <w:w w:val="90"/>
                <w:kern w:val="0"/>
                <w:sz w:val="21"/>
                <w:szCs w:val="21"/>
              </w:rPr>
              <w:t>掘进凿岩台车</w:t>
            </w:r>
          </w:p>
        </w:tc>
        <w:tc>
          <w:tcPr>
            <w:tcW w:w="264" w:type="pct"/>
            <w:tcBorders>
              <w:top w:val="single" w:color="000000" w:sz="4" w:space="0"/>
              <w:left w:val="single" w:color="000000" w:sz="4" w:space="0"/>
              <w:bottom w:val="single" w:color="000000" w:sz="4" w:space="0"/>
              <w:right w:val="single" w:color="000000" w:sz="4" w:space="0"/>
            </w:tcBorders>
            <w:vAlign w:val="center"/>
          </w:tcPr>
          <w:p w14:paraId="6536EE76">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07671198">
            <w:pPr>
              <w:widowControl/>
              <w:adjustRightInd w:val="0"/>
              <w:snapToGrid w:val="0"/>
              <w:spacing w:line="240" w:lineRule="auto"/>
              <w:ind w:firstLine="0" w:firstLineChars="0"/>
              <w:jc w:val="center"/>
              <w:rPr>
                <w:w w:val="90"/>
                <w:kern w:val="0"/>
                <w:sz w:val="21"/>
                <w:szCs w:val="21"/>
              </w:rPr>
            </w:pPr>
            <w:r>
              <w:rPr>
                <w:w w:val="90"/>
                <w:kern w:val="0"/>
                <w:sz w:val="21"/>
                <w:szCs w:val="21"/>
              </w:rPr>
              <w:t>8</w:t>
            </w:r>
          </w:p>
        </w:tc>
        <w:tc>
          <w:tcPr>
            <w:tcW w:w="528" w:type="pct"/>
            <w:tcBorders>
              <w:top w:val="single" w:color="000000" w:sz="4" w:space="0"/>
              <w:left w:val="single" w:color="000000" w:sz="4" w:space="0"/>
              <w:bottom w:val="single" w:color="000000" w:sz="4" w:space="0"/>
              <w:right w:val="single" w:color="000000" w:sz="4" w:space="0"/>
            </w:tcBorders>
            <w:vAlign w:val="center"/>
          </w:tcPr>
          <w:p w14:paraId="181A96D7">
            <w:pPr>
              <w:widowControl/>
              <w:adjustRightInd w:val="0"/>
              <w:snapToGrid w:val="0"/>
              <w:spacing w:line="240" w:lineRule="auto"/>
              <w:ind w:firstLine="0" w:firstLineChars="0"/>
              <w:jc w:val="center"/>
              <w:rPr>
                <w:w w:val="90"/>
                <w:kern w:val="0"/>
                <w:sz w:val="21"/>
                <w:szCs w:val="21"/>
              </w:rPr>
            </w:pPr>
            <w:r>
              <w:rPr>
                <w:w w:val="90"/>
                <w:kern w:val="0"/>
                <w:sz w:val="21"/>
                <w:szCs w:val="21"/>
              </w:rPr>
              <w:t>52</w:t>
            </w:r>
          </w:p>
        </w:tc>
        <w:tc>
          <w:tcPr>
            <w:tcW w:w="467" w:type="pct"/>
            <w:tcBorders>
              <w:top w:val="single" w:color="000000" w:sz="4" w:space="0"/>
              <w:left w:val="single" w:color="000000" w:sz="4" w:space="0"/>
              <w:bottom w:val="single" w:color="000000" w:sz="4" w:space="0"/>
              <w:right w:val="single" w:color="000000" w:sz="4" w:space="0"/>
            </w:tcBorders>
            <w:vAlign w:val="center"/>
          </w:tcPr>
          <w:p w14:paraId="4F19666F">
            <w:pPr>
              <w:widowControl/>
              <w:adjustRightInd w:val="0"/>
              <w:snapToGrid w:val="0"/>
              <w:spacing w:line="240" w:lineRule="auto"/>
              <w:ind w:firstLine="0" w:firstLineChars="0"/>
              <w:jc w:val="center"/>
              <w:rPr>
                <w:w w:val="90"/>
                <w:kern w:val="0"/>
                <w:sz w:val="21"/>
                <w:szCs w:val="21"/>
              </w:rPr>
            </w:pPr>
            <w:r>
              <w:rPr>
                <w:w w:val="90"/>
                <w:kern w:val="0"/>
                <w:sz w:val="21"/>
                <w:szCs w:val="21"/>
              </w:rPr>
              <w:t>416</w:t>
            </w:r>
          </w:p>
        </w:tc>
        <w:tc>
          <w:tcPr>
            <w:tcW w:w="395" w:type="pct"/>
            <w:tcBorders>
              <w:top w:val="single" w:color="000000" w:sz="4" w:space="0"/>
              <w:left w:val="single" w:color="000000" w:sz="4" w:space="0"/>
              <w:bottom w:val="single" w:color="000000" w:sz="4" w:space="0"/>
              <w:right w:val="single" w:color="000000" w:sz="4" w:space="0"/>
            </w:tcBorders>
            <w:vAlign w:val="center"/>
          </w:tcPr>
          <w:p w14:paraId="1C7B903C">
            <w:pPr>
              <w:widowControl/>
              <w:adjustRightInd w:val="0"/>
              <w:snapToGrid w:val="0"/>
              <w:spacing w:line="240" w:lineRule="auto"/>
              <w:ind w:firstLine="0" w:firstLineChars="0"/>
              <w:jc w:val="center"/>
              <w:rPr>
                <w:w w:val="90"/>
                <w:kern w:val="0"/>
                <w:sz w:val="21"/>
                <w:szCs w:val="21"/>
              </w:rPr>
            </w:pPr>
            <w:r>
              <w:rPr>
                <w:w w:val="90"/>
                <w:kern w:val="0"/>
                <w:sz w:val="21"/>
                <w:szCs w:val="21"/>
              </w:rPr>
              <w:t>1</w:t>
            </w:r>
          </w:p>
        </w:tc>
        <w:tc>
          <w:tcPr>
            <w:tcW w:w="721" w:type="pct"/>
            <w:tcBorders>
              <w:top w:val="single" w:color="000000" w:sz="4" w:space="0"/>
              <w:left w:val="single" w:color="000000" w:sz="4" w:space="0"/>
              <w:bottom w:val="single" w:color="000000" w:sz="4" w:space="0"/>
              <w:right w:val="single" w:color="000000" w:sz="4" w:space="0"/>
            </w:tcBorders>
            <w:vAlign w:val="center"/>
          </w:tcPr>
          <w:p w14:paraId="4B591474">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33728AFF">
            <w:pPr>
              <w:widowControl/>
              <w:adjustRightInd w:val="0"/>
              <w:snapToGrid w:val="0"/>
              <w:spacing w:line="240" w:lineRule="auto"/>
              <w:ind w:firstLine="0" w:firstLineChars="0"/>
              <w:jc w:val="center"/>
              <w:rPr>
                <w:w w:val="90"/>
                <w:kern w:val="0"/>
                <w:sz w:val="21"/>
                <w:szCs w:val="21"/>
              </w:rPr>
            </w:pPr>
            <w:r>
              <w:rPr>
                <w:w w:val="90"/>
                <w:kern w:val="0"/>
                <w:sz w:val="21"/>
                <w:szCs w:val="21"/>
              </w:rPr>
              <w:t>27.7</w:t>
            </w:r>
          </w:p>
        </w:tc>
      </w:tr>
      <w:tr w14:paraId="5E6C2258">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78EB25DF">
            <w:pPr>
              <w:widowControl/>
              <w:adjustRightInd w:val="0"/>
              <w:snapToGrid w:val="0"/>
              <w:spacing w:line="240" w:lineRule="auto"/>
              <w:ind w:firstLine="0" w:firstLineChars="0"/>
              <w:jc w:val="center"/>
              <w:rPr>
                <w:w w:val="90"/>
                <w:kern w:val="0"/>
                <w:sz w:val="21"/>
                <w:szCs w:val="21"/>
              </w:rPr>
            </w:pPr>
            <w:r>
              <w:rPr>
                <w:w w:val="90"/>
                <w:kern w:val="0"/>
                <w:sz w:val="21"/>
                <w:szCs w:val="21"/>
              </w:rPr>
              <w:t>3</w:t>
            </w:r>
          </w:p>
        </w:tc>
        <w:tc>
          <w:tcPr>
            <w:tcW w:w="1593" w:type="pct"/>
            <w:tcBorders>
              <w:top w:val="single" w:color="000000" w:sz="4" w:space="0"/>
              <w:left w:val="single" w:color="000000" w:sz="4" w:space="0"/>
              <w:bottom w:val="single" w:color="000000" w:sz="4" w:space="0"/>
              <w:right w:val="single" w:color="000000" w:sz="4" w:space="0"/>
            </w:tcBorders>
            <w:vAlign w:val="center"/>
          </w:tcPr>
          <w:p w14:paraId="7018E14E">
            <w:pPr>
              <w:widowControl/>
              <w:adjustRightInd w:val="0"/>
              <w:snapToGrid w:val="0"/>
              <w:spacing w:line="240" w:lineRule="auto"/>
              <w:ind w:firstLine="0" w:firstLineChars="0"/>
              <w:jc w:val="center"/>
              <w:rPr>
                <w:w w:val="90"/>
                <w:kern w:val="0"/>
                <w:sz w:val="21"/>
                <w:szCs w:val="21"/>
              </w:rPr>
            </w:pPr>
            <w:r>
              <w:rPr>
                <w:w w:val="90"/>
                <w:kern w:val="0"/>
                <w:sz w:val="21"/>
                <w:szCs w:val="21"/>
              </w:rPr>
              <w:t>4m</w:t>
            </w:r>
            <w:r>
              <w:rPr>
                <w:w w:val="90"/>
                <w:kern w:val="0"/>
                <w:sz w:val="21"/>
                <w:szCs w:val="21"/>
                <w:vertAlign w:val="superscript"/>
              </w:rPr>
              <w:t>3</w:t>
            </w:r>
            <w:r>
              <w:rPr>
                <w:rFonts w:hint="eastAsia"/>
                <w:w w:val="90"/>
                <w:kern w:val="0"/>
                <w:sz w:val="21"/>
                <w:szCs w:val="21"/>
              </w:rPr>
              <w:t>柴油铲运机</w:t>
            </w:r>
          </w:p>
        </w:tc>
        <w:tc>
          <w:tcPr>
            <w:tcW w:w="264" w:type="pct"/>
            <w:tcBorders>
              <w:top w:val="single" w:color="000000" w:sz="4" w:space="0"/>
              <w:left w:val="single" w:color="000000" w:sz="4" w:space="0"/>
              <w:bottom w:val="single" w:color="000000" w:sz="4" w:space="0"/>
              <w:right w:val="single" w:color="000000" w:sz="4" w:space="0"/>
            </w:tcBorders>
            <w:vAlign w:val="center"/>
          </w:tcPr>
          <w:p w14:paraId="058872F0">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5EAE0F91">
            <w:pPr>
              <w:widowControl/>
              <w:adjustRightInd w:val="0"/>
              <w:snapToGrid w:val="0"/>
              <w:spacing w:line="240" w:lineRule="auto"/>
              <w:ind w:firstLine="0" w:firstLineChars="0"/>
              <w:jc w:val="center"/>
              <w:rPr>
                <w:w w:val="90"/>
                <w:kern w:val="0"/>
                <w:sz w:val="21"/>
                <w:szCs w:val="21"/>
              </w:rPr>
            </w:pPr>
            <w:r>
              <w:rPr>
                <w:w w:val="90"/>
                <w:kern w:val="0"/>
                <w:sz w:val="21"/>
                <w:szCs w:val="21"/>
              </w:rPr>
              <w:t>4</w:t>
            </w:r>
          </w:p>
        </w:tc>
        <w:tc>
          <w:tcPr>
            <w:tcW w:w="528" w:type="pct"/>
            <w:tcBorders>
              <w:top w:val="single" w:color="000000" w:sz="4" w:space="0"/>
              <w:left w:val="single" w:color="000000" w:sz="4" w:space="0"/>
              <w:bottom w:val="single" w:color="000000" w:sz="4" w:space="0"/>
              <w:right w:val="single" w:color="000000" w:sz="4" w:space="0"/>
            </w:tcBorders>
            <w:vAlign w:val="center"/>
          </w:tcPr>
          <w:p w14:paraId="56981839">
            <w:pPr>
              <w:widowControl/>
              <w:adjustRightInd w:val="0"/>
              <w:snapToGrid w:val="0"/>
              <w:spacing w:line="240" w:lineRule="auto"/>
              <w:ind w:firstLine="0" w:firstLineChars="0"/>
              <w:jc w:val="center"/>
              <w:rPr>
                <w:w w:val="90"/>
                <w:kern w:val="0"/>
                <w:sz w:val="21"/>
                <w:szCs w:val="21"/>
              </w:rPr>
            </w:pPr>
            <w:r>
              <w:rPr>
                <w:w w:val="90"/>
                <w:kern w:val="0"/>
                <w:sz w:val="21"/>
                <w:szCs w:val="21"/>
              </w:rPr>
              <w:t>224</w:t>
            </w:r>
          </w:p>
        </w:tc>
        <w:tc>
          <w:tcPr>
            <w:tcW w:w="467" w:type="pct"/>
            <w:tcBorders>
              <w:top w:val="single" w:color="000000" w:sz="4" w:space="0"/>
              <w:left w:val="single" w:color="000000" w:sz="4" w:space="0"/>
              <w:bottom w:val="single" w:color="000000" w:sz="4" w:space="0"/>
              <w:right w:val="single" w:color="000000" w:sz="4" w:space="0"/>
            </w:tcBorders>
            <w:vAlign w:val="center"/>
          </w:tcPr>
          <w:p w14:paraId="23E627CA">
            <w:pPr>
              <w:widowControl/>
              <w:adjustRightInd w:val="0"/>
              <w:snapToGrid w:val="0"/>
              <w:spacing w:line="240" w:lineRule="auto"/>
              <w:ind w:firstLine="0" w:firstLineChars="0"/>
              <w:jc w:val="center"/>
              <w:rPr>
                <w:w w:val="90"/>
                <w:kern w:val="0"/>
                <w:sz w:val="21"/>
                <w:szCs w:val="21"/>
              </w:rPr>
            </w:pPr>
            <w:r>
              <w:rPr>
                <w:w w:val="90"/>
                <w:kern w:val="0"/>
                <w:sz w:val="21"/>
                <w:szCs w:val="21"/>
              </w:rPr>
              <w:t>896</w:t>
            </w:r>
          </w:p>
        </w:tc>
        <w:tc>
          <w:tcPr>
            <w:tcW w:w="395" w:type="pct"/>
            <w:tcBorders>
              <w:top w:val="single" w:color="000000" w:sz="4" w:space="0"/>
              <w:left w:val="single" w:color="000000" w:sz="4" w:space="0"/>
              <w:bottom w:val="single" w:color="000000" w:sz="4" w:space="0"/>
              <w:right w:val="single" w:color="000000" w:sz="4" w:space="0"/>
            </w:tcBorders>
            <w:vAlign w:val="center"/>
          </w:tcPr>
          <w:p w14:paraId="4F912522">
            <w:pPr>
              <w:widowControl/>
              <w:adjustRightInd w:val="0"/>
              <w:snapToGrid w:val="0"/>
              <w:spacing w:line="240" w:lineRule="auto"/>
              <w:ind w:firstLine="0" w:firstLineChars="0"/>
              <w:jc w:val="center"/>
              <w:rPr>
                <w:w w:val="90"/>
                <w:kern w:val="0"/>
                <w:sz w:val="21"/>
                <w:szCs w:val="21"/>
              </w:rPr>
            </w:pPr>
            <w:r>
              <w:rPr>
                <w:w w:val="90"/>
                <w:kern w:val="0"/>
                <w:sz w:val="21"/>
                <w:szCs w:val="21"/>
              </w:rPr>
              <w:t>1</w:t>
            </w:r>
          </w:p>
        </w:tc>
        <w:tc>
          <w:tcPr>
            <w:tcW w:w="721" w:type="pct"/>
            <w:tcBorders>
              <w:top w:val="single" w:color="000000" w:sz="4" w:space="0"/>
              <w:left w:val="single" w:color="000000" w:sz="4" w:space="0"/>
              <w:bottom w:val="single" w:color="000000" w:sz="4" w:space="0"/>
              <w:right w:val="single" w:color="000000" w:sz="4" w:space="0"/>
            </w:tcBorders>
            <w:vAlign w:val="center"/>
          </w:tcPr>
          <w:p w14:paraId="0E4A5E66">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61428C0">
            <w:pPr>
              <w:widowControl/>
              <w:adjustRightInd w:val="0"/>
              <w:snapToGrid w:val="0"/>
              <w:spacing w:line="240" w:lineRule="auto"/>
              <w:ind w:firstLine="0" w:firstLineChars="0"/>
              <w:jc w:val="center"/>
              <w:rPr>
                <w:w w:val="90"/>
                <w:kern w:val="0"/>
                <w:sz w:val="21"/>
                <w:szCs w:val="21"/>
              </w:rPr>
            </w:pPr>
            <w:r>
              <w:rPr>
                <w:w w:val="90"/>
                <w:kern w:val="0"/>
                <w:sz w:val="21"/>
                <w:szCs w:val="21"/>
              </w:rPr>
              <w:t>59.7</w:t>
            </w:r>
          </w:p>
        </w:tc>
      </w:tr>
      <w:tr w14:paraId="570DB913">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756E6694">
            <w:pPr>
              <w:widowControl/>
              <w:adjustRightInd w:val="0"/>
              <w:snapToGrid w:val="0"/>
              <w:spacing w:line="240" w:lineRule="auto"/>
              <w:ind w:firstLine="0" w:firstLineChars="0"/>
              <w:jc w:val="center"/>
              <w:rPr>
                <w:w w:val="90"/>
                <w:kern w:val="0"/>
                <w:sz w:val="21"/>
                <w:szCs w:val="21"/>
              </w:rPr>
            </w:pPr>
            <w:r>
              <w:rPr>
                <w:w w:val="90"/>
                <w:kern w:val="0"/>
                <w:sz w:val="21"/>
                <w:szCs w:val="21"/>
              </w:rPr>
              <w:t>4</w:t>
            </w:r>
          </w:p>
        </w:tc>
        <w:tc>
          <w:tcPr>
            <w:tcW w:w="1593" w:type="pct"/>
            <w:tcBorders>
              <w:top w:val="single" w:color="000000" w:sz="4" w:space="0"/>
              <w:left w:val="single" w:color="000000" w:sz="4" w:space="0"/>
              <w:bottom w:val="single" w:color="000000" w:sz="4" w:space="0"/>
              <w:right w:val="single" w:color="000000" w:sz="4" w:space="0"/>
            </w:tcBorders>
            <w:vAlign w:val="center"/>
          </w:tcPr>
          <w:p w14:paraId="27622916">
            <w:pPr>
              <w:widowControl/>
              <w:adjustRightInd w:val="0"/>
              <w:snapToGrid w:val="0"/>
              <w:spacing w:line="240" w:lineRule="auto"/>
              <w:ind w:firstLine="0" w:firstLineChars="0"/>
              <w:jc w:val="center"/>
              <w:rPr>
                <w:w w:val="90"/>
                <w:kern w:val="0"/>
                <w:sz w:val="21"/>
                <w:szCs w:val="21"/>
              </w:rPr>
            </w:pPr>
            <w:r>
              <w:rPr>
                <w:w w:val="90"/>
                <w:kern w:val="0"/>
                <w:sz w:val="21"/>
                <w:szCs w:val="21"/>
              </w:rPr>
              <w:t>2m3</w:t>
            </w:r>
            <w:r>
              <w:rPr>
                <w:rFonts w:hint="eastAsia"/>
                <w:w w:val="90"/>
                <w:kern w:val="0"/>
                <w:sz w:val="21"/>
                <w:szCs w:val="21"/>
              </w:rPr>
              <w:t>柴油铲运机</w:t>
            </w:r>
          </w:p>
        </w:tc>
        <w:tc>
          <w:tcPr>
            <w:tcW w:w="264" w:type="pct"/>
            <w:tcBorders>
              <w:top w:val="single" w:color="000000" w:sz="4" w:space="0"/>
              <w:left w:val="single" w:color="000000" w:sz="4" w:space="0"/>
              <w:bottom w:val="single" w:color="000000" w:sz="4" w:space="0"/>
              <w:right w:val="single" w:color="000000" w:sz="4" w:space="0"/>
            </w:tcBorders>
            <w:vAlign w:val="center"/>
          </w:tcPr>
          <w:p w14:paraId="7BCF0B6D">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50F65E04">
            <w:pPr>
              <w:widowControl/>
              <w:adjustRightInd w:val="0"/>
              <w:snapToGrid w:val="0"/>
              <w:spacing w:line="240" w:lineRule="auto"/>
              <w:ind w:firstLine="0" w:firstLineChars="0"/>
              <w:jc w:val="center"/>
              <w:rPr>
                <w:w w:val="90"/>
                <w:kern w:val="0"/>
                <w:sz w:val="21"/>
                <w:szCs w:val="21"/>
              </w:rPr>
            </w:pPr>
            <w:r>
              <w:rPr>
                <w:w w:val="90"/>
                <w:kern w:val="0"/>
                <w:sz w:val="21"/>
                <w:szCs w:val="21"/>
              </w:rPr>
              <w:t>6</w:t>
            </w:r>
          </w:p>
        </w:tc>
        <w:tc>
          <w:tcPr>
            <w:tcW w:w="528" w:type="pct"/>
            <w:tcBorders>
              <w:top w:val="single" w:color="000000" w:sz="4" w:space="0"/>
              <w:left w:val="single" w:color="000000" w:sz="4" w:space="0"/>
              <w:bottom w:val="single" w:color="000000" w:sz="4" w:space="0"/>
              <w:right w:val="single" w:color="000000" w:sz="4" w:space="0"/>
            </w:tcBorders>
            <w:vAlign w:val="center"/>
          </w:tcPr>
          <w:p w14:paraId="16819E64">
            <w:pPr>
              <w:widowControl/>
              <w:adjustRightInd w:val="0"/>
              <w:snapToGrid w:val="0"/>
              <w:spacing w:line="240" w:lineRule="auto"/>
              <w:ind w:firstLine="0" w:firstLineChars="0"/>
              <w:jc w:val="center"/>
              <w:rPr>
                <w:w w:val="90"/>
                <w:kern w:val="0"/>
                <w:sz w:val="21"/>
                <w:szCs w:val="21"/>
              </w:rPr>
            </w:pPr>
            <w:r>
              <w:rPr>
                <w:w w:val="90"/>
                <w:kern w:val="0"/>
                <w:sz w:val="21"/>
                <w:szCs w:val="21"/>
              </w:rPr>
              <w:t>84</w:t>
            </w:r>
          </w:p>
        </w:tc>
        <w:tc>
          <w:tcPr>
            <w:tcW w:w="467" w:type="pct"/>
            <w:tcBorders>
              <w:top w:val="single" w:color="000000" w:sz="4" w:space="0"/>
              <w:left w:val="single" w:color="000000" w:sz="4" w:space="0"/>
              <w:bottom w:val="single" w:color="000000" w:sz="4" w:space="0"/>
              <w:right w:val="single" w:color="000000" w:sz="4" w:space="0"/>
            </w:tcBorders>
            <w:vAlign w:val="center"/>
          </w:tcPr>
          <w:p w14:paraId="05A61B21">
            <w:pPr>
              <w:widowControl/>
              <w:adjustRightInd w:val="0"/>
              <w:snapToGrid w:val="0"/>
              <w:spacing w:line="240" w:lineRule="auto"/>
              <w:ind w:firstLine="0" w:firstLineChars="0"/>
              <w:jc w:val="center"/>
              <w:rPr>
                <w:w w:val="90"/>
                <w:kern w:val="0"/>
                <w:sz w:val="21"/>
                <w:szCs w:val="21"/>
              </w:rPr>
            </w:pPr>
            <w:r>
              <w:rPr>
                <w:w w:val="90"/>
                <w:kern w:val="0"/>
                <w:sz w:val="21"/>
                <w:szCs w:val="21"/>
              </w:rPr>
              <w:t>504</w:t>
            </w:r>
          </w:p>
        </w:tc>
        <w:tc>
          <w:tcPr>
            <w:tcW w:w="395" w:type="pct"/>
            <w:tcBorders>
              <w:top w:val="single" w:color="000000" w:sz="4" w:space="0"/>
              <w:left w:val="single" w:color="000000" w:sz="4" w:space="0"/>
              <w:bottom w:val="single" w:color="000000" w:sz="4" w:space="0"/>
              <w:right w:val="single" w:color="000000" w:sz="4" w:space="0"/>
            </w:tcBorders>
            <w:vAlign w:val="center"/>
          </w:tcPr>
          <w:p w14:paraId="506B6853">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438E1FDA">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3E68D705">
            <w:pPr>
              <w:widowControl/>
              <w:adjustRightInd w:val="0"/>
              <w:snapToGrid w:val="0"/>
              <w:spacing w:line="240" w:lineRule="auto"/>
              <w:ind w:firstLine="0" w:firstLineChars="0"/>
              <w:jc w:val="center"/>
              <w:rPr>
                <w:w w:val="90"/>
                <w:kern w:val="0"/>
                <w:sz w:val="21"/>
                <w:szCs w:val="21"/>
              </w:rPr>
            </w:pPr>
            <w:r>
              <w:rPr>
                <w:w w:val="90"/>
                <w:kern w:val="0"/>
                <w:sz w:val="21"/>
                <w:szCs w:val="21"/>
              </w:rPr>
              <w:t>16.8</w:t>
            </w:r>
          </w:p>
        </w:tc>
      </w:tr>
      <w:tr w14:paraId="78535F1B">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4481FB13">
            <w:pPr>
              <w:widowControl/>
              <w:adjustRightInd w:val="0"/>
              <w:snapToGrid w:val="0"/>
              <w:spacing w:line="240" w:lineRule="auto"/>
              <w:ind w:firstLine="0" w:firstLineChars="0"/>
              <w:jc w:val="center"/>
              <w:rPr>
                <w:w w:val="90"/>
                <w:kern w:val="0"/>
                <w:sz w:val="21"/>
                <w:szCs w:val="21"/>
              </w:rPr>
            </w:pPr>
            <w:r>
              <w:rPr>
                <w:w w:val="90"/>
                <w:kern w:val="0"/>
                <w:sz w:val="21"/>
                <w:szCs w:val="21"/>
              </w:rPr>
              <w:t>5</w:t>
            </w:r>
          </w:p>
        </w:tc>
        <w:tc>
          <w:tcPr>
            <w:tcW w:w="1593" w:type="pct"/>
            <w:tcBorders>
              <w:top w:val="single" w:color="000000" w:sz="4" w:space="0"/>
              <w:left w:val="single" w:color="000000" w:sz="4" w:space="0"/>
              <w:bottom w:val="single" w:color="000000" w:sz="4" w:space="0"/>
              <w:right w:val="single" w:color="000000" w:sz="4" w:space="0"/>
            </w:tcBorders>
            <w:vAlign w:val="center"/>
          </w:tcPr>
          <w:p w14:paraId="4989D454">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FCB-5爆破器材运输车</w:t>
            </w:r>
          </w:p>
        </w:tc>
        <w:tc>
          <w:tcPr>
            <w:tcW w:w="264" w:type="pct"/>
            <w:tcBorders>
              <w:top w:val="single" w:color="000000" w:sz="4" w:space="0"/>
              <w:left w:val="single" w:color="000000" w:sz="4" w:space="0"/>
              <w:bottom w:val="single" w:color="000000" w:sz="4" w:space="0"/>
              <w:right w:val="single" w:color="000000" w:sz="4" w:space="0"/>
            </w:tcBorders>
            <w:vAlign w:val="center"/>
          </w:tcPr>
          <w:p w14:paraId="47A37ED8">
            <w:pPr>
              <w:widowControl/>
              <w:adjustRightInd w:val="0"/>
              <w:snapToGrid w:val="0"/>
              <w:spacing w:line="240" w:lineRule="auto"/>
              <w:ind w:firstLine="0" w:firstLineChars="0"/>
              <w:jc w:val="center"/>
              <w:rPr>
                <w:w w:val="90"/>
                <w:kern w:val="0"/>
                <w:sz w:val="21"/>
                <w:szCs w:val="21"/>
              </w:rPr>
            </w:pPr>
            <w:r>
              <w:rPr>
                <w:w w:val="90"/>
                <w:kern w:val="0"/>
                <w:sz w:val="21"/>
                <w:szCs w:val="21"/>
              </w:rPr>
              <w:t>辆</w:t>
            </w:r>
          </w:p>
        </w:tc>
        <w:tc>
          <w:tcPr>
            <w:tcW w:w="264" w:type="pct"/>
            <w:tcBorders>
              <w:top w:val="single" w:color="000000" w:sz="4" w:space="0"/>
              <w:left w:val="single" w:color="000000" w:sz="4" w:space="0"/>
              <w:bottom w:val="single" w:color="000000" w:sz="4" w:space="0"/>
              <w:right w:val="single" w:color="000000" w:sz="4" w:space="0"/>
            </w:tcBorders>
            <w:vAlign w:val="center"/>
          </w:tcPr>
          <w:p w14:paraId="6646069F">
            <w:pPr>
              <w:widowControl/>
              <w:adjustRightInd w:val="0"/>
              <w:snapToGrid w:val="0"/>
              <w:spacing w:line="240" w:lineRule="auto"/>
              <w:ind w:firstLine="0" w:firstLineChars="0"/>
              <w:jc w:val="center"/>
              <w:rPr>
                <w:w w:val="90"/>
                <w:kern w:val="0"/>
                <w:sz w:val="21"/>
                <w:szCs w:val="21"/>
              </w:rPr>
            </w:pPr>
            <w:r>
              <w:rPr>
                <w:w w:val="90"/>
                <w:kern w:val="0"/>
                <w:sz w:val="21"/>
                <w:szCs w:val="21"/>
              </w:rPr>
              <w:t>4</w:t>
            </w:r>
          </w:p>
        </w:tc>
        <w:tc>
          <w:tcPr>
            <w:tcW w:w="528" w:type="pct"/>
            <w:tcBorders>
              <w:top w:val="single" w:color="000000" w:sz="4" w:space="0"/>
              <w:left w:val="single" w:color="000000" w:sz="4" w:space="0"/>
              <w:bottom w:val="single" w:color="000000" w:sz="4" w:space="0"/>
              <w:right w:val="single" w:color="000000" w:sz="4" w:space="0"/>
            </w:tcBorders>
            <w:vAlign w:val="center"/>
          </w:tcPr>
          <w:p w14:paraId="27790005">
            <w:pPr>
              <w:widowControl/>
              <w:adjustRightInd w:val="0"/>
              <w:snapToGrid w:val="0"/>
              <w:spacing w:line="240" w:lineRule="auto"/>
              <w:ind w:firstLine="0" w:firstLineChars="0"/>
              <w:jc w:val="center"/>
              <w:rPr>
                <w:w w:val="90"/>
                <w:kern w:val="0"/>
                <w:sz w:val="21"/>
                <w:szCs w:val="21"/>
              </w:rPr>
            </w:pPr>
            <w:r>
              <w:rPr>
                <w:w w:val="90"/>
                <w:kern w:val="0"/>
                <w:sz w:val="21"/>
                <w:szCs w:val="21"/>
              </w:rPr>
              <w:t>66</w:t>
            </w:r>
          </w:p>
        </w:tc>
        <w:tc>
          <w:tcPr>
            <w:tcW w:w="467" w:type="pct"/>
            <w:tcBorders>
              <w:top w:val="single" w:color="000000" w:sz="4" w:space="0"/>
              <w:left w:val="single" w:color="000000" w:sz="4" w:space="0"/>
              <w:bottom w:val="single" w:color="000000" w:sz="4" w:space="0"/>
              <w:right w:val="single" w:color="000000" w:sz="4" w:space="0"/>
            </w:tcBorders>
            <w:vAlign w:val="center"/>
          </w:tcPr>
          <w:p w14:paraId="680275C3">
            <w:pPr>
              <w:widowControl/>
              <w:adjustRightInd w:val="0"/>
              <w:snapToGrid w:val="0"/>
              <w:spacing w:line="240" w:lineRule="auto"/>
              <w:ind w:firstLine="0" w:firstLineChars="0"/>
              <w:jc w:val="center"/>
              <w:rPr>
                <w:w w:val="90"/>
                <w:kern w:val="0"/>
                <w:sz w:val="21"/>
                <w:szCs w:val="21"/>
              </w:rPr>
            </w:pPr>
            <w:r>
              <w:rPr>
                <w:w w:val="90"/>
                <w:kern w:val="0"/>
                <w:sz w:val="21"/>
                <w:szCs w:val="21"/>
              </w:rPr>
              <w:t>264</w:t>
            </w:r>
          </w:p>
        </w:tc>
        <w:tc>
          <w:tcPr>
            <w:tcW w:w="395" w:type="pct"/>
            <w:tcBorders>
              <w:top w:val="single" w:color="000000" w:sz="4" w:space="0"/>
              <w:left w:val="single" w:color="000000" w:sz="4" w:space="0"/>
              <w:bottom w:val="single" w:color="000000" w:sz="4" w:space="0"/>
              <w:right w:val="single" w:color="000000" w:sz="4" w:space="0"/>
            </w:tcBorders>
            <w:vAlign w:val="center"/>
          </w:tcPr>
          <w:p w14:paraId="416CB1A7">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01E81828">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3FF36AC2">
            <w:pPr>
              <w:widowControl/>
              <w:adjustRightInd w:val="0"/>
              <w:snapToGrid w:val="0"/>
              <w:spacing w:line="240" w:lineRule="auto"/>
              <w:ind w:firstLine="0" w:firstLineChars="0"/>
              <w:jc w:val="center"/>
              <w:rPr>
                <w:w w:val="90"/>
                <w:kern w:val="0"/>
                <w:sz w:val="21"/>
                <w:szCs w:val="21"/>
              </w:rPr>
            </w:pPr>
            <w:r>
              <w:rPr>
                <w:w w:val="90"/>
                <w:kern w:val="0"/>
                <w:sz w:val="21"/>
                <w:szCs w:val="21"/>
              </w:rPr>
              <w:t>8.8</w:t>
            </w:r>
          </w:p>
        </w:tc>
      </w:tr>
      <w:tr w14:paraId="6B42DA5B">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31747C5B">
            <w:pPr>
              <w:widowControl/>
              <w:adjustRightInd w:val="0"/>
              <w:snapToGrid w:val="0"/>
              <w:spacing w:line="240" w:lineRule="auto"/>
              <w:ind w:firstLine="0" w:firstLineChars="0"/>
              <w:jc w:val="center"/>
              <w:rPr>
                <w:w w:val="90"/>
                <w:kern w:val="0"/>
                <w:sz w:val="21"/>
                <w:szCs w:val="21"/>
              </w:rPr>
            </w:pPr>
            <w:r>
              <w:rPr>
                <w:w w:val="90"/>
                <w:kern w:val="0"/>
                <w:sz w:val="21"/>
                <w:szCs w:val="21"/>
              </w:rPr>
              <w:t>6</w:t>
            </w:r>
          </w:p>
        </w:tc>
        <w:tc>
          <w:tcPr>
            <w:tcW w:w="1593" w:type="pct"/>
            <w:tcBorders>
              <w:top w:val="single" w:color="000000" w:sz="4" w:space="0"/>
              <w:left w:val="single" w:color="000000" w:sz="4" w:space="0"/>
              <w:bottom w:val="single" w:color="000000" w:sz="4" w:space="0"/>
              <w:right w:val="single" w:color="000000" w:sz="4" w:space="0"/>
            </w:tcBorders>
            <w:vAlign w:val="center"/>
          </w:tcPr>
          <w:p w14:paraId="5CD3781D">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上向中深孔乳化炸药装药车</w:t>
            </w:r>
            <w:r>
              <w:rPr>
                <w:w w:val="90"/>
                <w:kern w:val="0"/>
                <w:sz w:val="21"/>
                <w:szCs w:val="21"/>
              </w:rPr>
              <w:t xml:space="preserve"> </w:t>
            </w:r>
          </w:p>
        </w:tc>
        <w:tc>
          <w:tcPr>
            <w:tcW w:w="264" w:type="pct"/>
            <w:tcBorders>
              <w:top w:val="single" w:color="000000" w:sz="4" w:space="0"/>
              <w:left w:val="single" w:color="000000" w:sz="4" w:space="0"/>
              <w:bottom w:val="single" w:color="000000" w:sz="4" w:space="0"/>
              <w:right w:val="single" w:color="000000" w:sz="4" w:space="0"/>
            </w:tcBorders>
            <w:vAlign w:val="center"/>
          </w:tcPr>
          <w:p w14:paraId="37B3CE32">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07FA2FF4">
            <w:pPr>
              <w:widowControl/>
              <w:adjustRightInd w:val="0"/>
              <w:snapToGrid w:val="0"/>
              <w:spacing w:line="240" w:lineRule="auto"/>
              <w:ind w:firstLine="0" w:firstLineChars="0"/>
              <w:jc w:val="center"/>
              <w:rPr>
                <w:w w:val="90"/>
                <w:kern w:val="0"/>
                <w:sz w:val="21"/>
                <w:szCs w:val="21"/>
              </w:rPr>
            </w:pPr>
            <w:r>
              <w:rPr>
                <w:w w:val="90"/>
                <w:kern w:val="0"/>
                <w:sz w:val="21"/>
                <w:szCs w:val="21"/>
              </w:rPr>
              <w:t>2</w:t>
            </w:r>
          </w:p>
        </w:tc>
        <w:tc>
          <w:tcPr>
            <w:tcW w:w="528" w:type="pct"/>
            <w:tcBorders>
              <w:top w:val="single" w:color="000000" w:sz="4" w:space="0"/>
              <w:left w:val="single" w:color="000000" w:sz="4" w:space="0"/>
              <w:bottom w:val="single" w:color="000000" w:sz="4" w:space="0"/>
              <w:right w:val="single" w:color="000000" w:sz="4" w:space="0"/>
            </w:tcBorders>
            <w:vAlign w:val="center"/>
          </w:tcPr>
          <w:p w14:paraId="240E6AAD">
            <w:pPr>
              <w:widowControl/>
              <w:adjustRightInd w:val="0"/>
              <w:snapToGrid w:val="0"/>
              <w:spacing w:line="240" w:lineRule="auto"/>
              <w:ind w:firstLine="0" w:firstLineChars="0"/>
              <w:jc w:val="center"/>
              <w:rPr>
                <w:w w:val="90"/>
                <w:kern w:val="0"/>
                <w:sz w:val="21"/>
                <w:szCs w:val="21"/>
              </w:rPr>
            </w:pPr>
            <w:r>
              <w:rPr>
                <w:w w:val="90"/>
                <w:kern w:val="0"/>
                <w:sz w:val="21"/>
                <w:szCs w:val="21"/>
              </w:rPr>
              <w:t>66</w:t>
            </w:r>
          </w:p>
        </w:tc>
        <w:tc>
          <w:tcPr>
            <w:tcW w:w="467" w:type="pct"/>
            <w:tcBorders>
              <w:top w:val="single" w:color="000000" w:sz="4" w:space="0"/>
              <w:left w:val="single" w:color="000000" w:sz="4" w:space="0"/>
              <w:bottom w:val="single" w:color="000000" w:sz="4" w:space="0"/>
              <w:right w:val="single" w:color="000000" w:sz="4" w:space="0"/>
            </w:tcBorders>
            <w:vAlign w:val="center"/>
          </w:tcPr>
          <w:p w14:paraId="581F29D1">
            <w:pPr>
              <w:widowControl/>
              <w:adjustRightInd w:val="0"/>
              <w:snapToGrid w:val="0"/>
              <w:spacing w:line="240" w:lineRule="auto"/>
              <w:ind w:firstLine="0" w:firstLineChars="0"/>
              <w:jc w:val="center"/>
              <w:rPr>
                <w:w w:val="90"/>
                <w:kern w:val="0"/>
                <w:sz w:val="21"/>
                <w:szCs w:val="21"/>
              </w:rPr>
            </w:pPr>
            <w:r>
              <w:rPr>
                <w:w w:val="90"/>
                <w:kern w:val="0"/>
                <w:sz w:val="21"/>
                <w:szCs w:val="21"/>
              </w:rPr>
              <w:t>132</w:t>
            </w:r>
          </w:p>
        </w:tc>
        <w:tc>
          <w:tcPr>
            <w:tcW w:w="395" w:type="pct"/>
            <w:tcBorders>
              <w:top w:val="single" w:color="000000" w:sz="4" w:space="0"/>
              <w:left w:val="single" w:color="000000" w:sz="4" w:space="0"/>
              <w:bottom w:val="single" w:color="000000" w:sz="4" w:space="0"/>
              <w:right w:val="single" w:color="000000" w:sz="4" w:space="0"/>
            </w:tcBorders>
            <w:vAlign w:val="center"/>
          </w:tcPr>
          <w:p w14:paraId="3E940EE4">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510C241B">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9D2137F">
            <w:pPr>
              <w:widowControl/>
              <w:adjustRightInd w:val="0"/>
              <w:snapToGrid w:val="0"/>
              <w:spacing w:line="240" w:lineRule="auto"/>
              <w:ind w:firstLine="0" w:firstLineChars="0"/>
              <w:jc w:val="center"/>
              <w:rPr>
                <w:w w:val="90"/>
                <w:kern w:val="0"/>
                <w:sz w:val="21"/>
                <w:szCs w:val="21"/>
              </w:rPr>
            </w:pPr>
            <w:r>
              <w:rPr>
                <w:w w:val="90"/>
                <w:kern w:val="0"/>
                <w:sz w:val="21"/>
                <w:szCs w:val="21"/>
              </w:rPr>
              <w:t>4.4</w:t>
            </w:r>
          </w:p>
        </w:tc>
      </w:tr>
      <w:tr w14:paraId="63FC8680">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7EBFD27C">
            <w:pPr>
              <w:widowControl/>
              <w:adjustRightInd w:val="0"/>
              <w:snapToGrid w:val="0"/>
              <w:spacing w:line="240" w:lineRule="auto"/>
              <w:ind w:firstLine="0" w:firstLineChars="0"/>
              <w:jc w:val="center"/>
              <w:rPr>
                <w:w w:val="90"/>
                <w:kern w:val="0"/>
                <w:sz w:val="21"/>
                <w:szCs w:val="21"/>
              </w:rPr>
            </w:pPr>
            <w:r>
              <w:rPr>
                <w:w w:val="90"/>
                <w:kern w:val="0"/>
                <w:sz w:val="21"/>
                <w:szCs w:val="21"/>
              </w:rPr>
              <w:t>7</w:t>
            </w:r>
          </w:p>
        </w:tc>
        <w:tc>
          <w:tcPr>
            <w:tcW w:w="1593" w:type="pct"/>
            <w:tcBorders>
              <w:top w:val="single" w:color="000000" w:sz="4" w:space="0"/>
              <w:left w:val="single" w:color="000000" w:sz="4" w:space="0"/>
              <w:bottom w:val="single" w:color="000000" w:sz="4" w:space="0"/>
              <w:right w:val="single" w:color="000000" w:sz="4" w:space="0"/>
            </w:tcBorders>
            <w:noWrap/>
            <w:vAlign w:val="center"/>
          </w:tcPr>
          <w:p w14:paraId="1FFAE1F3">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水平孔乳化炸药装药车</w:t>
            </w:r>
          </w:p>
        </w:tc>
        <w:tc>
          <w:tcPr>
            <w:tcW w:w="264" w:type="pct"/>
            <w:tcBorders>
              <w:top w:val="single" w:color="000000" w:sz="4" w:space="0"/>
              <w:left w:val="single" w:color="000000" w:sz="4" w:space="0"/>
              <w:bottom w:val="single" w:color="000000" w:sz="4" w:space="0"/>
              <w:right w:val="single" w:color="000000" w:sz="4" w:space="0"/>
            </w:tcBorders>
            <w:vAlign w:val="center"/>
          </w:tcPr>
          <w:p w14:paraId="76BAE757">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7B49DA0E">
            <w:pPr>
              <w:widowControl/>
              <w:adjustRightInd w:val="0"/>
              <w:snapToGrid w:val="0"/>
              <w:spacing w:line="240" w:lineRule="auto"/>
              <w:ind w:firstLine="0" w:firstLineChars="0"/>
              <w:jc w:val="center"/>
              <w:rPr>
                <w:w w:val="90"/>
                <w:kern w:val="0"/>
                <w:sz w:val="21"/>
                <w:szCs w:val="21"/>
              </w:rPr>
            </w:pPr>
            <w:r>
              <w:rPr>
                <w:w w:val="90"/>
                <w:kern w:val="0"/>
                <w:sz w:val="21"/>
                <w:szCs w:val="21"/>
              </w:rPr>
              <w:t>2</w:t>
            </w:r>
          </w:p>
        </w:tc>
        <w:tc>
          <w:tcPr>
            <w:tcW w:w="528" w:type="pct"/>
            <w:tcBorders>
              <w:top w:val="single" w:color="000000" w:sz="4" w:space="0"/>
              <w:left w:val="single" w:color="000000" w:sz="4" w:space="0"/>
              <w:bottom w:val="single" w:color="000000" w:sz="4" w:space="0"/>
              <w:right w:val="single" w:color="000000" w:sz="4" w:space="0"/>
            </w:tcBorders>
            <w:vAlign w:val="center"/>
          </w:tcPr>
          <w:p w14:paraId="5B3F4930">
            <w:pPr>
              <w:widowControl/>
              <w:adjustRightInd w:val="0"/>
              <w:snapToGrid w:val="0"/>
              <w:spacing w:line="240" w:lineRule="auto"/>
              <w:ind w:firstLine="0" w:firstLineChars="0"/>
              <w:jc w:val="center"/>
              <w:rPr>
                <w:w w:val="90"/>
                <w:kern w:val="0"/>
                <w:sz w:val="21"/>
                <w:szCs w:val="21"/>
              </w:rPr>
            </w:pPr>
            <w:r>
              <w:rPr>
                <w:w w:val="90"/>
                <w:kern w:val="0"/>
                <w:sz w:val="21"/>
                <w:szCs w:val="21"/>
              </w:rPr>
              <w:t>66</w:t>
            </w:r>
          </w:p>
        </w:tc>
        <w:tc>
          <w:tcPr>
            <w:tcW w:w="467" w:type="pct"/>
            <w:tcBorders>
              <w:top w:val="single" w:color="000000" w:sz="4" w:space="0"/>
              <w:left w:val="single" w:color="000000" w:sz="4" w:space="0"/>
              <w:bottom w:val="single" w:color="000000" w:sz="4" w:space="0"/>
              <w:right w:val="single" w:color="000000" w:sz="4" w:space="0"/>
            </w:tcBorders>
            <w:vAlign w:val="center"/>
          </w:tcPr>
          <w:p w14:paraId="25E7AB41">
            <w:pPr>
              <w:widowControl/>
              <w:adjustRightInd w:val="0"/>
              <w:snapToGrid w:val="0"/>
              <w:spacing w:line="240" w:lineRule="auto"/>
              <w:ind w:firstLine="0" w:firstLineChars="0"/>
              <w:jc w:val="center"/>
              <w:rPr>
                <w:w w:val="90"/>
                <w:kern w:val="0"/>
                <w:sz w:val="21"/>
                <w:szCs w:val="21"/>
              </w:rPr>
            </w:pPr>
            <w:r>
              <w:rPr>
                <w:w w:val="90"/>
                <w:kern w:val="0"/>
                <w:sz w:val="21"/>
                <w:szCs w:val="21"/>
              </w:rPr>
              <w:t>132</w:t>
            </w:r>
          </w:p>
        </w:tc>
        <w:tc>
          <w:tcPr>
            <w:tcW w:w="395" w:type="pct"/>
            <w:tcBorders>
              <w:top w:val="single" w:color="000000" w:sz="4" w:space="0"/>
              <w:left w:val="single" w:color="000000" w:sz="4" w:space="0"/>
              <w:bottom w:val="single" w:color="000000" w:sz="4" w:space="0"/>
              <w:right w:val="single" w:color="000000" w:sz="4" w:space="0"/>
            </w:tcBorders>
            <w:vAlign w:val="center"/>
          </w:tcPr>
          <w:p w14:paraId="43A196E8">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29272843">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E404DFB">
            <w:pPr>
              <w:widowControl/>
              <w:adjustRightInd w:val="0"/>
              <w:snapToGrid w:val="0"/>
              <w:spacing w:line="240" w:lineRule="auto"/>
              <w:ind w:firstLine="0" w:firstLineChars="0"/>
              <w:jc w:val="center"/>
              <w:rPr>
                <w:w w:val="90"/>
                <w:kern w:val="0"/>
                <w:sz w:val="21"/>
                <w:szCs w:val="21"/>
              </w:rPr>
            </w:pPr>
            <w:r>
              <w:rPr>
                <w:w w:val="90"/>
                <w:kern w:val="0"/>
                <w:sz w:val="21"/>
                <w:szCs w:val="21"/>
              </w:rPr>
              <w:t>4.4</w:t>
            </w:r>
          </w:p>
        </w:tc>
      </w:tr>
      <w:tr w14:paraId="03A5800D">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69C0C10D">
            <w:pPr>
              <w:widowControl/>
              <w:adjustRightInd w:val="0"/>
              <w:snapToGrid w:val="0"/>
              <w:spacing w:line="240" w:lineRule="auto"/>
              <w:ind w:firstLine="0" w:firstLineChars="0"/>
              <w:jc w:val="center"/>
              <w:rPr>
                <w:w w:val="90"/>
                <w:kern w:val="0"/>
                <w:sz w:val="21"/>
                <w:szCs w:val="21"/>
              </w:rPr>
            </w:pPr>
            <w:r>
              <w:rPr>
                <w:w w:val="90"/>
                <w:kern w:val="0"/>
                <w:sz w:val="21"/>
                <w:szCs w:val="21"/>
              </w:rPr>
              <w:t>8</w:t>
            </w:r>
          </w:p>
        </w:tc>
        <w:tc>
          <w:tcPr>
            <w:tcW w:w="1593" w:type="pct"/>
            <w:tcBorders>
              <w:top w:val="single" w:color="000000" w:sz="4" w:space="0"/>
              <w:left w:val="single" w:color="000000" w:sz="4" w:space="0"/>
              <w:bottom w:val="single" w:color="000000" w:sz="4" w:space="0"/>
              <w:right w:val="single" w:color="000000" w:sz="4" w:space="0"/>
            </w:tcBorders>
            <w:vAlign w:val="center"/>
          </w:tcPr>
          <w:p w14:paraId="22BB06C9">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SANDVIK DL310 </w:t>
            </w:r>
            <w:r>
              <w:rPr>
                <w:rFonts w:hint="eastAsia"/>
                <w:w w:val="90"/>
                <w:kern w:val="0"/>
                <w:sz w:val="21"/>
                <w:szCs w:val="21"/>
              </w:rPr>
              <w:t>锚杆台车</w:t>
            </w:r>
          </w:p>
        </w:tc>
        <w:tc>
          <w:tcPr>
            <w:tcW w:w="264" w:type="pct"/>
            <w:tcBorders>
              <w:top w:val="single" w:color="000000" w:sz="4" w:space="0"/>
              <w:left w:val="single" w:color="000000" w:sz="4" w:space="0"/>
              <w:bottom w:val="single" w:color="000000" w:sz="4" w:space="0"/>
              <w:right w:val="single" w:color="000000" w:sz="4" w:space="0"/>
            </w:tcBorders>
            <w:vAlign w:val="center"/>
          </w:tcPr>
          <w:p w14:paraId="7C00188B">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2ABA904C">
            <w:pPr>
              <w:widowControl/>
              <w:adjustRightInd w:val="0"/>
              <w:snapToGrid w:val="0"/>
              <w:spacing w:line="240" w:lineRule="auto"/>
              <w:ind w:firstLine="0" w:firstLineChars="0"/>
              <w:jc w:val="center"/>
              <w:rPr>
                <w:w w:val="90"/>
                <w:kern w:val="0"/>
                <w:sz w:val="21"/>
                <w:szCs w:val="21"/>
              </w:rPr>
            </w:pPr>
            <w:r>
              <w:rPr>
                <w:w w:val="90"/>
                <w:kern w:val="0"/>
                <w:sz w:val="21"/>
                <w:szCs w:val="21"/>
              </w:rPr>
              <w:t>3</w:t>
            </w:r>
          </w:p>
        </w:tc>
        <w:tc>
          <w:tcPr>
            <w:tcW w:w="528" w:type="pct"/>
            <w:tcBorders>
              <w:top w:val="single" w:color="000000" w:sz="4" w:space="0"/>
              <w:left w:val="single" w:color="000000" w:sz="4" w:space="0"/>
              <w:bottom w:val="single" w:color="000000" w:sz="4" w:space="0"/>
              <w:right w:val="single" w:color="000000" w:sz="4" w:space="0"/>
            </w:tcBorders>
            <w:vAlign w:val="center"/>
          </w:tcPr>
          <w:p w14:paraId="523E7A91">
            <w:pPr>
              <w:widowControl/>
              <w:adjustRightInd w:val="0"/>
              <w:snapToGrid w:val="0"/>
              <w:spacing w:line="240" w:lineRule="auto"/>
              <w:ind w:firstLine="0" w:firstLineChars="0"/>
              <w:jc w:val="center"/>
              <w:rPr>
                <w:w w:val="90"/>
                <w:kern w:val="0"/>
                <w:sz w:val="21"/>
                <w:szCs w:val="21"/>
              </w:rPr>
            </w:pPr>
            <w:r>
              <w:rPr>
                <w:w w:val="90"/>
                <w:kern w:val="0"/>
                <w:sz w:val="21"/>
                <w:szCs w:val="21"/>
              </w:rPr>
              <w:t>62</w:t>
            </w:r>
          </w:p>
        </w:tc>
        <w:tc>
          <w:tcPr>
            <w:tcW w:w="467" w:type="pct"/>
            <w:tcBorders>
              <w:top w:val="single" w:color="000000" w:sz="4" w:space="0"/>
              <w:left w:val="single" w:color="000000" w:sz="4" w:space="0"/>
              <w:bottom w:val="single" w:color="000000" w:sz="4" w:space="0"/>
              <w:right w:val="single" w:color="000000" w:sz="4" w:space="0"/>
            </w:tcBorders>
            <w:vAlign w:val="center"/>
          </w:tcPr>
          <w:p w14:paraId="41F0E70A">
            <w:pPr>
              <w:widowControl/>
              <w:adjustRightInd w:val="0"/>
              <w:snapToGrid w:val="0"/>
              <w:spacing w:line="240" w:lineRule="auto"/>
              <w:ind w:firstLine="0" w:firstLineChars="0"/>
              <w:jc w:val="center"/>
              <w:rPr>
                <w:w w:val="90"/>
                <w:kern w:val="0"/>
                <w:sz w:val="21"/>
                <w:szCs w:val="21"/>
              </w:rPr>
            </w:pPr>
            <w:r>
              <w:rPr>
                <w:w w:val="90"/>
                <w:kern w:val="0"/>
                <w:sz w:val="21"/>
                <w:szCs w:val="21"/>
              </w:rPr>
              <w:t>186</w:t>
            </w:r>
          </w:p>
        </w:tc>
        <w:tc>
          <w:tcPr>
            <w:tcW w:w="395" w:type="pct"/>
            <w:tcBorders>
              <w:top w:val="single" w:color="000000" w:sz="4" w:space="0"/>
              <w:left w:val="single" w:color="000000" w:sz="4" w:space="0"/>
              <w:bottom w:val="single" w:color="000000" w:sz="4" w:space="0"/>
              <w:right w:val="single" w:color="000000" w:sz="4" w:space="0"/>
            </w:tcBorders>
            <w:vAlign w:val="center"/>
          </w:tcPr>
          <w:p w14:paraId="51DC46B8">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0A91E3C1">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19DB0D9A">
            <w:pPr>
              <w:widowControl/>
              <w:adjustRightInd w:val="0"/>
              <w:snapToGrid w:val="0"/>
              <w:spacing w:line="240" w:lineRule="auto"/>
              <w:ind w:firstLine="0" w:firstLineChars="0"/>
              <w:jc w:val="center"/>
              <w:rPr>
                <w:w w:val="90"/>
                <w:kern w:val="0"/>
                <w:sz w:val="21"/>
                <w:szCs w:val="21"/>
              </w:rPr>
            </w:pPr>
            <w:r>
              <w:rPr>
                <w:w w:val="90"/>
                <w:kern w:val="0"/>
                <w:sz w:val="21"/>
                <w:szCs w:val="21"/>
              </w:rPr>
              <w:t>6.2</w:t>
            </w:r>
          </w:p>
        </w:tc>
      </w:tr>
      <w:tr w14:paraId="2B2B9579">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7F2E218D">
            <w:pPr>
              <w:widowControl/>
              <w:adjustRightInd w:val="0"/>
              <w:snapToGrid w:val="0"/>
              <w:spacing w:line="240" w:lineRule="auto"/>
              <w:ind w:firstLine="0" w:firstLineChars="0"/>
              <w:jc w:val="center"/>
              <w:rPr>
                <w:w w:val="90"/>
                <w:kern w:val="0"/>
                <w:sz w:val="21"/>
                <w:szCs w:val="21"/>
              </w:rPr>
            </w:pPr>
            <w:r>
              <w:rPr>
                <w:w w:val="90"/>
                <w:kern w:val="0"/>
                <w:sz w:val="21"/>
                <w:szCs w:val="21"/>
              </w:rPr>
              <w:t>9</w:t>
            </w:r>
          </w:p>
        </w:tc>
        <w:tc>
          <w:tcPr>
            <w:tcW w:w="1593" w:type="pct"/>
            <w:tcBorders>
              <w:top w:val="single" w:color="000000" w:sz="4" w:space="0"/>
              <w:left w:val="single" w:color="000000" w:sz="4" w:space="0"/>
              <w:bottom w:val="single" w:color="000000" w:sz="4" w:space="0"/>
              <w:right w:val="single" w:color="000000" w:sz="4" w:space="0"/>
            </w:tcBorders>
            <w:vAlign w:val="center"/>
          </w:tcPr>
          <w:p w14:paraId="27CA0C38">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混凝土搅拌罐</w:t>
            </w:r>
          </w:p>
        </w:tc>
        <w:tc>
          <w:tcPr>
            <w:tcW w:w="264" w:type="pct"/>
            <w:tcBorders>
              <w:top w:val="single" w:color="000000" w:sz="4" w:space="0"/>
              <w:left w:val="single" w:color="000000" w:sz="4" w:space="0"/>
              <w:bottom w:val="single" w:color="000000" w:sz="4" w:space="0"/>
              <w:right w:val="single" w:color="000000" w:sz="4" w:space="0"/>
            </w:tcBorders>
            <w:vAlign w:val="center"/>
          </w:tcPr>
          <w:p w14:paraId="0D438CB3">
            <w:pPr>
              <w:widowControl/>
              <w:adjustRightInd w:val="0"/>
              <w:snapToGrid w:val="0"/>
              <w:spacing w:line="240" w:lineRule="auto"/>
              <w:ind w:firstLine="0" w:firstLineChars="0"/>
              <w:jc w:val="center"/>
              <w:rPr>
                <w:w w:val="90"/>
                <w:kern w:val="0"/>
                <w:sz w:val="21"/>
                <w:szCs w:val="21"/>
              </w:rPr>
            </w:pPr>
            <w:r>
              <w:rPr>
                <w:w w:val="90"/>
                <w:kern w:val="0"/>
                <w:sz w:val="21"/>
                <w:szCs w:val="21"/>
              </w:rPr>
              <w:t>辆</w:t>
            </w:r>
          </w:p>
        </w:tc>
        <w:tc>
          <w:tcPr>
            <w:tcW w:w="264" w:type="pct"/>
            <w:tcBorders>
              <w:top w:val="single" w:color="000000" w:sz="4" w:space="0"/>
              <w:left w:val="single" w:color="000000" w:sz="4" w:space="0"/>
              <w:bottom w:val="single" w:color="000000" w:sz="4" w:space="0"/>
              <w:right w:val="single" w:color="000000" w:sz="4" w:space="0"/>
            </w:tcBorders>
            <w:vAlign w:val="center"/>
          </w:tcPr>
          <w:p w14:paraId="73796606">
            <w:pPr>
              <w:widowControl/>
              <w:adjustRightInd w:val="0"/>
              <w:snapToGrid w:val="0"/>
              <w:spacing w:line="240" w:lineRule="auto"/>
              <w:ind w:firstLine="0" w:firstLineChars="0"/>
              <w:jc w:val="center"/>
              <w:rPr>
                <w:w w:val="90"/>
                <w:kern w:val="0"/>
                <w:sz w:val="21"/>
                <w:szCs w:val="21"/>
              </w:rPr>
            </w:pPr>
            <w:r>
              <w:rPr>
                <w:w w:val="90"/>
                <w:kern w:val="0"/>
                <w:sz w:val="21"/>
                <w:szCs w:val="21"/>
              </w:rPr>
              <w:t>3</w:t>
            </w:r>
          </w:p>
        </w:tc>
        <w:tc>
          <w:tcPr>
            <w:tcW w:w="528" w:type="pct"/>
            <w:tcBorders>
              <w:top w:val="single" w:color="000000" w:sz="4" w:space="0"/>
              <w:left w:val="single" w:color="000000" w:sz="4" w:space="0"/>
              <w:bottom w:val="single" w:color="000000" w:sz="4" w:space="0"/>
              <w:right w:val="single" w:color="000000" w:sz="4" w:space="0"/>
            </w:tcBorders>
            <w:vAlign w:val="center"/>
          </w:tcPr>
          <w:p w14:paraId="134BDA76">
            <w:pPr>
              <w:widowControl/>
              <w:adjustRightInd w:val="0"/>
              <w:snapToGrid w:val="0"/>
              <w:spacing w:line="240" w:lineRule="auto"/>
              <w:ind w:firstLine="0" w:firstLineChars="0"/>
              <w:jc w:val="center"/>
              <w:rPr>
                <w:w w:val="90"/>
                <w:kern w:val="0"/>
                <w:sz w:val="21"/>
                <w:szCs w:val="21"/>
              </w:rPr>
            </w:pPr>
            <w:r>
              <w:rPr>
                <w:w w:val="90"/>
                <w:kern w:val="0"/>
                <w:sz w:val="21"/>
                <w:szCs w:val="21"/>
              </w:rPr>
              <w:t>110</w:t>
            </w:r>
          </w:p>
        </w:tc>
        <w:tc>
          <w:tcPr>
            <w:tcW w:w="467" w:type="pct"/>
            <w:tcBorders>
              <w:top w:val="single" w:color="000000" w:sz="4" w:space="0"/>
              <w:left w:val="single" w:color="000000" w:sz="4" w:space="0"/>
              <w:bottom w:val="single" w:color="000000" w:sz="4" w:space="0"/>
              <w:right w:val="single" w:color="000000" w:sz="4" w:space="0"/>
            </w:tcBorders>
            <w:vAlign w:val="center"/>
          </w:tcPr>
          <w:p w14:paraId="60089218">
            <w:pPr>
              <w:widowControl/>
              <w:adjustRightInd w:val="0"/>
              <w:snapToGrid w:val="0"/>
              <w:spacing w:line="240" w:lineRule="auto"/>
              <w:ind w:firstLine="0" w:firstLineChars="0"/>
              <w:jc w:val="center"/>
              <w:rPr>
                <w:w w:val="90"/>
                <w:kern w:val="0"/>
                <w:sz w:val="21"/>
                <w:szCs w:val="21"/>
              </w:rPr>
            </w:pPr>
            <w:r>
              <w:rPr>
                <w:w w:val="90"/>
                <w:kern w:val="0"/>
                <w:sz w:val="21"/>
                <w:szCs w:val="21"/>
              </w:rPr>
              <w:t>330</w:t>
            </w:r>
          </w:p>
        </w:tc>
        <w:tc>
          <w:tcPr>
            <w:tcW w:w="395" w:type="pct"/>
            <w:tcBorders>
              <w:top w:val="single" w:color="000000" w:sz="4" w:space="0"/>
              <w:left w:val="single" w:color="000000" w:sz="4" w:space="0"/>
              <w:bottom w:val="single" w:color="000000" w:sz="4" w:space="0"/>
              <w:right w:val="single" w:color="000000" w:sz="4" w:space="0"/>
            </w:tcBorders>
            <w:vAlign w:val="center"/>
          </w:tcPr>
          <w:p w14:paraId="43D98985">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0B7D9540">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6BD37B3C">
            <w:pPr>
              <w:widowControl/>
              <w:adjustRightInd w:val="0"/>
              <w:snapToGrid w:val="0"/>
              <w:spacing w:line="240" w:lineRule="auto"/>
              <w:ind w:firstLine="0" w:firstLineChars="0"/>
              <w:jc w:val="center"/>
              <w:rPr>
                <w:w w:val="90"/>
                <w:kern w:val="0"/>
                <w:sz w:val="21"/>
                <w:szCs w:val="21"/>
              </w:rPr>
            </w:pPr>
            <w:r>
              <w:rPr>
                <w:w w:val="90"/>
                <w:kern w:val="0"/>
                <w:sz w:val="21"/>
                <w:szCs w:val="21"/>
              </w:rPr>
              <w:t>11.0</w:t>
            </w:r>
          </w:p>
        </w:tc>
      </w:tr>
      <w:tr w14:paraId="11ACF263">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4212135B">
            <w:pPr>
              <w:widowControl/>
              <w:adjustRightInd w:val="0"/>
              <w:snapToGrid w:val="0"/>
              <w:spacing w:line="240" w:lineRule="auto"/>
              <w:ind w:firstLine="0" w:firstLineChars="0"/>
              <w:jc w:val="center"/>
              <w:rPr>
                <w:w w:val="90"/>
                <w:kern w:val="0"/>
                <w:sz w:val="21"/>
                <w:szCs w:val="21"/>
              </w:rPr>
            </w:pPr>
            <w:r>
              <w:rPr>
                <w:w w:val="90"/>
                <w:kern w:val="0"/>
                <w:sz w:val="21"/>
                <w:szCs w:val="21"/>
              </w:rPr>
              <w:t>10</w:t>
            </w:r>
          </w:p>
        </w:tc>
        <w:tc>
          <w:tcPr>
            <w:tcW w:w="1593" w:type="pct"/>
            <w:tcBorders>
              <w:top w:val="single" w:color="000000" w:sz="4" w:space="0"/>
              <w:left w:val="single" w:color="000000" w:sz="4" w:space="0"/>
              <w:bottom w:val="single" w:color="000000" w:sz="4" w:space="0"/>
              <w:right w:val="single" w:color="000000" w:sz="4" w:space="0"/>
            </w:tcBorders>
            <w:vAlign w:val="center"/>
          </w:tcPr>
          <w:p w14:paraId="4A7D6013">
            <w:pPr>
              <w:widowControl/>
              <w:adjustRightInd w:val="0"/>
              <w:snapToGrid w:val="0"/>
              <w:spacing w:line="240" w:lineRule="auto"/>
              <w:ind w:firstLine="0" w:firstLineChars="0"/>
              <w:jc w:val="center"/>
              <w:rPr>
                <w:w w:val="90"/>
                <w:kern w:val="0"/>
                <w:sz w:val="21"/>
                <w:szCs w:val="21"/>
              </w:rPr>
            </w:pPr>
            <w:r>
              <w:rPr>
                <w:w w:val="90"/>
                <w:kern w:val="0"/>
                <w:sz w:val="21"/>
                <w:szCs w:val="21"/>
              </w:rPr>
              <w:t>SCAMAC2000BREAKER</w:t>
            </w:r>
          </w:p>
          <w:p w14:paraId="46DBA6D2">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移动式破碎锤</w:t>
            </w:r>
          </w:p>
        </w:tc>
        <w:tc>
          <w:tcPr>
            <w:tcW w:w="264" w:type="pct"/>
            <w:tcBorders>
              <w:top w:val="single" w:color="000000" w:sz="4" w:space="0"/>
              <w:left w:val="single" w:color="000000" w:sz="4" w:space="0"/>
              <w:bottom w:val="single" w:color="000000" w:sz="4" w:space="0"/>
              <w:right w:val="single" w:color="000000" w:sz="4" w:space="0"/>
            </w:tcBorders>
            <w:vAlign w:val="center"/>
          </w:tcPr>
          <w:p w14:paraId="739BB208">
            <w:pPr>
              <w:widowControl/>
              <w:adjustRightInd w:val="0"/>
              <w:snapToGrid w:val="0"/>
              <w:spacing w:line="240" w:lineRule="auto"/>
              <w:ind w:firstLine="0" w:firstLineChars="0"/>
              <w:jc w:val="center"/>
              <w:rPr>
                <w:w w:val="90"/>
                <w:kern w:val="0"/>
                <w:sz w:val="21"/>
                <w:szCs w:val="21"/>
              </w:rPr>
            </w:pPr>
            <w:r>
              <w:rPr>
                <w:w w:val="90"/>
                <w:kern w:val="0"/>
                <w:sz w:val="21"/>
                <w:szCs w:val="21"/>
              </w:rPr>
              <w:t>辆</w:t>
            </w:r>
          </w:p>
        </w:tc>
        <w:tc>
          <w:tcPr>
            <w:tcW w:w="264" w:type="pct"/>
            <w:tcBorders>
              <w:top w:val="single" w:color="000000" w:sz="4" w:space="0"/>
              <w:left w:val="single" w:color="000000" w:sz="4" w:space="0"/>
              <w:bottom w:val="single" w:color="000000" w:sz="4" w:space="0"/>
              <w:right w:val="single" w:color="000000" w:sz="4" w:space="0"/>
            </w:tcBorders>
            <w:vAlign w:val="center"/>
          </w:tcPr>
          <w:p w14:paraId="3709E4C1">
            <w:pPr>
              <w:widowControl/>
              <w:adjustRightInd w:val="0"/>
              <w:snapToGrid w:val="0"/>
              <w:spacing w:line="240" w:lineRule="auto"/>
              <w:ind w:firstLine="0" w:firstLineChars="0"/>
              <w:jc w:val="center"/>
              <w:rPr>
                <w:w w:val="90"/>
                <w:kern w:val="0"/>
                <w:sz w:val="21"/>
                <w:szCs w:val="21"/>
              </w:rPr>
            </w:pPr>
            <w:r>
              <w:rPr>
                <w:w w:val="90"/>
                <w:kern w:val="0"/>
                <w:sz w:val="21"/>
                <w:szCs w:val="21"/>
              </w:rPr>
              <w:t>3</w:t>
            </w:r>
          </w:p>
        </w:tc>
        <w:tc>
          <w:tcPr>
            <w:tcW w:w="528" w:type="pct"/>
            <w:tcBorders>
              <w:top w:val="single" w:color="000000" w:sz="4" w:space="0"/>
              <w:left w:val="single" w:color="000000" w:sz="4" w:space="0"/>
              <w:bottom w:val="single" w:color="000000" w:sz="4" w:space="0"/>
              <w:right w:val="single" w:color="000000" w:sz="4" w:space="0"/>
            </w:tcBorders>
            <w:vAlign w:val="center"/>
          </w:tcPr>
          <w:p w14:paraId="11997FBB">
            <w:pPr>
              <w:widowControl/>
              <w:adjustRightInd w:val="0"/>
              <w:snapToGrid w:val="0"/>
              <w:spacing w:line="240" w:lineRule="auto"/>
              <w:ind w:firstLine="0" w:firstLineChars="0"/>
              <w:jc w:val="center"/>
              <w:rPr>
                <w:w w:val="90"/>
                <w:kern w:val="0"/>
                <w:sz w:val="21"/>
                <w:szCs w:val="21"/>
              </w:rPr>
            </w:pPr>
            <w:r>
              <w:rPr>
                <w:w w:val="90"/>
                <w:kern w:val="0"/>
                <w:sz w:val="21"/>
                <w:szCs w:val="21"/>
              </w:rPr>
              <w:t>88</w:t>
            </w:r>
          </w:p>
        </w:tc>
        <w:tc>
          <w:tcPr>
            <w:tcW w:w="467" w:type="pct"/>
            <w:tcBorders>
              <w:top w:val="single" w:color="000000" w:sz="4" w:space="0"/>
              <w:left w:val="single" w:color="000000" w:sz="4" w:space="0"/>
              <w:bottom w:val="single" w:color="000000" w:sz="4" w:space="0"/>
              <w:right w:val="single" w:color="000000" w:sz="4" w:space="0"/>
            </w:tcBorders>
            <w:vAlign w:val="center"/>
          </w:tcPr>
          <w:p w14:paraId="48C5E494">
            <w:pPr>
              <w:widowControl/>
              <w:adjustRightInd w:val="0"/>
              <w:snapToGrid w:val="0"/>
              <w:spacing w:line="240" w:lineRule="auto"/>
              <w:ind w:firstLine="0" w:firstLineChars="0"/>
              <w:jc w:val="center"/>
              <w:rPr>
                <w:w w:val="90"/>
                <w:kern w:val="0"/>
                <w:sz w:val="21"/>
                <w:szCs w:val="21"/>
              </w:rPr>
            </w:pPr>
            <w:r>
              <w:rPr>
                <w:w w:val="90"/>
                <w:kern w:val="0"/>
                <w:sz w:val="21"/>
                <w:szCs w:val="21"/>
              </w:rPr>
              <w:t>264</w:t>
            </w:r>
          </w:p>
        </w:tc>
        <w:tc>
          <w:tcPr>
            <w:tcW w:w="395" w:type="pct"/>
            <w:tcBorders>
              <w:top w:val="single" w:color="000000" w:sz="4" w:space="0"/>
              <w:left w:val="single" w:color="000000" w:sz="4" w:space="0"/>
              <w:bottom w:val="single" w:color="000000" w:sz="4" w:space="0"/>
              <w:right w:val="single" w:color="000000" w:sz="4" w:space="0"/>
            </w:tcBorders>
            <w:vAlign w:val="center"/>
          </w:tcPr>
          <w:p w14:paraId="6ADECBB8">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003A3667">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445B7E7">
            <w:pPr>
              <w:widowControl/>
              <w:adjustRightInd w:val="0"/>
              <w:snapToGrid w:val="0"/>
              <w:spacing w:line="240" w:lineRule="auto"/>
              <w:ind w:firstLine="0" w:firstLineChars="0"/>
              <w:jc w:val="center"/>
              <w:rPr>
                <w:w w:val="90"/>
                <w:kern w:val="0"/>
                <w:sz w:val="21"/>
                <w:szCs w:val="21"/>
              </w:rPr>
            </w:pPr>
            <w:r>
              <w:rPr>
                <w:w w:val="90"/>
                <w:kern w:val="0"/>
                <w:sz w:val="21"/>
                <w:szCs w:val="21"/>
              </w:rPr>
              <w:t>8.8</w:t>
            </w:r>
          </w:p>
        </w:tc>
      </w:tr>
      <w:tr w14:paraId="390F6066">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32DB7D2F">
            <w:pPr>
              <w:widowControl/>
              <w:adjustRightInd w:val="0"/>
              <w:snapToGrid w:val="0"/>
              <w:spacing w:line="240" w:lineRule="auto"/>
              <w:ind w:firstLine="0" w:firstLineChars="0"/>
              <w:jc w:val="center"/>
              <w:rPr>
                <w:w w:val="90"/>
                <w:kern w:val="0"/>
                <w:sz w:val="21"/>
                <w:szCs w:val="21"/>
              </w:rPr>
            </w:pPr>
            <w:r>
              <w:rPr>
                <w:w w:val="90"/>
                <w:kern w:val="0"/>
                <w:sz w:val="21"/>
                <w:szCs w:val="21"/>
              </w:rPr>
              <w:t>11</w:t>
            </w:r>
          </w:p>
        </w:tc>
        <w:tc>
          <w:tcPr>
            <w:tcW w:w="1593" w:type="pct"/>
            <w:tcBorders>
              <w:top w:val="single" w:color="000000" w:sz="4" w:space="0"/>
              <w:left w:val="single" w:color="000000" w:sz="4" w:space="0"/>
              <w:bottom w:val="single" w:color="000000" w:sz="4" w:space="0"/>
              <w:right w:val="single" w:color="000000" w:sz="4" w:space="0"/>
            </w:tcBorders>
            <w:vAlign w:val="center"/>
          </w:tcPr>
          <w:p w14:paraId="295E36E9">
            <w:pPr>
              <w:widowControl/>
              <w:adjustRightInd w:val="0"/>
              <w:snapToGrid w:val="0"/>
              <w:spacing w:line="240" w:lineRule="auto"/>
              <w:ind w:firstLine="0" w:firstLineChars="0"/>
              <w:jc w:val="center"/>
              <w:rPr>
                <w:w w:val="90"/>
                <w:kern w:val="0"/>
                <w:sz w:val="21"/>
                <w:szCs w:val="21"/>
              </w:rPr>
            </w:pPr>
            <w:r>
              <w:rPr>
                <w:w w:val="90"/>
                <w:kern w:val="0"/>
                <w:sz w:val="21"/>
                <w:szCs w:val="21"/>
              </w:rPr>
              <w:t>SCAMAC 2000S</w:t>
            </w:r>
            <w:r>
              <w:rPr>
                <w:rFonts w:hint="eastAsia"/>
                <w:w w:val="90"/>
                <w:kern w:val="0"/>
                <w:sz w:val="21"/>
                <w:szCs w:val="21"/>
              </w:rPr>
              <w:t>撬毛台车</w:t>
            </w:r>
          </w:p>
        </w:tc>
        <w:tc>
          <w:tcPr>
            <w:tcW w:w="264" w:type="pct"/>
            <w:tcBorders>
              <w:top w:val="single" w:color="000000" w:sz="4" w:space="0"/>
              <w:left w:val="single" w:color="000000" w:sz="4" w:space="0"/>
              <w:bottom w:val="single" w:color="000000" w:sz="4" w:space="0"/>
              <w:right w:val="single" w:color="000000" w:sz="4" w:space="0"/>
            </w:tcBorders>
            <w:vAlign w:val="center"/>
          </w:tcPr>
          <w:p w14:paraId="1E6D6363">
            <w:pPr>
              <w:widowControl/>
              <w:adjustRightInd w:val="0"/>
              <w:snapToGrid w:val="0"/>
              <w:spacing w:line="240" w:lineRule="auto"/>
              <w:ind w:firstLine="0" w:firstLineChars="0"/>
              <w:jc w:val="center"/>
              <w:rPr>
                <w:w w:val="90"/>
                <w:kern w:val="0"/>
                <w:sz w:val="21"/>
                <w:szCs w:val="21"/>
              </w:rPr>
            </w:pPr>
            <w:r>
              <w:rPr>
                <w:w w:val="90"/>
                <w:kern w:val="0"/>
                <w:sz w:val="21"/>
                <w:szCs w:val="21"/>
              </w:rPr>
              <w:t>辆</w:t>
            </w:r>
          </w:p>
        </w:tc>
        <w:tc>
          <w:tcPr>
            <w:tcW w:w="264" w:type="pct"/>
            <w:tcBorders>
              <w:top w:val="single" w:color="000000" w:sz="4" w:space="0"/>
              <w:left w:val="single" w:color="000000" w:sz="4" w:space="0"/>
              <w:bottom w:val="single" w:color="000000" w:sz="4" w:space="0"/>
              <w:right w:val="single" w:color="000000" w:sz="4" w:space="0"/>
            </w:tcBorders>
            <w:vAlign w:val="center"/>
          </w:tcPr>
          <w:p w14:paraId="658A7F2A">
            <w:pPr>
              <w:widowControl/>
              <w:adjustRightInd w:val="0"/>
              <w:snapToGrid w:val="0"/>
              <w:spacing w:line="240" w:lineRule="auto"/>
              <w:ind w:firstLine="0" w:firstLineChars="0"/>
              <w:jc w:val="center"/>
              <w:rPr>
                <w:w w:val="90"/>
                <w:kern w:val="0"/>
                <w:sz w:val="21"/>
                <w:szCs w:val="21"/>
              </w:rPr>
            </w:pPr>
            <w:r>
              <w:rPr>
                <w:w w:val="90"/>
                <w:kern w:val="0"/>
                <w:sz w:val="21"/>
                <w:szCs w:val="21"/>
              </w:rPr>
              <w:t>3</w:t>
            </w:r>
          </w:p>
        </w:tc>
        <w:tc>
          <w:tcPr>
            <w:tcW w:w="528" w:type="pct"/>
            <w:tcBorders>
              <w:top w:val="single" w:color="000000" w:sz="4" w:space="0"/>
              <w:left w:val="single" w:color="000000" w:sz="4" w:space="0"/>
              <w:bottom w:val="single" w:color="000000" w:sz="4" w:space="0"/>
              <w:right w:val="single" w:color="000000" w:sz="4" w:space="0"/>
            </w:tcBorders>
            <w:vAlign w:val="center"/>
          </w:tcPr>
          <w:p w14:paraId="0D3D62ED">
            <w:pPr>
              <w:widowControl/>
              <w:adjustRightInd w:val="0"/>
              <w:snapToGrid w:val="0"/>
              <w:spacing w:line="240" w:lineRule="auto"/>
              <w:ind w:firstLine="0" w:firstLineChars="0"/>
              <w:jc w:val="center"/>
              <w:rPr>
                <w:w w:val="90"/>
                <w:kern w:val="0"/>
                <w:sz w:val="21"/>
                <w:szCs w:val="21"/>
              </w:rPr>
            </w:pPr>
            <w:r>
              <w:rPr>
                <w:w w:val="90"/>
                <w:kern w:val="0"/>
                <w:sz w:val="21"/>
                <w:szCs w:val="21"/>
              </w:rPr>
              <w:t>120</w:t>
            </w:r>
          </w:p>
        </w:tc>
        <w:tc>
          <w:tcPr>
            <w:tcW w:w="467" w:type="pct"/>
            <w:tcBorders>
              <w:top w:val="single" w:color="000000" w:sz="4" w:space="0"/>
              <w:left w:val="single" w:color="000000" w:sz="4" w:space="0"/>
              <w:bottom w:val="single" w:color="000000" w:sz="4" w:space="0"/>
              <w:right w:val="single" w:color="000000" w:sz="4" w:space="0"/>
            </w:tcBorders>
            <w:vAlign w:val="center"/>
          </w:tcPr>
          <w:p w14:paraId="0708CA76">
            <w:pPr>
              <w:widowControl/>
              <w:adjustRightInd w:val="0"/>
              <w:snapToGrid w:val="0"/>
              <w:spacing w:line="240" w:lineRule="auto"/>
              <w:ind w:firstLine="0" w:firstLineChars="0"/>
              <w:jc w:val="center"/>
              <w:rPr>
                <w:w w:val="90"/>
                <w:kern w:val="0"/>
                <w:sz w:val="21"/>
                <w:szCs w:val="21"/>
              </w:rPr>
            </w:pPr>
            <w:r>
              <w:rPr>
                <w:w w:val="90"/>
                <w:kern w:val="0"/>
                <w:sz w:val="21"/>
                <w:szCs w:val="21"/>
              </w:rPr>
              <w:t>360</w:t>
            </w:r>
          </w:p>
        </w:tc>
        <w:tc>
          <w:tcPr>
            <w:tcW w:w="395" w:type="pct"/>
            <w:tcBorders>
              <w:top w:val="single" w:color="000000" w:sz="4" w:space="0"/>
              <w:left w:val="single" w:color="000000" w:sz="4" w:space="0"/>
              <w:bottom w:val="single" w:color="000000" w:sz="4" w:space="0"/>
              <w:right w:val="single" w:color="000000" w:sz="4" w:space="0"/>
            </w:tcBorders>
            <w:vAlign w:val="center"/>
          </w:tcPr>
          <w:p w14:paraId="774BB25B">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2E0654AE">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43EB685C">
            <w:pPr>
              <w:widowControl/>
              <w:adjustRightInd w:val="0"/>
              <w:snapToGrid w:val="0"/>
              <w:spacing w:line="240" w:lineRule="auto"/>
              <w:ind w:firstLine="0" w:firstLineChars="0"/>
              <w:jc w:val="center"/>
              <w:rPr>
                <w:w w:val="90"/>
                <w:kern w:val="0"/>
                <w:sz w:val="21"/>
                <w:szCs w:val="21"/>
              </w:rPr>
            </w:pPr>
            <w:r>
              <w:rPr>
                <w:w w:val="90"/>
                <w:kern w:val="0"/>
                <w:sz w:val="21"/>
                <w:szCs w:val="21"/>
              </w:rPr>
              <w:t>12.0</w:t>
            </w:r>
          </w:p>
        </w:tc>
      </w:tr>
      <w:tr w14:paraId="51669FFF">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1DF1EDC4">
            <w:pPr>
              <w:widowControl/>
              <w:adjustRightInd w:val="0"/>
              <w:snapToGrid w:val="0"/>
              <w:spacing w:line="240" w:lineRule="auto"/>
              <w:ind w:firstLine="0" w:firstLineChars="0"/>
              <w:jc w:val="center"/>
              <w:rPr>
                <w:w w:val="90"/>
                <w:kern w:val="0"/>
                <w:sz w:val="21"/>
                <w:szCs w:val="21"/>
              </w:rPr>
            </w:pPr>
            <w:r>
              <w:rPr>
                <w:w w:val="90"/>
                <w:kern w:val="0"/>
                <w:sz w:val="21"/>
                <w:szCs w:val="21"/>
              </w:rPr>
              <w:t>12</w:t>
            </w:r>
          </w:p>
        </w:tc>
        <w:tc>
          <w:tcPr>
            <w:tcW w:w="1593" w:type="pct"/>
            <w:tcBorders>
              <w:top w:val="single" w:color="000000" w:sz="4" w:space="0"/>
              <w:left w:val="single" w:color="000000" w:sz="4" w:space="0"/>
              <w:bottom w:val="single" w:color="000000" w:sz="4" w:space="0"/>
              <w:right w:val="single" w:color="000000" w:sz="4" w:space="0"/>
            </w:tcBorders>
            <w:vAlign w:val="center"/>
          </w:tcPr>
          <w:p w14:paraId="653B4155">
            <w:pPr>
              <w:widowControl/>
              <w:adjustRightInd w:val="0"/>
              <w:snapToGrid w:val="0"/>
              <w:spacing w:line="240" w:lineRule="auto"/>
              <w:ind w:firstLine="0" w:firstLineChars="0"/>
              <w:jc w:val="center"/>
              <w:rPr>
                <w:w w:val="90"/>
                <w:kern w:val="0"/>
                <w:sz w:val="21"/>
                <w:szCs w:val="21"/>
              </w:rPr>
            </w:pPr>
            <w:r>
              <w:rPr>
                <w:w w:val="90"/>
                <w:kern w:val="0"/>
                <w:sz w:val="21"/>
                <w:szCs w:val="21"/>
              </w:rPr>
              <w:t>UQ-10</w:t>
            </w:r>
            <w:r>
              <w:rPr>
                <w:rFonts w:hint="eastAsia"/>
                <w:w w:val="90"/>
                <w:kern w:val="0"/>
                <w:sz w:val="21"/>
                <w:szCs w:val="21"/>
              </w:rPr>
              <w:t>井下自卸车</w:t>
            </w:r>
          </w:p>
        </w:tc>
        <w:tc>
          <w:tcPr>
            <w:tcW w:w="264" w:type="pct"/>
            <w:tcBorders>
              <w:top w:val="single" w:color="000000" w:sz="4" w:space="0"/>
              <w:left w:val="single" w:color="000000" w:sz="4" w:space="0"/>
              <w:bottom w:val="single" w:color="000000" w:sz="4" w:space="0"/>
              <w:right w:val="single" w:color="000000" w:sz="4" w:space="0"/>
            </w:tcBorders>
            <w:vAlign w:val="center"/>
          </w:tcPr>
          <w:p w14:paraId="2D463E82">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7AD8D8E4">
            <w:pPr>
              <w:widowControl/>
              <w:adjustRightInd w:val="0"/>
              <w:snapToGrid w:val="0"/>
              <w:spacing w:line="240" w:lineRule="auto"/>
              <w:ind w:firstLine="0" w:firstLineChars="0"/>
              <w:jc w:val="center"/>
              <w:rPr>
                <w:w w:val="90"/>
                <w:kern w:val="0"/>
                <w:sz w:val="21"/>
                <w:szCs w:val="21"/>
              </w:rPr>
            </w:pPr>
            <w:r>
              <w:rPr>
                <w:w w:val="90"/>
                <w:kern w:val="0"/>
                <w:sz w:val="21"/>
                <w:szCs w:val="21"/>
              </w:rPr>
              <w:t>5</w:t>
            </w:r>
          </w:p>
        </w:tc>
        <w:tc>
          <w:tcPr>
            <w:tcW w:w="528" w:type="pct"/>
            <w:tcBorders>
              <w:top w:val="single" w:color="000000" w:sz="4" w:space="0"/>
              <w:left w:val="single" w:color="000000" w:sz="4" w:space="0"/>
              <w:bottom w:val="single" w:color="000000" w:sz="4" w:space="0"/>
              <w:right w:val="single" w:color="000000" w:sz="4" w:space="0"/>
            </w:tcBorders>
            <w:vAlign w:val="center"/>
          </w:tcPr>
          <w:p w14:paraId="6C059099">
            <w:pPr>
              <w:widowControl/>
              <w:adjustRightInd w:val="0"/>
              <w:snapToGrid w:val="0"/>
              <w:spacing w:line="240" w:lineRule="auto"/>
              <w:ind w:firstLine="0" w:firstLineChars="0"/>
              <w:jc w:val="center"/>
              <w:rPr>
                <w:w w:val="90"/>
                <w:kern w:val="0"/>
                <w:sz w:val="21"/>
                <w:szCs w:val="21"/>
              </w:rPr>
            </w:pPr>
            <w:r>
              <w:rPr>
                <w:w w:val="90"/>
                <w:kern w:val="0"/>
                <w:sz w:val="21"/>
                <w:szCs w:val="21"/>
              </w:rPr>
              <w:t>119</w:t>
            </w:r>
          </w:p>
        </w:tc>
        <w:tc>
          <w:tcPr>
            <w:tcW w:w="467" w:type="pct"/>
            <w:tcBorders>
              <w:top w:val="single" w:color="000000" w:sz="4" w:space="0"/>
              <w:left w:val="single" w:color="000000" w:sz="4" w:space="0"/>
              <w:bottom w:val="single" w:color="000000" w:sz="4" w:space="0"/>
              <w:right w:val="single" w:color="000000" w:sz="4" w:space="0"/>
            </w:tcBorders>
            <w:vAlign w:val="center"/>
          </w:tcPr>
          <w:p w14:paraId="2C891B78">
            <w:pPr>
              <w:widowControl/>
              <w:adjustRightInd w:val="0"/>
              <w:snapToGrid w:val="0"/>
              <w:spacing w:line="240" w:lineRule="auto"/>
              <w:ind w:firstLine="0" w:firstLineChars="0"/>
              <w:jc w:val="center"/>
              <w:rPr>
                <w:w w:val="90"/>
                <w:kern w:val="0"/>
                <w:sz w:val="21"/>
                <w:szCs w:val="21"/>
              </w:rPr>
            </w:pPr>
            <w:r>
              <w:rPr>
                <w:w w:val="90"/>
                <w:kern w:val="0"/>
                <w:sz w:val="21"/>
                <w:szCs w:val="21"/>
              </w:rPr>
              <w:t>595</w:t>
            </w:r>
          </w:p>
        </w:tc>
        <w:tc>
          <w:tcPr>
            <w:tcW w:w="395" w:type="pct"/>
            <w:tcBorders>
              <w:top w:val="single" w:color="000000" w:sz="4" w:space="0"/>
              <w:left w:val="single" w:color="000000" w:sz="4" w:space="0"/>
              <w:bottom w:val="single" w:color="000000" w:sz="4" w:space="0"/>
              <w:right w:val="single" w:color="000000" w:sz="4" w:space="0"/>
            </w:tcBorders>
            <w:vAlign w:val="center"/>
          </w:tcPr>
          <w:p w14:paraId="22EF9500">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5C33E2A3">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4D8A658D">
            <w:pPr>
              <w:widowControl/>
              <w:adjustRightInd w:val="0"/>
              <w:snapToGrid w:val="0"/>
              <w:spacing w:line="240" w:lineRule="auto"/>
              <w:ind w:firstLine="0" w:firstLineChars="0"/>
              <w:jc w:val="center"/>
              <w:rPr>
                <w:w w:val="90"/>
                <w:kern w:val="0"/>
                <w:sz w:val="21"/>
                <w:szCs w:val="21"/>
              </w:rPr>
            </w:pPr>
            <w:r>
              <w:rPr>
                <w:w w:val="90"/>
                <w:kern w:val="0"/>
                <w:sz w:val="21"/>
                <w:szCs w:val="21"/>
              </w:rPr>
              <w:t>19.8</w:t>
            </w:r>
          </w:p>
        </w:tc>
      </w:tr>
      <w:tr w14:paraId="27481369">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6914E84E">
            <w:pPr>
              <w:widowControl/>
              <w:adjustRightInd w:val="0"/>
              <w:snapToGrid w:val="0"/>
              <w:spacing w:line="240" w:lineRule="auto"/>
              <w:ind w:firstLine="0" w:firstLineChars="0"/>
              <w:jc w:val="center"/>
              <w:rPr>
                <w:w w:val="90"/>
                <w:kern w:val="0"/>
                <w:sz w:val="21"/>
                <w:szCs w:val="21"/>
              </w:rPr>
            </w:pPr>
            <w:r>
              <w:rPr>
                <w:w w:val="90"/>
                <w:kern w:val="0"/>
                <w:sz w:val="21"/>
                <w:szCs w:val="21"/>
              </w:rPr>
              <w:t>13</w:t>
            </w:r>
          </w:p>
        </w:tc>
        <w:tc>
          <w:tcPr>
            <w:tcW w:w="1593" w:type="pct"/>
            <w:tcBorders>
              <w:top w:val="single" w:color="000000" w:sz="4" w:space="0"/>
              <w:left w:val="single" w:color="000000" w:sz="4" w:space="0"/>
              <w:bottom w:val="single" w:color="000000" w:sz="4" w:space="0"/>
              <w:right w:val="single" w:color="000000" w:sz="4" w:space="0"/>
            </w:tcBorders>
            <w:vAlign w:val="center"/>
          </w:tcPr>
          <w:p w14:paraId="6220DD0A">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CY-3000湿式制动油罐车</w:t>
            </w:r>
          </w:p>
        </w:tc>
        <w:tc>
          <w:tcPr>
            <w:tcW w:w="264" w:type="pct"/>
            <w:tcBorders>
              <w:top w:val="single" w:color="000000" w:sz="4" w:space="0"/>
              <w:left w:val="single" w:color="000000" w:sz="4" w:space="0"/>
              <w:bottom w:val="single" w:color="000000" w:sz="4" w:space="0"/>
              <w:right w:val="single" w:color="000000" w:sz="4" w:space="0"/>
            </w:tcBorders>
            <w:vAlign w:val="center"/>
          </w:tcPr>
          <w:p w14:paraId="21CCA745">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4339C55A">
            <w:pPr>
              <w:widowControl/>
              <w:adjustRightInd w:val="0"/>
              <w:snapToGrid w:val="0"/>
              <w:spacing w:line="240" w:lineRule="auto"/>
              <w:ind w:firstLine="0" w:firstLineChars="0"/>
              <w:jc w:val="center"/>
              <w:rPr>
                <w:w w:val="90"/>
                <w:kern w:val="0"/>
                <w:sz w:val="21"/>
                <w:szCs w:val="21"/>
              </w:rPr>
            </w:pPr>
            <w:r>
              <w:rPr>
                <w:w w:val="90"/>
                <w:kern w:val="0"/>
                <w:sz w:val="21"/>
                <w:szCs w:val="21"/>
              </w:rPr>
              <w:t>4</w:t>
            </w:r>
          </w:p>
        </w:tc>
        <w:tc>
          <w:tcPr>
            <w:tcW w:w="528" w:type="pct"/>
            <w:tcBorders>
              <w:top w:val="single" w:color="000000" w:sz="4" w:space="0"/>
              <w:left w:val="single" w:color="000000" w:sz="4" w:space="0"/>
              <w:bottom w:val="single" w:color="000000" w:sz="4" w:space="0"/>
              <w:right w:val="single" w:color="000000" w:sz="4" w:space="0"/>
            </w:tcBorders>
            <w:vAlign w:val="center"/>
          </w:tcPr>
          <w:p w14:paraId="1A54EBE2">
            <w:pPr>
              <w:widowControl/>
              <w:adjustRightInd w:val="0"/>
              <w:snapToGrid w:val="0"/>
              <w:spacing w:line="240" w:lineRule="auto"/>
              <w:ind w:firstLine="0" w:firstLineChars="0"/>
              <w:jc w:val="center"/>
              <w:rPr>
                <w:w w:val="90"/>
                <w:kern w:val="0"/>
                <w:sz w:val="21"/>
                <w:szCs w:val="21"/>
              </w:rPr>
            </w:pPr>
            <w:r>
              <w:rPr>
                <w:w w:val="90"/>
                <w:kern w:val="0"/>
                <w:sz w:val="21"/>
                <w:szCs w:val="21"/>
              </w:rPr>
              <w:t>90</w:t>
            </w:r>
          </w:p>
        </w:tc>
        <w:tc>
          <w:tcPr>
            <w:tcW w:w="467" w:type="pct"/>
            <w:tcBorders>
              <w:top w:val="single" w:color="000000" w:sz="4" w:space="0"/>
              <w:left w:val="single" w:color="000000" w:sz="4" w:space="0"/>
              <w:bottom w:val="single" w:color="000000" w:sz="4" w:space="0"/>
              <w:right w:val="single" w:color="000000" w:sz="4" w:space="0"/>
            </w:tcBorders>
            <w:vAlign w:val="center"/>
          </w:tcPr>
          <w:p w14:paraId="46E9FCF1">
            <w:pPr>
              <w:widowControl/>
              <w:adjustRightInd w:val="0"/>
              <w:snapToGrid w:val="0"/>
              <w:spacing w:line="240" w:lineRule="auto"/>
              <w:ind w:firstLine="0" w:firstLineChars="0"/>
              <w:jc w:val="center"/>
              <w:rPr>
                <w:w w:val="90"/>
                <w:kern w:val="0"/>
                <w:sz w:val="21"/>
                <w:szCs w:val="21"/>
              </w:rPr>
            </w:pPr>
            <w:r>
              <w:rPr>
                <w:w w:val="90"/>
                <w:kern w:val="0"/>
                <w:sz w:val="21"/>
                <w:szCs w:val="21"/>
              </w:rPr>
              <w:t>360</w:t>
            </w:r>
          </w:p>
        </w:tc>
        <w:tc>
          <w:tcPr>
            <w:tcW w:w="395" w:type="pct"/>
            <w:tcBorders>
              <w:top w:val="single" w:color="000000" w:sz="4" w:space="0"/>
              <w:left w:val="single" w:color="000000" w:sz="4" w:space="0"/>
              <w:bottom w:val="single" w:color="000000" w:sz="4" w:space="0"/>
              <w:right w:val="single" w:color="000000" w:sz="4" w:space="0"/>
            </w:tcBorders>
            <w:vAlign w:val="center"/>
          </w:tcPr>
          <w:p w14:paraId="19997A1A">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2FEDF50A">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6DE3FF2">
            <w:pPr>
              <w:widowControl/>
              <w:adjustRightInd w:val="0"/>
              <w:snapToGrid w:val="0"/>
              <w:spacing w:line="240" w:lineRule="auto"/>
              <w:ind w:firstLine="0" w:firstLineChars="0"/>
              <w:jc w:val="center"/>
              <w:rPr>
                <w:w w:val="90"/>
                <w:kern w:val="0"/>
                <w:sz w:val="21"/>
                <w:szCs w:val="21"/>
              </w:rPr>
            </w:pPr>
            <w:r>
              <w:rPr>
                <w:w w:val="90"/>
                <w:kern w:val="0"/>
                <w:sz w:val="21"/>
                <w:szCs w:val="21"/>
              </w:rPr>
              <w:t>12.0</w:t>
            </w:r>
          </w:p>
        </w:tc>
      </w:tr>
      <w:tr w14:paraId="57811FAE">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131D7D96">
            <w:pPr>
              <w:widowControl/>
              <w:adjustRightInd w:val="0"/>
              <w:snapToGrid w:val="0"/>
              <w:spacing w:line="240" w:lineRule="auto"/>
              <w:ind w:firstLine="0" w:firstLineChars="0"/>
              <w:jc w:val="center"/>
              <w:rPr>
                <w:w w:val="90"/>
                <w:kern w:val="0"/>
                <w:sz w:val="21"/>
                <w:szCs w:val="21"/>
              </w:rPr>
            </w:pPr>
            <w:r>
              <w:rPr>
                <w:w w:val="90"/>
                <w:kern w:val="0"/>
                <w:sz w:val="21"/>
                <w:szCs w:val="21"/>
              </w:rPr>
              <w:t>14</w:t>
            </w:r>
          </w:p>
        </w:tc>
        <w:tc>
          <w:tcPr>
            <w:tcW w:w="1593" w:type="pct"/>
            <w:tcBorders>
              <w:top w:val="single" w:color="000000" w:sz="4" w:space="0"/>
              <w:left w:val="single" w:color="000000" w:sz="4" w:space="0"/>
              <w:bottom w:val="single" w:color="000000" w:sz="4" w:space="0"/>
              <w:right w:val="single" w:color="000000" w:sz="4" w:space="0"/>
            </w:tcBorders>
            <w:vAlign w:val="center"/>
          </w:tcPr>
          <w:p w14:paraId="6D67A02F">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湿式制动载人防爆运输车</w:t>
            </w:r>
          </w:p>
        </w:tc>
        <w:tc>
          <w:tcPr>
            <w:tcW w:w="264" w:type="pct"/>
            <w:tcBorders>
              <w:top w:val="single" w:color="000000" w:sz="4" w:space="0"/>
              <w:left w:val="single" w:color="000000" w:sz="4" w:space="0"/>
              <w:bottom w:val="single" w:color="000000" w:sz="4" w:space="0"/>
              <w:right w:val="single" w:color="000000" w:sz="4" w:space="0"/>
            </w:tcBorders>
            <w:vAlign w:val="center"/>
          </w:tcPr>
          <w:p w14:paraId="3B7909DC">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2D7C0E38">
            <w:pPr>
              <w:widowControl/>
              <w:adjustRightInd w:val="0"/>
              <w:snapToGrid w:val="0"/>
              <w:spacing w:line="240" w:lineRule="auto"/>
              <w:ind w:firstLine="0" w:firstLineChars="0"/>
              <w:jc w:val="center"/>
              <w:rPr>
                <w:w w:val="90"/>
                <w:kern w:val="0"/>
                <w:sz w:val="21"/>
                <w:szCs w:val="21"/>
              </w:rPr>
            </w:pPr>
            <w:r>
              <w:rPr>
                <w:w w:val="90"/>
                <w:kern w:val="0"/>
                <w:sz w:val="21"/>
                <w:szCs w:val="21"/>
              </w:rPr>
              <w:t>5</w:t>
            </w:r>
          </w:p>
        </w:tc>
        <w:tc>
          <w:tcPr>
            <w:tcW w:w="528" w:type="pct"/>
            <w:tcBorders>
              <w:top w:val="single" w:color="000000" w:sz="4" w:space="0"/>
              <w:left w:val="single" w:color="000000" w:sz="4" w:space="0"/>
              <w:bottom w:val="single" w:color="000000" w:sz="4" w:space="0"/>
              <w:right w:val="single" w:color="000000" w:sz="4" w:space="0"/>
            </w:tcBorders>
            <w:vAlign w:val="center"/>
          </w:tcPr>
          <w:p w14:paraId="0B3A5742">
            <w:pPr>
              <w:widowControl/>
              <w:adjustRightInd w:val="0"/>
              <w:snapToGrid w:val="0"/>
              <w:spacing w:line="240" w:lineRule="auto"/>
              <w:ind w:firstLine="0" w:firstLineChars="0"/>
              <w:jc w:val="center"/>
              <w:rPr>
                <w:w w:val="90"/>
                <w:kern w:val="0"/>
                <w:sz w:val="21"/>
                <w:szCs w:val="21"/>
              </w:rPr>
            </w:pPr>
            <w:r>
              <w:rPr>
                <w:w w:val="90"/>
                <w:kern w:val="0"/>
                <w:sz w:val="21"/>
                <w:szCs w:val="21"/>
              </w:rPr>
              <w:t>96</w:t>
            </w:r>
          </w:p>
        </w:tc>
        <w:tc>
          <w:tcPr>
            <w:tcW w:w="467" w:type="pct"/>
            <w:tcBorders>
              <w:top w:val="single" w:color="000000" w:sz="4" w:space="0"/>
              <w:left w:val="single" w:color="000000" w:sz="4" w:space="0"/>
              <w:bottom w:val="single" w:color="000000" w:sz="4" w:space="0"/>
              <w:right w:val="single" w:color="000000" w:sz="4" w:space="0"/>
            </w:tcBorders>
            <w:vAlign w:val="center"/>
          </w:tcPr>
          <w:p w14:paraId="58323B71">
            <w:pPr>
              <w:widowControl/>
              <w:adjustRightInd w:val="0"/>
              <w:snapToGrid w:val="0"/>
              <w:spacing w:line="240" w:lineRule="auto"/>
              <w:ind w:firstLine="0" w:firstLineChars="0"/>
              <w:jc w:val="center"/>
              <w:rPr>
                <w:w w:val="90"/>
                <w:kern w:val="0"/>
                <w:sz w:val="21"/>
                <w:szCs w:val="21"/>
              </w:rPr>
            </w:pPr>
            <w:r>
              <w:rPr>
                <w:w w:val="90"/>
                <w:kern w:val="0"/>
                <w:sz w:val="21"/>
                <w:szCs w:val="21"/>
              </w:rPr>
              <w:t>480</w:t>
            </w:r>
          </w:p>
        </w:tc>
        <w:tc>
          <w:tcPr>
            <w:tcW w:w="395" w:type="pct"/>
            <w:tcBorders>
              <w:top w:val="single" w:color="000000" w:sz="4" w:space="0"/>
              <w:left w:val="single" w:color="000000" w:sz="4" w:space="0"/>
              <w:bottom w:val="single" w:color="000000" w:sz="4" w:space="0"/>
              <w:right w:val="single" w:color="000000" w:sz="4" w:space="0"/>
            </w:tcBorders>
            <w:vAlign w:val="center"/>
          </w:tcPr>
          <w:p w14:paraId="1A1F4E4C">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3E0B70D5">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7F47032">
            <w:pPr>
              <w:widowControl/>
              <w:adjustRightInd w:val="0"/>
              <w:snapToGrid w:val="0"/>
              <w:spacing w:line="240" w:lineRule="auto"/>
              <w:ind w:firstLine="0" w:firstLineChars="0"/>
              <w:jc w:val="center"/>
              <w:rPr>
                <w:w w:val="90"/>
                <w:kern w:val="0"/>
                <w:sz w:val="21"/>
                <w:szCs w:val="21"/>
              </w:rPr>
            </w:pPr>
            <w:r>
              <w:rPr>
                <w:w w:val="90"/>
                <w:kern w:val="0"/>
                <w:sz w:val="21"/>
                <w:szCs w:val="21"/>
              </w:rPr>
              <w:t>16.0</w:t>
            </w:r>
          </w:p>
        </w:tc>
      </w:tr>
      <w:tr w14:paraId="16226431">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0FA9372C">
            <w:pPr>
              <w:widowControl/>
              <w:adjustRightInd w:val="0"/>
              <w:snapToGrid w:val="0"/>
              <w:spacing w:line="240" w:lineRule="auto"/>
              <w:ind w:firstLine="0" w:firstLineChars="0"/>
              <w:jc w:val="center"/>
              <w:rPr>
                <w:w w:val="90"/>
                <w:kern w:val="0"/>
                <w:sz w:val="21"/>
                <w:szCs w:val="21"/>
              </w:rPr>
            </w:pPr>
            <w:r>
              <w:rPr>
                <w:w w:val="90"/>
                <w:kern w:val="0"/>
                <w:sz w:val="21"/>
                <w:szCs w:val="21"/>
              </w:rPr>
              <w:t>15</w:t>
            </w:r>
          </w:p>
        </w:tc>
        <w:tc>
          <w:tcPr>
            <w:tcW w:w="1593" w:type="pct"/>
            <w:tcBorders>
              <w:top w:val="single" w:color="000000" w:sz="4" w:space="0"/>
              <w:left w:val="single" w:color="000000" w:sz="4" w:space="0"/>
              <w:bottom w:val="single" w:color="000000" w:sz="4" w:space="0"/>
              <w:right w:val="single" w:color="000000" w:sz="4" w:space="0"/>
            </w:tcBorders>
            <w:vAlign w:val="center"/>
          </w:tcPr>
          <w:p w14:paraId="69B6481B">
            <w:pPr>
              <w:widowControl/>
              <w:adjustRightInd w:val="0"/>
              <w:snapToGrid w:val="0"/>
              <w:spacing w:line="240" w:lineRule="auto"/>
              <w:ind w:firstLine="0" w:firstLineChars="0"/>
              <w:jc w:val="center"/>
              <w:rPr>
                <w:w w:val="90"/>
                <w:kern w:val="0"/>
                <w:sz w:val="21"/>
                <w:szCs w:val="21"/>
              </w:rPr>
            </w:pPr>
            <w:r>
              <w:rPr>
                <w:rFonts w:hint="eastAsia"/>
                <w:w w:val="90"/>
                <w:kern w:val="0"/>
                <w:sz w:val="21"/>
                <w:szCs w:val="21"/>
              </w:rPr>
              <w:t>井下材料车</w:t>
            </w:r>
          </w:p>
        </w:tc>
        <w:tc>
          <w:tcPr>
            <w:tcW w:w="264" w:type="pct"/>
            <w:tcBorders>
              <w:top w:val="single" w:color="000000" w:sz="4" w:space="0"/>
              <w:left w:val="single" w:color="000000" w:sz="4" w:space="0"/>
              <w:bottom w:val="single" w:color="000000" w:sz="4" w:space="0"/>
              <w:right w:val="single" w:color="000000" w:sz="4" w:space="0"/>
            </w:tcBorders>
            <w:vAlign w:val="center"/>
          </w:tcPr>
          <w:p w14:paraId="10F92BB2">
            <w:pPr>
              <w:widowControl/>
              <w:adjustRightInd w:val="0"/>
              <w:snapToGrid w:val="0"/>
              <w:spacing w:line="240" w:lineRule="auto"/>
              <w:ind w:firstLine="0" w:firstLineChars="0"/>
              <w:jc w:val="center"/>
              <w:rPr>
                <w:w w:val="90"/>
                <w:kern w:val="0"/>
                <w:sz w:val="21"/>
                <w:szCs w:val="21"/>
              </w:rPr>
            </w:pPr>
            <w:r>
              <w:rPr>
                <w:w w:val="90"/>
                <w:kern w:val="0"/>
                <w:sz w:val="21"/>
                <w:szCs w:val="21"/>
              </w:rPr>
              <w:t>台</w:t>
            </w:r>
          </w:p>
        </w:tc>
        <w:tc>
          <w:tcPr>
            <w:tcW w:w="264" w:type="pct"/>
            <w:tcBorders>
              <w:top w:val="single" w:color="000000" w:sz="4" w:space="0"/>
              <w:left w:val="single" w:color="000000" w:sz="4" w:space="0"/>
              <w:bottom w:val="single" w:color="000000" w:sz="4" w:space="0"/>
              <w:right w:val="single" w:color="000000" w:sz="4" w:space="0"/>
            </w:tcBorders>
            <w:vAlign w:val="center"/>
          </w:tcPr>
          <w:p w14:paraId="420E171E">
            <w:pPr>
              <w:widowControl/>
              <w:adjustRightInd w:val="0"/>
              <w:snapToGrid w:val="0"/>
              <w:spacing w:line="240" w:lineRule="auto"/>
              <w:ind w:firstLine="0" w:firstLineChars="0"/>
              <w:jc w:val="center"/>
              <w:rPr>
                <w:w w:val="90"/>
                <w:kern w:val="0"/>
                <w:sz w:val="21"/>
                <w:szCs w:val="21"/>
              </w:rPr>
            </w:pPr>
            <w:r>
              <w:rPr>
                <w:w w:val="90"/>
                <w:kern w:val="0"/>
                <w:sz w:val="21"/>
                <w:szCs w:val="21"/>
              </w:rPr>
              <w:t>5</w:t>
            </w:r>
          </w:p>
        </w:tc>
        <w:tc>
          <w:tcPr>
            <w:tcW w:w="528" w:type="pct"/>
            <w:tcBorders>
              <w:top w:val="single" w:color="000000" w:sz="4" w:space="0"/>
              <w:left w:val="single" w:color="000000" w:sz="4" w:space="0"/>
              <w:bottom w:val="single" w:color="000000" w:sz="4" w:space="0"/>
              <w:right w:val="single" w:color="000000" w:sz="4" w:space="0"/>
            </w:tcBorders>
            <w:vAlign w:val="center"/>
          </w:tcPr>
          <w:p w14:paraId="3199B05E">
            <w:pPr>
              <w:widowControl/>
              <w:adjustRightInd w:val="0"/>
              <w:snapToGrid w:val="0"/>
              <w:spacing w:line="240" w:lineRule="auto"/>
              <w:ind w:firstLine="0" w:firstLineChars="0"/>
              <w:jc w:val="center"/>
              <w:rPr>
                <w:w w:val="90"/>
                <w:kern w:val="0"/>
                <w:sz w:val="21"/>
                <w:szCs w:val="21"/>
              </w:rPr>
            </w:pPr>
            <w:r>
              <w:rPr>
                <w:w w:val="90"/>
                <w:kern w:val="0"/>
                <w:sz w:val="21"/>
                <w:szCs w:val="21"/>
              </w:rPr>
              <w:t>96</w:t>
            </w:r>
          </w:p>
        </w:tc>
        <w:tc>
          <w:tcPr>
            <w:tcW w:w="467" w:type="pct"/>
            <w:tcBorders>
              <w:top w:val="single" w:color="000000" w:sz="4" w:space="0"/>
              <w:left w:val="single" w:color="000000" w:sz="4" w:space="0"/>
              <w:bottom w:val="single" w:color="000000" w:sz="4" w:space="0"/>
              <w:right w:val="single" w:color="000000" w:sz="4" w:space="0"/>
            </w:tcBorders>
            <w:vAlign w:val="center"/>
          </w:tcPr>
          <w:p w14:paraId="700FD126">
            <w:pPr>
              <w:widowControl/>
              <w:adjustRightInd w:val="0"/>
              <w:snapToGrid w:val="0"/>
              <w:spacing w:line="240" w:lineRule="auto"/>
              <w:ind w:firstLine="0" w:firstLineChars="0"/>
              <w:jc w:val="center"/>
              <w:rPr>
                <w:w w:val="90"/>
                <w:kern w:val="0"/>
                <w:sz w:val="21"/>
                <w:szCs w:val="21"/>
              </w:rPr>
            </w:pPr>
            <w:r>
              <w:rPr>
                <w:w w:val="90"/>
                <w:kern w:val="0"/>
                <w:sz w:val="21"/>
                <w:szCs w:val="21"/>
              </w:rPr>
              <w:t>480</w:t>
            </w:r>
          </w:p>
        </w:tc>
        <w:tc>
          <w:tcPr>
            <w:tcW w:w="395" w:type="pct"/>
            <w:tcBorders>
              <w:top w:val="single" w:color="000000" w:sz="4" w:space="0"/>
              <w:left w:val="single" w:color="000000" w:sz="4" w:space="0"/>
              <w:bottom w:val="single" w:color="000000" w:sz="4" w:space="0"/>
              <w:right w:val="single" w:color="000000" w:sz="4" w:space="0"/>
            </w:tcBorders>
            <w:vAlign w:val="center"/>
          </w:tcPr>
          <w:p w14:paraId="29D79831">
            <w:pPr>
              <w:widowControl/>
              <w:adjustRightInd w:val="0"/>
              <w:snapToGrid w:val="0"/>
              <w:spacing w:line="240" w:lineRule="auto"/>
              <w:ind w:firstLine="0" w:firstLineChars="0"/>
              <w:jc w:val="center"/>
              <w:rPr>
                <w:w w:val="90"/>
                <w:kern w:val="0"/>
                <w:sz w:val="21"/>
                <w:szCs w:val="21"/>
              </w:rPr>
            </w:pPr>
            <w:r>
              <w:rPr>
                <w:w w:val="90"/>
                <w:kern w:val="0"/>
                <w:sz w:val="21"/>
                <w:szCs w:val="21"/>
              </w:rPr>
              <w:t>0.5</w:t>
            </w:r>
          </w:p>
        </w:tc>
        <w:tc>
          <w:tcPr>
            <w:tcW w:w="721" w:type="pct"/>
            <w:tcBorders>
              <w:top w:val="single" w:color="000000" w:sz="4" w:space="0"/>
              <w:left w:val="single" w:color="000000" w:sz="4" w:space="0"/>
              <w:bottom w:val="single" w:color="000000" w:sz="4" w:space="0"/>
              <w:right w:val="single" w:color="000000" w:sz="4" w:space="0"/>
            </w:tcBorders>
            <w:vAlign w:val="center"/>
          </w:tcPr>
          <w:p w14:paraId="4EF64D2B">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0.067 </w:t>
            </w:r>
          </w:p>
        </w:tc>
        <w:tc>
          <w:tcPr>
            <w:tcW w:w="501" w:type="pct"/>
            <w:tcBorders>
              <w:top w:val="single" w:color="000000" w:sz="4" w:space="0"/>
              <w:left w:val="single" w:color="000000" w:sz="4" w:space="0"/>
              <w:bottom w:val="single" w:color="000000" w:sz="4" w:space="0"/>
              <w:right w:val="single" w:color="000000" w:sz="4" w:space="0"/>
            </w:tcBorders>
            <w:vAlign w:val="center"/>
          </w:tcPr>
          <w:p w14:paraId="59FB3B64">
            <w:pPr>
              <w:widowControl/>
              <w:adjustRightInd w:val="0"/>
              <w:snapToGrid w:val="0"/>
              <w:spacing w:line="240" w:lineRule="auto"/>
              <w:ind w:firstLine="0" w:firstLineChars="0"/>
              <w:jc w:val="center"/>
              <w:rPr>
                <w:w w:val="90"/>
                <w:kern w:val="0"/>
                <w:sz w:val="21"/>
                <w:szCs w:val="21"/>
              </w:rPr>
            </w:pPr>
            <w:r>
              <w:rPr>
                <w:w w:val="90"/>
                <w:kern w:val="0"/>
                <w:sz w:val="21"/>
                <w:szCs w:val="21"/>
              </w:rPr>
              <w:t>16.0</w:t>
            </w:r>
          </w:p>
        </w:tc>
      </w:tr>
      <w:tr w14:paraId="08783EF3">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406A5EC1">
            <w:pPr>
              <w:widowControl/>
              <w:adjustRightInd w:val="0"/>
              <w:snapToGrid w:val="0"/>
              <w:spacing w:line="240" w:lineRule="auto"/>
              <w:ind w:firstLine="0" w:firstLineChars="0"/>
              <w:jc w:val="center"/>
              <w:rPr>
                <w:w w:val="90"/>
                <w:kern w:val="0"/>
                <w:sz w:val="21"/>
                <w:szCs w:val="21"/>
              </w:rPr>
            </w:pPr>
            <w:r>
              <w:rPr>
                <w:w w:val="90"/>
                <w:kern w:val="0"/>
                <w:sz w:val="21"/>
                <w:szCs w:val="21"/>
              </w:rPr>
              <w:t>16</w:t>
            </w:r>
          </w:p>
        </w:tc>
        <w:tc>
          <w:tcPr>
            <w:tcW w:w="1593" w:type="pct"/>
            <w:tcBorders>
              <w:top w:val="single" w:color="000000" w:sz="4" w:space="0"/>
              <w:left w:val="single" w:color="000000" w:sz="4" w:space="0"/>
              <w:bottom w:val="single" w:color="000000" w:sz="4" w:space="0"/>
              <w:right w:val="single" w:color="000000" w:sz="4" w:space="0"/>
            </w:tcBorders>
            <w:noWrap/>
            <w:vAlign w:val="center"/>
          </w:tcPr>
          <w:p w14:paraId="4BC1D95F">
            <w:pPr>
              <w:widowControl/>
              <w:adjustRightInd w:val="0"/>
              <w:snapToGrid w:val="0"/>
              <w:spacing w:line="240" w:lineRule="auto"/>
              <w:ind w:firstLine="0" w:firstLineChars="0"/>
              <w:jc w:val="center"/>
              <w:rPr>
                <w:w w:val="90"/>
                <w:kern w:val="0"/>
                <w:sz w:val="21"/>
                <w:szCs w:val="21"/>
              </w:rPr>
            </w:pPr>
            <w:r>
              <w:rPr>
                <w:w w:val="90"/>
                <w:kern w:val="0"/>
                <w:sz w:val="21"/>
                <w:szCs w:val="21"/>
              </w:rPr>
              <w:t>风量合计</w:t>
            </w: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66BCE162">
            <w:pPr>
              <w:widowControl/>
              <w:adjustRightInd w:val="0"/>
              <w:snapToGrid w:val="0"/>
              <w:spacing w:line="240" w:lineRule="auto"/>
              <w:ind w:firstLine="0" w:firstLineChars="0"/>
              <w:jc w:val="center"/>
              <w:rPr>
                <w:w w:val="90"/>
                <w:kern w:val="0"/>
                <w:sz w:val="21"/>
                <w:szCs w:val="21"/>
              </w:rPr>
            </w:pP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771F5E91">
            <w:pPr>
              <w:widowControl/>
              <w:adjustRightInd w:val="0"/>
              <w:snapToGrid w:val="0"/>
              <w:spacing w:line="240" w:lineRule="auto"/>
              <w:ind w:firstLine="0" w:firstLineChars="0"/>
              <w:jc w:val="center"/>
              <w:rPr>
                <w:w w:val="90"/>
                <w:kern w:val="0"/>
                <w:sz w:val="21"/>
                <w:szCs w:val="21"/>
              </w:rPr>
            </w:pPr>
          </w:p>
        </w:tc>
        <w:tc>
          <w:tcPr>
            <w:tcW w:w="528" w:type="pct"/>
            <w:tcBorders>
              <w:top w:val="single" w:color="000000" w:sz="4" w:space="0"/>
              <w:left w:val="single" w:color="000000" w:sz="4" w:space="0"/>
              <w:bottom w:val="single" w:color="000000" w:sz="4" w:space="0"/>
              <w:right w:val="single" w:color="000000" w:sz="4" w:space="0"/>
            </w:tcBorders>
            <w:noWrap/>
            <w:vAlign w:val="center"/>
          </w:tcPr>
          <w:p w14:paraId="097BC515">
            <w:pPr>
              <w:widowControl/>
              <w:adjustRightInd w:val="0"/>
              <w:snapToGrid w:val="0"/>
              <w:spacing w:line="240" w:lineRule="auto"/>
              <w:ind w:firstLine="0" w:firstLineChars="0"/>
              <w:jc w:val="center"/>
              <w:rPr>
                <w:w w:val="90"/>
                <w:kern w:val="0"/>
                <w:sz w:val="21"/>
                <w:szCs w:val="21"/>
              </w:rPr>
            </w:pPr>
          </w:p>
        </w:tc>
        <w:tc>
          <w:tcPr>
            <w:tcW w:w="467" w:type="pct"/>
            <w:tcBorders>
              <w:top w:val="single" w:color="000000" w:sz="4" w:space="0"/>
              <w:left w:val="single" w:color="000000" w:sz="4" w:space="0"/>
              <w:bottom w:val="single" w:color="000000" w:sz="4" w:space="0"/>
              <w:right w:val="single" w:color="000000" w:sz="4" w:space="0"/>
            </w:tcBorders>
            <w:noWrap/>
            <w:vAlign w:val="center"/>
          </w:tcPr>
          <w:p w14:paraId="6C447963">
            <w:pPr>
              <w:widowControl/>
              <w:adjustRightInd w:val="0"/>
              <w:snapToGrid w:val="0"/>
              <w:spacing w:line="240" w:lineRule="auto"/>
              <w:ind w:firstLine="0" w:firstLineChars="0"/>
              <w:jc w:val="center"/>
              <w:rPr>
                <w:w w:val="90"/>
                <w:kern w:val="0"/>
                <w:sz w:val="21"/>
                <w:szCs w:val="21"/>
              </w:rPr>
            </w:pPr>
          </w:p>
        </w:tc>
        <w:tc>
          <w:tcPr>
            <w:tcW w:w="395" w:type="pct"/>
            <w:tcBorders>
              <w:top w:val="single" w:color="000000" w:sz="4" w:space="0"/>
              <w:left w:val="single" w:color="000000" w:sz="4" w:space="0"/>
              <w:bottom w:val="single" w:color="000000" w:sz="4" w:space="0"/>
              <w:right w:val="single" w:color="000000" w:sz="4" w:space="0"/>
            </w:tcBorders>
            <w:noWrap/>
            <w:vAlign w:val="center"/>
          </w:tcPr>
          <w:p w14:paraId="19F1C51A">
            <w:pPr>
              <w:widowControl/>
              <w:adjustRightInd w:val="0"/>
              <w:snapToGrid w:val="0"/>
              <w:spacing w:line="240" w:lineRule="auto"/>
              <w:ind w:firstLine="0" w:firstLineChars="0"/>
              <w:jc w:val="center"/>
              <w:rPr>
                <w:w w:val="90"/>
                <w:kern w:val="0"/>
                <w:sz w:val="21"/>
                <w:szCs w:val="21"/>
              </w:rPr>
            </w:pPr>
          </w:p>
        </w:tc>
        <w:tc>
          <w:tcPr>
            <w:tcW w:w="721" w:type="pct"/>
            <w:tcBorders>
              <w:top w:val="single" w:color="000000" w:sz="4" w:space="0"/>
              <w:left w:val="single" w:color="000000" w:sz="4" w:space="0"/>
              <w:bottom w:val="single" w:color="000000" w:sz="4" w:space="0"/>
              <w:right w:val="single" w:color="000000" w:sz="4" w:space="0"/>
            </w:tcBorders>
            <w:noWrap/>
            <w:vAlign w:val="center"/>
          </w:tcPr>
          <w:p w14:paraId="6B232CEA">
            <w:pPr>
              <w:widowControl/>
              <w:adjustRightInd w:val="0"/>
              <w:snapToGrid w:val="0"/>
              <w:spacing w:line="240" w:lineRule="auto"/>
              <w:ind w:firstLine="0" w:firstLineChars="0"/>
              <w:jc w:val="center"/>
              <w:rPr>
                <w:w w:val="90"/>
                <w:kern w:val="0"/>
                <w:sz w:val="21"/>
                <w:szCs w:val="21"/>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F7F0F3C">
            <w:pPr>
              <w:widowControl/>
              <w:adjustRightInd w:val="0"/>
              <w:snapToGrid w:val="0"/>
              <w:spacing w:line="240" w:lineRule="auto"/>
              <w:ind w:firstLine="0" w:firstLineChars="0"/>
              <w:jc w:val="center"/>
              <w:rPr>
                <w:w w:val="90"/>
                <w:kern w:val="0"/>
                <w:sz w:val="21"/>
                <w:szCs w:val="21"/>
              </w:rPr>
            </w:pPr>
            <w:r>
              <w:rPr>
                <w:w w:val="90"/>
                <w:kern w:val="0"/>
                <w:sz w:val="21"/>
                <w:szCs w:val="21"/>
              </w:rPr>
              <w:t>253.0</w:t>
            </w:r>
          </w:p>
        </w:tc>
      </w:tr>
      <w:tr w14:paraId="775063BB">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0813B511">
            <w:pPr>
              <w:widowControl/>
              <w:adjustRightInd w:val="0"/>
              <w:snapToGrid w:val="0"/>
              <w:spacing w:line="240" w:lineRule="auto"/>
              <w:ind w:firstLine="0" w:firstLineChars="0"/>
              <w:jc w:val="center"/>
              <w:rPr>
                <w:w w:val="90"/>
                <w:kern w:val="0"/>
                <w:sz w:val="21"/>
                <w:szCs w:val="21"/>
              </w:rPr>
            </w:pPr>
            <w:r>
              <w:rPr>
                <w:w w:val="90"/>
                <w:kern w:val="0"/>
                <w:sz w:val="21"/>
                <w:szCs w:val="21"/>
              </w:rPr>
              <w:t>17</w:t>
            </w:r>
          </w:p>
        </w:tc>
        <w:tc>
          <w:tcPr>
            <w:tcW w:w="1593" w:type="pct"/>
            <w:tcBorders>
              <w:top w:val="single" w:color="000000" w:sz="4" w:space="0"/>
              <w:left w:val="single" w:color="000000" w:sz="4" w:space="0"/>
              <w:bottom w:val="single" w:color="000000" w:sz="4" w:space="0"/>
              <w:right w:val="single" w:color="000000" w:sz="4" w:space="0"/>
            </w:tcBorders>
            <w:noWrap/>
            <w:vAlign w:val="center"/>
          </w:tcPr>
          <w:p w14:paraId="7715F6E8">
            <w:pPr>
              <w:widowControl/>
              <w:adjustRightInd w:val="0"/>
              <w:snapToGrid w:val="0"/>
              <w:spacing w:line="240" w:lineRule="auto"/>
              <w:ind w:firstLine="0" w:firstLineChars="0"/>
              <w:jc w:val="center"/>
              <w:rPr>
                <w:w w:val="90"/>
                <w:kern w:val="0"/>
                <w:sz w:val="21"/>
                <w:szCs w:val="21"/>
              </w:rPr>
            </w:pPr>
            <w:r>
              <w:rPr>
                <w:w w:val="90"/>
                <w:kern w:val="0"/>
                <w:sz w:val="21"/>
                <w:szCs w:val="21"/>
              </w:rPr>
              <w:t>漏风系数</w:t>
            </w: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20AE2928">
            <w:pPr>
              <w:widowControl/>
              <w:adjustRightInd w:val="0"/>
              <w:snapToGrid w:val="0"/>
              <w:spacing w:line="240" w:lineRule="auto"/>
              <w:ind w:firstLine="0" w:firstLineChars="0"/>
              <w:jc w:val="center"/>
              <w:rPr>
                <w:w w:val="90"/>
                <w:kern w:val="0"/>
                <w:sz w:val="21"/>
                <w:szCs w:val="21"/>
              </w:rPr>
            </w:pP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546D9535">
            <w:pPr>
              <w:widowControl/>
              <w:adjustRightInd w:val="0"/>
              <w:snapToGrid w:val="0"/>
              <w:spacing w:line="240" w:lineRule="auto"/>
              <w:ind w:firstLine="0" w:firstLineChars="0"/>
              <w:jc w:val="center"/>
              <w:rPr>
                <w:w w:val="90"/>
                <w:kern w:val="0"/>
                <w:sz w:val="21"/>
                <w:szCs w:val="21"/>
              </w:rPr>
            </w:pPr>
          </w:p>
        </w:tc>
        <w:tc>
          <w:tcPr>
            <w:tcW w:w="528" w:type="pct"/>
            <w:tcBorders>
              <w:top w:val="single" w:color="000000" w:sz="4" w:space="0"/>
              <w:left w:val="single" w:color="000000" w:sz="4" w:space="0"/>
              <w:bottom w:val="single" w:color="000000" w:sz="4" w:space="0"/>
              <w:right w:val="single" w:color="000000" w:sz="4" w:space="0"/>
            </w:tcBorders>
            <w:noWrap/>
            <w:vAlign w:val="center"/>
          </w:tcPr>
          <w:p w14:paraId="0B01FC81">
            <w:pPr>
              <w:widowControl/>
              <w:adjustRightInd w:val="0"/>
              <w:snapToGrid w:val="0"/>
              <w:spacing w:line="240" w:lineRule="auto"/>
              <w:ind w:firstLine="0" w:firstLineChars="0"/>
              <w:jc w:val="center"/>
              <w:rPr>
                <w:w w:val="90"/>
                <w:kern w:val="0"/>
                <w:sz w:val="21"/>
                <w:szCs w:val="21"/>
              </w:rPr>
            </w:pPr>
          </w:p>
        </w:tc>
        <w:tc>
          <w:tcPr>
            <w:tcW w:w="467" w:type="pct"/>
            <w:tcBorders>
              <w:top w:val="single" w:color="000000" w:sz="4" w:space="0"/>
              <w:left w:val="single" w:color="000000" w:sz="4" w:space="0"/>
              <w:bottom w:val="single" w:color="000000" w:sz="4" w:space="0"/>
              <w:right w:val="single" w:color="000000" w:sz="4" w:space="0"/>
            </w:tcBorders>
            <w:noWrap/>
            <w:vAlign w:val="center"/>
          </w:tcPr>
          <w:p w14:paraId="6640AA11">
            <w:pPr>
              <w:widowControl/>
              <w:adjustRightInd w:val="0"/>
              <w:snapToGrid w:val="0"/>
              <w:spacing w:line="240" w:lineRule="auto"/>
              <w:ind w:firstLine="0" w:firstLineChars="0"/>
              <w:jc w:val="center"/>
              <w:rPr>
                <w:w w:val="90"/>
                <w:kern w:val="0"/>
                <w:sz w:val="21"/>
                <w:szCs w:val="21"/>
              </w:rPr>
            </w:pPr>
          </w:p>
        </w:tc>
        <w:tc>
          <w:tcPr>
            <w:tcW w:w="395" w:type="pct"/>
            <w:tcBorders>
              <w:top w:val="single" w:color="000000" w:sz="4" w:space="0"/>
              <w:left w:val="single" w:color="000000" w:sz="4" w:space="0"/>
              <w:bottom w:val="single" w:color="000000" w:sz="4" w:space="0"/>
              <w:right w:val="single" w:color="000000" w:sz="4" w:space="0"/>
            </w:tcBorders>
            <w:noWrap/>
            <w:vAlign w:val="center"/>
          </w:tcPr>
          <w:p w14:paraId="59C939C6">
            <w:pPr>
              <w:widowControl/>
              <w:adjustRightInd w:val="0"/>
              <w:snapToGrid w:val="0"/>
              <w:spacing w:line="240" w:lineRule="auto"/>
              <w:ind w:firstLine="0" w:firstLineChars="0"/>
              <w:jc w:val="center"/>
              <w:rPr>
                <w:w w:val="90"/>
                <w:kern w:val="0"/>
                <w:sz w:val="21"/>
                <w:szCs w:val="21"/>
              </w:rPr>
            </w:pPr>
          </w:p>
        </w:tc>
        <w:tc>
          <w:tcPr>
            <w:tcW w:w="721" w:type="pct"/>
            <w:tcBorders>
              <w:top w:val="single" w:color="000000" w:sz="4" w:space="0"/>
              <w:left w:val="single" w:color="000000" w:sz="4" w:space="0"/>
              <w:bottom w:val="single" w:color="000000" w:sz="4" w:space="0"/>
              <w:right w:val="single" w:color="000000" w:sz="4" w:space="0"/>
            </w:tcBorders>
            <w:noWrap/>
            <w:vAlign w:val="center"/>
          </w:tcPr>
          <w:p w14:paraId="17BA347A">
            <w:pPr>
              <w:widowControl/>
              <w:adjustRightInd w:val="0"/>
              <w:snapToGrid w:val="0"/>
              <w:spacing w:line="240" w:lineRule="auto"/>
              <w:ind w:firstLine="0" w:firstLineChars="0"/>
              <w:jc w:val="center"/>
              <w:rPr>
                <w:w w:val="90"/>
                <w:kern w:val="0"/>
                <w:sz w:val="21"/>
                <w:szCs w:val="21"/>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D7BF41A">
            <w:pPr>
              <w:widowControl/>
              <w:adjustRightInd w:val="0"/>
              <w:snapToGrid w:val="0"/>
              <w:spacing w:line="240" w:lineRule="auto"/>
              <w:ind w:firstLine="0" w:firstLineChars="0"/>
              <w:jc w:val="center"/>
              <w:rPr>
                <w:w w:val="90"/>
                <w:kern w:val="0"/>
                <w:sz w:val="21"/>
                <w:szCs w:val="21"/>
              </w:rPr>
            </w:pPr>
            <w:r>
              <w:rPr>
                <w:w w:val="90"/>
                <w:kern w:val="0"/>
                <w:sz w:val="21"/>
                <w:szCs w:val="21"/>
              </w:rPr>
              <w:t>1.38</w:t>
            </w:r>
          </w:p>
        </w:tc>
      </w:tr>
      <w:tr w14:paraId="2BD193DD">
        <w:tblPrEx>
          <w:tblCellMar>
            <w:top w:w="0" w:type="dxa"/>
            <w:left w:w="108" w:type="dxa"/>
            <w:bottom w:w="0" w:type="dxa"/>
            <w:right w:w="108" w:type="dxa"/>
          </w:tblCellMar>
        </w:tblPrEx>
        <w:trPr>
          <w:trHeight w:val="425" w:hRule="atLeast"/>
        </w:trPr>
        <w:tc>
          <w:tcPr>
            <w:tcW w:w="264" w:type="pct"/>
            <w:tcBorders>
              <w:top w:val="single" w:color="000000" w:sz="4" w:space="0"/>
              <w:left w:val="single" w:color="000000" w:sz="4" w:space="0"/>
              <w:bottom w:val="single" w:color="000000" w:sz="4" w:space="0"/>
              <w:right w:val="single" w:color="000000" w:sz="4" w:space="0"/>
            </w:tcBorders>
            <w:vAlign w:val="center"/>
          </w:tcPr>
          <w:p w14:paraId="620EF86A">
            <w:pPr>
              <w:widowControl/>
              <w:adjustRightInd w:val="0"/>
              <w:snapToGrid w:val="0"/>
              <w:spacing w:line="240" w:lineRule="auto"/>
              <w:ind w:firstLine="0" w:firstLineChars="0"/>
              <w:jc w:val="center"/>
              <w:rPr>
                <w:w w:val="90"/>
                <w:kern w:val="0"/>
                <w:sz w:val="21"/>
                <w:szCs w:val="21"/>
              </w:rPr>
            </w:pPr>
            <w:r>
              <w:rPr>
                <w:w w:val="90"/>
                <w:kern w:val="0"/>
                <w:sz w:val="21"/>
                <w:szCs w:val="21"/>
              </w:rPr>
              <w:t>18</w:t>
            </w:r>
          </w:p>
        </w:tc>
        <w:tc>
          <w:tcPr>
            <w:tcW w:w="1593" w:type="pct"/>
            <w:tcBorders>
              <w:top w:val="single" w:color="000000" w:sz="4" w:space="0"/>
              <w:left w:val="single" w:color="000000" w:sz="4" w:space="0"/>
              <w:bottom w:val="single" w:color="000000" w:sz="4" w:space="0"/>
              <w:right w:val="single" w:color="000000" w:sz="4" w:space="0"/>
            </w:tcBorders>
            <w:noWrap/>
            <w:vAlign w:val="center"/>
          </w:tcPr>
          <w:p w14:paraId="735CE188">
            <w:pPr>
              <w:widowControl/>
              <w:adjustRightInd w:val="0"/>
              <w:snapToGrid w:val="0"/>
              <w:spacing w:line="240" w:lineRule="auto"/>
              <w:ind w:firstLine="0" w:firstLineChars="0"/>
              <w:jc w:val="center"/>
              <w:rPr>
                <w:w w:val="90"/>
                <w:kern w:val="0"/>
                <w:sz w:val="21"/>
                <w:szCs w:val="21"/>
              </w:rPr>
            </w:pPr>
            <w:r>
              <w:rPr>
                <w:w w:val="90"/>
                <w:kern w:val="0"/>
                <w:sz w:val="21"/>
                <w:szCs w:val="21"/>
              </w:rPr>
              <w:t>总风量</w:t>
            </w: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4D45153E">
            <w:pPr>
              <w:widowControl/>
              <w:adjustRightInd w:val="0"/>
              <w:snapToGrid w:val="0"/>
              <w:spacing w:line="240" w:lineRule="auto"/>
              <w:ind w:firstLine="0" w:firstLineChars="0"/>
              <w:jc w:val="center"/>
              <w:rPr>
                <w:w w:val="90"/>
                <w:kern w:val="0"/>
                <w:sz w:val="21"/>
                <w:szCs w:val="21"/>
              </w:rPr>
            </w:pPr>
          </w:p>
        </w:tc>
        <w:tc>
          <w:tcPr>
            <w:tcW w:w="264" w:type="pct"/>
            <w:tcBorders>
              <w:top w:val="single" w:color="000000" w:sz="4" w:space="0"/>
              <w:left w:val="single" w:color="000000" w:sz="4" w:space="0"/>
              <w:bottom w:val="single" w:color="000000" w:sz="4" w:space="0"/>
              <w:right w:val="single" w:color="000000" w:sz="4" w:space="0"/>
            </w:tcBorders>
            <w:noWrap/>
            <w:vAlign w:val="center"/>
          </w:tcPr>
          <w:p w14:paraId="6E4CC8A8">
            <w:pPr>
              <w:widowControl/>
              <w:adjustRightInd w:val="0"/>
              <w:snapToGrid w:val="0"/>
              <w:spacing w:line="240" w:lineRule="auto"/>
              <w:ind w:firstLine="0" w:firstLineChars="0"/>
              <w:jc w:val="center"/>
              <w:rPr>
                <w:w w:val="90"/>
                <w:kern w:val="0"/>
                <w:sz w:val="21"/>
                <w:szCs w:val="21"/>
              </w:rPr>
            </w:pPr>
          </w:p>
        </w:tc>
        <w:tc>
          <w:tcPr>
            <w:tcW w:w="528" w:type="pct"/>
            <w:tcBorders>
              <w:top w:val="single" w:color="000000" w:sz="4" w:space="0"/>
              <w:left w:val="single" w:color="000000" w:sz="4" w:space="0"/>
              <w:bottom w:val="single" w:color="000000" w:sz="4" w:space="0"/>
              <w:right w:val="single" w:color="000000" w:sz="4" w:space="0"/>
            </w:tcBorders>
            <w:noWrap/>
            <w:vAlign w:val="center"/>
          </w:tcPr>
          <w:p w14:paraId="12BACCC5">
            <w:pPr>
              <w:widowControl/>
              <w:adjustRightInd w:val="0"/>
              <w:snapToGrid w:val="0"/>
              <w:spacing w:line="240" w:lineRule="auto"/>
              <w:ind w:firstLine="0" w:firstLineChars="0"/>
              <w:jc w:val="center"/>
              <w:rPr>
                <w:w w:val="90"/>
                <w:kern w:val="0"/>
                <w:sz w:val="21"/>
                <w:szCs w:val="21"/>
              </w:rPr>
            </w:pPr>
          </w:p>
        </w:tc>
        <w:tc>
          <w:tcPr>
            <w:tcW w:w="467" w:type="pct"/>
            <w:tcBorders>
              <w:top w:val="single" w:color="000000" w:sz="4" w:space="0"/>
              <w:left w:val="single" w:color="000000" w:sz="4" w:space="0"/>
              <w:bottom w:val="single" w:color="000000" w:sz="4" w:space="0"/>
              <w:right w:val="single" w:color="000000" w:sz="4" w:space="0"/>
            </w:tcBorders>
            <w:noWrap/>
            <w:vAlign w:val="center"/>
          </w:tcPr>
          <w:p w14:paraId="234E5F3C">
            <w:pPr>
              <w:widowControl/>
              <w:adjustRightInd w:val="0"/>
              <w:snapToGrid w:val="0"/>
              <w:spacing w:line="240" w:lineRule="auto"/>
              <w:ind w:firstLine="0" w:firstLineChars="0"/>
              <w:jc w:val="center"/>
              <w:rPr>
                <w:w w:val="90"/>
                <w:kern w:val="0"/>
                <w:sz w:val="21"/>
                <w:szCs w:val="21"/>
              </w:rPr>
            </w:pPr>
          </w:p>
        </w:tc>
        <w:tc>
          <w:tcPr>
            <w:tcW w:w="395" w:type="pct"/>
            <w:tcBorders>
              <w:top w:val="single" w:color="000000" w:sz="4" w:space="0"/>
              <w:left w:val="single" w:color="000000" w:sz="4" w:space="0"/>
              <w:bottom w:val="single" w:color="000000" w:sz="4" w:space="0"/>
              <w:right w:val="single" w:color="000000" w:sz="4" w:space="0"/>
            </w:tcBorders>
            <w:noWrap/>
            <w:vAlign w:val="center"/>
          </w:tcPr>
          <w:p w14:paraId="10A84715">
            <w:pPr>
              <w:widowControl/>
              <w:adjustRightInd w:val="0"/>
              <w:snapToGrid w:val="0"/>
              <w:spacing w:line="240" w:lineRule="auto"/>
              <w:ind w:firstLine="0" w:firstLineChars="0"/>
              <w:jc w:val="center"/>
              <w:rPr>
                <w:w w:val="90"/>
                <w:kern w:val="0"/>
                <w:sz w:val="21"/>
                <w:szCs w:val="21"/>
              </w:rPr>
            </w:pPr>
          </w:p>
        </w:tc>
        <w:tc>
          <w:tcPr>
            <w:tcW w:w="721" w:type="pct"/>
            <w:tcBorders>
              <w:top w:val="single" w:color="000000" w:sz="4" w:space="0"/>
              <w:left w:val="single" w:color="000000" w:sz="4" w:space="0"/>
              <w:bottom w:val="single" w:color="000000" w:sz="4" w:space="0"/>
              <w:right w:val="single" w:color="000000" w:sz="4" w:space="0"/>
            </w:tcBorders>
            <w:noWrap/>
            <w:vAlign w:val="center"/>
          </w:tcPr>
          <w:p w14:paraId="22BBB2A5">
            <w:pPr>
              <w:widowControl/>
              <w:adjustRightInd w:val="0"/>
              <w:snapToGrid w:val="0"/>
              <w:spacing w:line="240" w:lineRule="auto"/>
              <w:ind w:firstLine="0" w:firstLineChars="0"/>
              <w:jc w:val="center"/>
              <w:rPr>
                <w:w w:val="90"/>
                <w:kern w:val="0"/>
                <w:sz w:val="21"/>
                <w:szCs w:val="21"/>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5C11865">
            <w:pPr>
              <w:widowControl/>
              <w:adjustRightInd w:val="0"/>
              <w:snapToGrid w:val="0"/>
              <w:spacing w:line="240" w:lineRule="auto"/>
              <w:ind w:firstLine="0" w:firstLineChars="0"/>
              <w:jc w:val="center"/>
              <w:rPr>
                <w:w w:val="90"/>
                <w:kern w:val="0"/>
                <w:sz w:val="21"/>
                <w:szCs w:val="21"/>
              </w:rPr>
            </w:pPr>
            <w:r>
              <w:rPr>
                <w:w w:val="90"/>
                <w:kern w:val="0"/>
                <w:sz w:val="21"/>
                <w:szCs w:val="21"/>
              </w:rPr>
              <w:t xml:space="preserve">349.2 </w:t>
            </w:r>
          </w:p>
        </w:tc>
      </w:tr>
    </w:tbl>
    <w:p w14:paraId="01132FF2">
      <w:pPr>
        <w:snapToGrid w:val="0"/>
        <w:spacing w:line="360" w:lineRule="auto"/>
        <w:ind w:firstLine="560"/>
        <w:rPr>
          <w:szCs w:val="24"/>
        </w:rPr>
      </w:pPr>
    </w:p>
    <w:p w14:paraId="18F9F127">
      <w:pPr>
        <w:snapToGrid w:val="0"/>
        <w:spacing w:line="360" w:lineRule="auto"/>
        <w:ind w:firstLine="560"/>
        <w:rPr>
          <w:rFonts w:asciiTheme="minorHAnsi" w:hAnsiTheme="minorHAnsi" w:eastAsiaTheme="minorEastAsia" w:cstheme="minorHAnsi"/>
          <w:szCs w:val="28"/>
        </w:rPr>
      </w:pPr>
      <w:r>
        <w:rPr>
          <w:szCs w:val="24"/>
        </w:rPr>
        <w:t>按柴油设备需风量计算采场总需风量为</w:t>
      </w:r>
      <w:r>
        <w:rPr>
          <w:rFonts w:hint="eastAsia"/>
          <w:szCs w:val="24"/>
        </w:rPr>
        <w:t>349.2</w:t>
      </w:r>
      <w:r>
        <w:rPr>
          <w:kern w:val="0"/>
          <w:szCs w:val="24"/>
        </w:rPr>
        <w:t>m</w:t>
      </w:r>
      <w:r>
        <w:rPr>
          <w:kern w:val="0"/>
          <w:szCs w:val="24"/>
          <w:vertAlign w:val="superscript"/>
        </w:rPr>
        <w:t>3</w:t>
      </w:r>
      <w:r>
        <w:rPr>
          <w:kern w:val="0"/>
          <w:szCs w:val="24"/>
        </w:rPr>
        <w:t>/s</w:t>
      </w:r>
      <w:r>
        <w:rPr>
          <w:szCs w:val="24"/>
        </w:rPr>
        <w:t>。</w:t>
      </w:r>
    </w:p>
    <w:p w14:paraId="38F76BFD">
      <w:pPr>
        <w:snapToGrid w:val="0"/>
        <w:spacing w:line="360" w:lineRule="auto"/>
        <w:ind w:firstLine="560"/>
        <w:rPr>
          <w:szCs w:val="28"/>
        </w:rPr>
      </w:pPr>
      <w:r>
        <w:rPr>
          <w:rFonts w:hint="eastAsia"/>
          <w:szCs w:val="28"/>
        </w:rPr>
        <w:t>3</w:t>
      </w:r>
      <w:r>
        <w:rPr>
          <w:szCs w:val="28"/>
        </w:rPr>
        <w:t>）按排尘风速计算风量</w:t>
      </w:r>
    </w:p>
    <w:p w14:paraId="06F69D22">
      <w:pPr>
        <w:snapToGrid w:val="0"/>
        <w:spacing w:line="360" w:lineRule="auto"/>
        <w:ind w:firstLine="560"/>
        <w:rPr>
          <w:szCs w:val="28"/>
        </w:rPr>
      </w:pPr>
      <w:r>
        <w:rPr>
          <w:szCs w:val="28"/>
        </w:rPr>
        <w:t>按照通风排尘风速0.25m/s~0.5m/s计算需风量，生产采场所需风量计算如表3.6-4所示。</w:t>
      </w:r>
    </w:p>
    <w:p w14:paraId="22E04CED">
      <w:pPr>
        <w:snapToGrid w:val="0"/>
        <w:spacing w:line="360" w:lineRule="auto"/>
        <w:ind w:firstLine="560"/>
        <w:jc w:val="center"/>
        <w:rPr>
          <w:rFonts w:asciiTheme="minorHAnsi" w:hAnsiTheme="minorHAnsi" w:eastAsiaTheme="minorEastAsia" w:cstheme="minorHAnsi"/>
          <w:szCs w:val="28"/>
        </w:rPr>
      </w:pPr>
      <w:r>
        <w:rPr>
          <w:szCs w:val="28"/>
        </w:rPr>
        <w:t xml:space="preserve">表3.6-4   </w:t>
      </w:r>
      <w:r>
        <w:rPr>
          <w:rFonts w:hint="eastAsia"/>
          <w:szCs w:val="28"/>
        </w:rPr>
        <w:t>通风风量计算表</w:t>
      </w:r>
    </w:p>
    <w:tbl>
      <w:tblPr>
        <w:tblStyle w:val="54"/>
        <w:tblW w:w="4997" w:type="pct"/>
        <w:tblInd w:w="0" w:type="dxa"/>
        <w:shd w:val="clear" w:color="auto" w:fill="FFFFFF"/>
        <w:tblLayout w:type="autofit"/>
        <w:tblCellMar>
          <w:top w:w="0" w:type="dxa"/>
          <w:left w:w="108" w:type="dxa"/>
          <w:bottom w:w="0" w:type="dxa"/>
          <w:right w:w="108" w:type="dxa"/>
        </w:tblCellMar>
      </w:tblPr>
      <w:tblGrid>
        <w:gridCol w:w="828"/>
        <w:gridCol w:w="2545"/>
        <w:gridCol w:w="1143"/>
        <w:gridCol w:w="1400"/>
        <w:gridCol w:w="1143"/>
        <w:gridCol w:w="1115"/>
        <w:gridCol w:w="1334"/>
      </w:tblGrid>
      <w:tr w14:paraId="082038AD">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60271C">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序号</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C91E6F">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工作面名称</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A16A2E">
            <w:pPr>
              <w:widowControl/>
              <w:adjustRightInd w:val="0"/>
              <w:snapToGrid w:val="0"/>
              <w:spacing w:line="240" w:lineRule="auto"/>
              <w:ind w:firstLine="0" w:firstLineChars="0"/>
              <w:jc w:val="center"/>
              <w:textAlignment w:val="center"/>
              <w:rPr>
                <w:rFonts w:ascii="宋体" w:hAnsi="宋体" w:cs="宋体"/>
                <w:kern w:val="0"/>
                <w:sz w:val="21"/>
                <w:szCs w:val="21"/>
                <w:lang w:bidi="ar"/>
              </w:rPr>
            </w:pPr>
            <w:r>
              <w:rPr>
                <w:rFonts w:hint="eastAsia" w:ascii="宋体" w:hAnsi="宋体" w:cs="宋体"/>
                <w:kern w:val="0"/>
                <w:sz w:val="21"/>
                <w:szCs w:val="21"/>
                <w:lang w:bidi="ar"/>
              </w:rPr>
              <w:t>断面</w:t>
            </w:r>
          </w:p>
          <w:p w14:paraId="0B73493F">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w:t>
            </w:r>
            <w:r>
              <w:rPr>
                <w:kern w:val="0"/>
                <w:sz w:val="21"/>
                <w:szCs w:val="21"/>
                <w:lang w:bidi="ar"/>
              </w:rPr>
              <w:t>m</w:t>
            </w:r>
            <w:r>
              <w:rPr>
                <w:kern w:val="0"/>
                <w:sz w:val="21"/>
                <w:szCs w:val="21"/>
                <w:vertAlign w:val="superscript"/>
                <w:lang w:bidi="ar"/>
              </w:rPr>
              <w:t>2</w:t>
            </w:r>
            <w:r>
              <w:rPr>
                <w:rFonts w:hint="eastAsia" w:ascii="宋体" w:hAnsi="宋体" w:cs="宋体"/>
                <w:kern w:val="0"/>
                <w:sz w:val="21"/>
                <w:szCs w:val="21"/>
                <w:lang w:bidi="ar"/>
              </w:rPr>
              <w:t>）</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CDA3E4">
            <w:pPr>
              <w:widowControl/>
              <w:adjustRightInd w:val="0"/>
              <w:snapToGrid w:val="0"/>
              <w:spacing w:line="240" w:lineRule="auto"/>
              <w:ind w:firstLine="0" w:firstLineChars="0"/>
              <w:jc w:val="center"/>
              <w:textAlignment w:val="center"/>
              <w:rPr>
                <w:rFonts w:ascii="宋体" w:hAnsi="宋体" w:cs="宋体"/>
                <w:kern w:val="0"/>
                <w:sz w:val="21"/>
                <w:szCs w:val="21"/>
                <w:lang w:bidi="ar"/>
              </w:rPr>
            </w:pPr>
            <w:r>
              <w:rPr>
                <w:rFonts w:hint="eastAsia" w:ascii="宋体" w:hAnsi="宋体" w:cs="宋体"/>
                <w:kern w:val="0"/>
                <w:sz w:val="21"/>
                <w:szCs w:val="21"/>
                <w:lang w:bidi="ar"/>
              </w:rPr>
              <w:t>排尘风速</w:t>
            </w:r>
          </w:p>
          <w:p w14:paraId="4C154FE6">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w:t>
            </w:r>
            <w:r>
              <w:rPr>
                <w:kern w:val="0"/>
                <w:sz w:val="21"/>
                <w:szCs w:val="21"/>
                <w:lang w:bidi="ar"/>
              </w:rPr>
              <w:t>m/s</w:t>
            </w:r>
            <w:r>
              <w:rPr>
                <w:rFonts w:hint="eastAsia" w:ascii="宋体" w:hAnsi="宋体" w:cs="宋体"/>
                <w:kern w:val="0"/>
                <w:sz w:val="21"/>
                <w:szCs w:val="21"/>
                <w:lang w:bidi="ar"/>
              </w:rPr>
              <w:t>）</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A6FDDF">
            <w:pPr>
              <w:widowControl/>
              <w:adjustRightInd w:val="0"/>
              <w:snapToGrid w:val="0"/>
              <w:spacing w:line="240" w:lineRule="auto"/>
              <w:ind w:firstLine="0" w:firstLineChars="0"/>
              <w:jc w:val="center"/>
              <w:textAlignment w:val="center"/>
              <w:rPr>
                <w:rFonts w:ascii="宋体" w:hAnsi="宋体" w:cs="宋体"/>
                <w:kern w:val="0"/>
                <w:sz w:val="21"/>
                <w:szCs w:val="21"/>
                <w:lang w:bidi="ar"/>
              </w:rPr>
            </w:pPr>
            <w:r>
              <w:rPr>
                <w:rFonts w:hint="eastAsia" w:ascii="宋体" w:hAnsi="宋体" w:cs="宋体"/>
                <w:kern w:val="0"/>
                <w:sz w:val="21"/>
                <w:szCs w:val="21"/>
                <w:lang w:bidi="ar"/>
              </w:rPr>
              <w:t>风量</w:t>
            </w:r>
          </w:p>
          <w:p w14:paraId="6966539D">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w:t>
            </w:r>
            <w:r>
              <w:rPr>
                <w:kern w:val="0"/>
                <w:sz w:val="21"/>
                <w:szCs w:val="21"/>
                <w:lang w:bidi="ar"/>
              </w:rPr>
              <w:t>m</w:t>
            </w:r>
            <w:r>
              <w:rPr>
                <w:kern w:val="0"/>
                <w:sz w:val="21"/>
                <w:szCs w:val="21"/>
                <w:vertAlign w:val="superscript"/>
                <w:lang w:bidi="ar"/>
              </w:rPr>
              <w:t>3</w:t>
            </w:r>
            <w:r>
              <w:rPr>
                <w:rFonts w:hint="eastAsia" w:ascii="宋体" w:hAnsi="宋体" w:cs="宋体"/>
                <w:kern w:val="0"/>
                <w:sz w:val="21"/>
                <w:szCs w:val="21"/>
                <w:lang w:bidi="ar"/>
              </w:rPr>
              <w:t>）</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A294B1">
            <w:pPr>
              <w:widowControl/>
              <w:adjustRightInd w:val="0"/>
              <w:snapToGrid w:val="0"/>
              <w:spacing w:line="240" w:lineRule="auto"/>
              <w:ind w:firstLine="0" w:firstLineChars="0"/>
              <w:jc w:val="center"/>
              <w:textAlignment w:val="center"/>
              <w:rPr>
                <w:rFonts w:ascii="宋体" w:hAnsi="宋体" w:cs="宋体"/>
                <w:kern w:val="0"/>
                <w:sz w:val="21"/>
                <w:szCs w:val="21"/>
                <w:lang w:bidi="ar"/>
              </w:rPr>
            </w:pPr>
            <w:r>
              <w:rPr>
                <w:rFonts w:hint="eastAsia" w:ascii="宋体" w:hAnsi="宋体" w:cs="宋体"/>
                <w:kern w:val="0"/>
                <w:sz w:val="21"/>
                <w:szCs w:val="21"/>
                <w:lang w:bidi="ar"/>
              </w:rPr>
              <w:t>同时工</w:t>
            </w:r>
          </w:p>
          <w:p w14:paraId="192EF7EF">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作个数</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EA570E">
            <w:pPr>
              <w:widowControl/>
              <w:adjustRightInd w:val="0"/>
              <w:snapToGrid w:val="0"/>
              <w:spacing w:line="240" w:lineRule="auto"/>
              <w:ind w:firstLine="0" w:firstLineChars="0"/>
              <w:jc w:val="center"/>
              <w:textAlignment w:val="center"/>
              <w:rPr>
                <w:rFonts w:ascii="宋体" w:hAnsi="宋体" w:cs="宋体"/>
                <w:kern w:val="0"/>
                <w:sz w:val="21"/>
                <w:szCs w:val="21"/>
                <w:lang w:bidi="ar"/>
              </w:rPr>
            </w:pPr>
            <w:r>
              <w:rPr>
                <w:rFonts w:hint="eastAsia" w:ascii="宋体" w:hAnsi="宋体" w:cs="宋体"/>
                <w:kern w:val="0"/>
                <w:sz w:val="21"/>
                <w:szCs w:val="21"/>
                <w:lang w:bidi="ar"/>
              </w:rPr>
              <w:t>风量</w:t>
            </w:r>
          </w:p>
          <w:p w14:paraId="6E1A75A5">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w:t>
            </w:r>
            <w:r>
              <w:rPr>
                <w:kern w:val="0"/>
                <w:sz w:val="21"/>
                <w:szCs w:val="21"/>
                <w:lang w:bidi="ar"/>
              </w:rPr>
              <w:t>m</w:t>
            </w:r>
            <w:r>
              <w:rPr>
                <w:kern w:val="0"/>
                <w:sz w:val="21"/>
                <w:szCs w:val="21"/>
                <w:vertAlign w:val="superscript"/>
                <w:lang w:bidi="ar"/>
              </w:rPr>
              <w:t>3</w:t>
            </w:r>
            <w:r>
              <w:rPr>
                <w:kern w:val="0"/>
                <w:sz w:val="21"/>
                <w:szCs w:val="21"/>
                <w:lang w:bidi="ar"/>
              </w:rPr>
              <w:t>/s</w:t>
            </w:r>
            <w:r>
              <w:rPr>
                <w:rFonts w:hint="eastAsia" w:ascii="宋体" w:hAnsi="宋体" w:cs="宋体"/>
                <w:kern w:val="0"/>
                <w:sz w:val="21"/>
                <w:szCs w:val="21"/>
                <w:lang w:bidi="ar"/>
              </w:rPr>
              <w:t>）</w:t>
            </w:r>
          </w:p>
        </w:tc>
      </w:tr>
      <w:tr w14:paraId="3939E936">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2AF088">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一</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5A6747">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凿岩水平</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38C86A">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6D5822">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DAF115">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5F9F94">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9A84A">
            <w:pPr>
              <w:adjustRightInd w:val="0"/>
              <w:snapToGrid w:val="0"/>
              <w:spacing w:line="240" w:lineRule="auto"/>
              <w:ind w:firstLine="0" w:firstLineChars="0"/>
              <w:jc w:val="center"/>
              <w:rPr>
                <w:sz w:val="21"/>
                <w:szCs w:val="21"/>
              </w:rPr>
            </w:pPr>
          </w:p>
        </w:tc>
      </w:tr>
      <w:tr w14:paraId="125BFE70">
        <w:tblPrEx>
          <w:shd w:val="clear" w:color="auto" w:fill="FFFFFF"/>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B49DA5">
            <w:pPr>
              <w:widowControl/>
              <w:adjustRightInd w:val="0"/>
              <w:snapToGrid w:val="0"/>
              <w:spacing w:line="240" w:lineRule="auto"/>
              <w:ind w:firstLine="0" w:firstLineChars="0"/>
              <w:jc w:val="center"/>
              <w:textAlignment w:val="center"/>
              <w:rPr>
                <w:sz w:val="21"/>
                <w:szCs w:val="21"/>
              </w:rPr>
            </w:pPr>
            <w:r>
              <w:rPr>
                <w:kern w:val="0"/>
                <w:sz w:val="21"/>
                <w:szCs w:val="21"/>
                <w:lang w:bidi="ar"/>
              </w:rPr>
              <w:t>1</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10CBC3">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回采凿岩</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65C564">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526718">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49CE6C">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80E2C0">
            <w:pPr>
              <w:widowControl/>
              <w:adjustRightInd w:val="0"/>
              <w:snapToGrid w:val="0"/>
              <w:spacing w:line="240" w:lineRule="auto"/>
              <w:ind w:firstLine="0" w:firstLineChars="0"/>
              <w:jc w:val="center"/>
              <w:textAlignment w:val="center"/>
              <w:rPr>
                <w:sz w:val="21"/>
                <w:szCs w:val="21"/>
              </w:rPr>
            </w:pPr>
            <w:r>
              <w:rPr>
                <w:kern w:val="0"/>
                <w:sz w:val="21"/>
                <w:szCs w:val="21"/>
                <w:lang w:bidi="ar"/>
              </w:rPr>
              <w:t>5.0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87873D">
            <w:pPr>
              <w:widowControl/>
              <w:adjustRightInd w:val="0"/>
              <w:snapToGrid w:val="0"/>
              <w:spacing w:line="240" w:lineRule="auto"/>
              <w:ind w:firstLine="0" w:firstLineChars="0"/>
              <w:jc w:val="center"/>
              <w:textAlignment w:val="center"/>
              <w:rPr>
                <w:sz w:val="21"/>
                <w:szCs w:val="21"/>
              </w:rPr>
            </w:pPr>
            <w:r>
              <w:rPr>
                <w:kern w:val="0"/>
                <w:sz w:val="21"/>
                <w:szCs w:val="21"/>
                <w:lang w:bidi="ar"/>
              </w:rPr>
              <w:t>23.0</w:t>
            </w:r>
          </w:p>
        </w:tc>
      </w:tr>
      <w:tr w14:paraId="7C1E7811">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3CD45E">
            <w:pPr>
              <w:widowControl/>
              <w:adjustRightInd w:val="0"/>
              <w:snapToGrid w:val="0"/>
              <w:spacing w:line="240" w:lineRule="auto"/>
              <w:ind w:firstLine="0" w:firstLineChars="0"/>
              <w:jc w:val="center"/>
              <w:textAlignment w:val="center"/>
              <w:rPr>
                <w:sz w:val="21"/>
                <w:szCs w:val="21"/>
              </w:rPr>
            </w:pPr>
            <w:r>
              <w:rPr>
                <w:kern w:val="0"/>
                <w:sz w:val="21"/>
                <w:szCs w:val="21"/>
                <w:lang w:bidi="ar"/>
              </w:rPr>
              <w:t>2</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AC1781">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装药（回采）</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0E855C">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1ED791">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40918C">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1C605A">
            <w:pPr>
              <w:widowControl/>
              <w:adjustRightInd w:val="0"/>
              <w:snapToGrid w:val="0"/>
              <w:spacing w:line="240" w:lineRule="auto"/>
              <w:ind w:firstLine="0" w:firstLineChars="0"/>
              <w:jc w:val="center"/>
              <w:textAlignment w:val="center"/>
              <w:rPr>
                <w:sz w:val="21"/>
                <w:szCs w:val="21"/>
              </w:rPr>
            </w:pPr>
            <w:r>
              <w:rPr>
                <w:kern w:val="0"/>
                <w:sz w:val="21"/>
                <w:szCs w:val="21"/>
                <w:lang w:bidi="ar"/>
              </w:rPr>
              <w:t>2.0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A95B41">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r>
      <w:tr w14:paraId="3D94DA3E">
        <w:tblPrEx>
          <w:shd w:val="clear" w:color="auto" w:fill="FFFFFF"/>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F131DE">
            <w:pPr>
              <w:widowControl/>
              <w:adjustRightInd w:val="0"/>
              <w:snapToGrid w:val="0"/>
              <w:spacing w:line="240" w:lineRule="auto"/>
              <w:ind w:firstLine="0" w:firstLineChars="0"/>
              <w:jc w:val="center"/>
              <w:textAlignment w:val="center"/>
              <w:rPr>
                <w:sz w:val="21"/>
                <w:szCs w:val="21"/>
              </w:rPr>
            </w:pPr>
            <w:r>
              <w:rPr>
                <w:kern w:val="0"/>
                <w:sz w:val="21"/>
                <w:szCs w:val="21"/>
                <w:lang w:bidi="ar"/>
              </w:rPr>
              <w:t>3</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12E33F">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回采出矿</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A4BA4E">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8C3B0B">
            <w:pPr>
              <w:widowControl/>
              <w:adjustRightInd w:val="0"/>
              <w:snapToGrid w:val="0"/>
              <w:spacing w:line="240" w:lineRule="auto"/>
              <w:ind w:firstLine="0" w:firstLineChars="0"/>
              <w:jc w:val="center"/>
              <w:textAlignment w:val="center"/>
              <w:rPr>
                <w:sz w:val="21"/>
                <w:szCs w:val="21"/>
              </w:rPr>
            </w:pPr>
            <w:r>
              <w:rPr>
                <w:kern w:val="0"/>
                <w:sz w:val="21"/>
                <w:szCs w:val="21"/>
                <w:lang w:bidi="ar"/>
              </w:rPr>
              <w:t>0.5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C206BD">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895050">
            <w:pPr>
              <w:widowControl/>
              <w:adjustRightInd w:val="0"/>
              <w:snapToGrid w:val="0"/>
              <w:spacing w:line="240" w:lineRule="auto"/>
              <w:ind w:firstLine="0" w:firstLineChars="0"/>
              <w:jc w:val="center"/>
              <w:textAlignment w:val="center"/>
              <w:rPr>
                <w:sz w:val="21"/>
                <w:szCs w:val="21"/>
              </w:rPr>
            </w:pPr>
            <w:r>
              <w:rPr>
                <w:kern w:val="0"/>
                <w:sz w:val="21"/>
                <w:szCs w:val="21"/>
                <w:lang w:bidi="ar"/>
              </w:rPr>
              <w:t>4.0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DAC3C3">
            <w:pPr>
              <w:widowControl/>
              <w:adjustRightInd w:val="0"/>
              <w:snapToGrid w:val="0"/>
              <w:spacing w:line="240" w:lineRule="auto"/>
              <w:ind w:firstLine="0" w:firstLineChars="0"/>
              <w:jc w:val="center"/>
              <w:textAlignment w:val="center"/>
              <w:rPr>
                <w:sz w:val="21"/>
                <w:szCs w:val="21"/>
              </w:rPr>
            </w:pPr>
            <w:r>
              <w:rPr>
                <w:kern w:val="0"/>
                <w:sz w:val="21"/>
                <w:szCs w:val="21"/>
                <w:lang w:bidi="ar"/>
              </w:rPr>
              <w:t>36.8</w:t>
            </w:r>
          </w:p>
        </w:tc>
      </w:tr>
      <w:tr w14:paraId="05E5F0B5">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56487">
            <w:pPr>
              <w:widowControl/>
              <w:adjustRightInd w:val="0"/>
              <w:snapToGrid w:val="0"/>
              <w:spacing w:line="240" w:lineRule="auto"/>
              <w:ind w:firstLine="0" w:firstLineChars="0"/>
              <w:jc w:val="center"/>
              <w:textAlignment w:val="center"/>
              <w:rPr>
                <w:sz w:val="21"/>
                <w:szCs w:val="21"/>
              </w:rPr>
            </w:pPr>
            <w:r>
              <w:rPr>
                <w:kern w:val="0"/>
                <w:sz w:val="21"/>
                <w:szCs w:val="21"/>
                <w:lang w:bidi="ar"/>
              </w:rPr>
              <w:t>4</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6E4704">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采准掘进、支护</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A7323A">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3EC9BD">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CE3C6F">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F17A4B">
            <w:pPr>
              <w:widowControl/>
              <w:adjustRightInd w:val="0"/>
              <w:snapToGrid w:val="0"/>
              <w:spacing w:line="240" w:lineRule="auto"/>
              <w:ind w:firstLine="0" w:firstLineChars="0"/>
              <w:jc w:val="center"/>
              <w:textAlignment w:val="center"/>
              <w:rPr>
                <w:sz w:val="21"/>
                <w:szCs w:val="21"/>
              </w:rPr>
            </w:pPr>
            <w:r>
              <w:rPr>
                <w:kern w:val="0"/>
                <w:sz w:val="21"/>
                <w:szCs w:val="21"/>
                <w:lang w:bidi="ar"/>
              </w:rPr>
              <w:t>7.0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ED4E6A">
            <w:pPr>
              <w:widowControl/>
              <w:adjustRightInd w:val="0"/>
              <w:snapToGrid w:val="0"/>
              <w:spacing w:line="240" w:lineRule="auto"/>
              <w:ind w:firstLine="0" w:firstLineChars="0"/>
              <w:jc w:val="center"/>
              <w:textAlignment w:val="center"/>
              <w:rPr>
                <w:sz w:val="21"/>
                <w:szCs w:val="21"/>
              </w:rPr>
            </w:pPr>
            <w:r>
              <w:rPr>
                <w:kern w:val="0"/>
                <w:sz w:val="21"/>
                <w:szCs w:val="21"/>
                <w:lang w:bidi="ar"/>
              </w:rPr>
              <w:t>32.2</w:t>
            </w:r>
          </w:p>
        </w:tc>
      </w:tr>
      <w:tr w14:paraId="30395B2C">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500C12">
            <w:pPr>
              <w:widowControl/>
              <w:adjustRightInd w:val="0"/>
              <w:snapToGrid w:val="0"/>
              <w:spacing w:line="240" w:lineRule="auto"/>
              <w:ind w:firstLine="0" w:firstLineChars="0"/>
              <w:jc w:val="center"/>
              <w:textAlignment w:val="center"/>
              <w:rPr>
                <w:sz w:val="21"/>
                <w:szCs w:val="21"/>
              </w:rPr>
            </w:pPr>
            <w:r>
              <w:rPr>
                <w:kern w:val="0"/>
                <w:sz w:val="21"/>
                <w:szCs w:val="21"/>
                <w:lang w:bidi="ar"/>
              </w:rPr>
              <w:t>5</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EBF0D8">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采准出碴</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83744C">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115BAE">
            <w:pPr>
              <w:widowControl/>
              <w:adjustRightInd w:val="0"/>
              <w:snapToGrid w:val="0"/>
              <w:spacing w:line="240" w:lineRule="auto"/>
              <w:ind w:firstLine="0" w:firstLineChars="0"/>
              <w:jc w:val="center"/>
              <w:textAlignment w:val="center"/>
              <w:rPr>
                <w:sz w:val="21"/>
                <w:szCs w:val="21"/>
              </w:rPr>
            </w:pPr>
            <w:r>
              <w:rPr>
                <w:kern w:val="0"/>
                <w:sz w:val="21"/>
                <w:szCs w:val="21"/>
                <w:lang w:bidi="ar"/>
              </w:rPr>
              <w:t>0.5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F6F468">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0B1D96">
            <w:pPr>
              <w:widowControl/>
              <w:adjustRightInd w:val="0"/>
              <w:snapToGrid w:val="0"/>
              <w:spacing w:line="240" w:lineRule="auto"/>
              <w:ind w:firstLine="0" w:firstLineChars="0"/>
              <w:jc w:val="center"/>
              <w:textAlignment w:val="center"/>
              <w:rPr>
                <w:sz w:val="21"/>
                <w:szCs w:val="21"/>
              </w:rPr>
            </w:pPr>
            <w:r>
              <w:rPr>
                <w:kern w:val="0"/>
                <w:sz w:val="21"/>
                <w:szCs w:val="21"/>
                <w:lang w:bidi="ar"/>
              </w:rPr>
              <w:t>3.0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7ADB3C">
            <w:pPr>
              <w:widowControl/>
              <w:adjustRightInd w:val="0"/>
              <w:snapToGrid w:val="0"/>
              <w:spacing w:line="240" w:lineRule="auto"/>
              <w:ind w:firstLine="0" w:firstLineChars="0"/>
              <w:jc w:val="center"/>
              <w:textAlignment w:val="center"/>
              <w:rPr>
                <w:sz w:val="21"/>
                <w:szCs w:val="21"/>
              </w:rPr>
            </w:pPr>
            <w:r>
              <w:rPr>
                <w:kern w:val="0"/>
                <w:sz w:val="21"/>
                <w:szCs w:val="21"/>
                <w:lang w:bidi="ar"/>
              </w:rPr>
              <w:t>27.6</w:t>
            </w:r>
          </w:p>
        </w:tc>
      </w:tr>
      <w:tr w14:paraId="1384593E">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6B80AD">
            <w:pPr>
              <w:widowControl/>
              <w:adjustRightInd w:val="0"/>
              <w:snapToGrid w:val="0"/>
              <w:spacing w:line="240" w:lineRule="auto"/>
              <w:ind w:firstLine="0" w:firstLineChars="0"/>
              <w:jc w:val="center"/>
              <w:textAlignment w:val="center"/>
              <w:rPr>
                <w:sz w:val="21"/>
                <w:szCs w:val="21"/>
              </w:rPr>
            </w:pPr>
            <w:r>
              <w:rPr>
                <w:kern w:val="0"/>
                <w:sz w:val="21"/>
                <w:szCs w:val="21"/>
                <w:lang w:bidi="ar"/>
              </w:rPr>
              <w:t>6</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343095">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充填（挡墙砌筑）</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38A5C2">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3BF765">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8E9119">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1106D">
            <w:pPr>
              <w:widowControl/>
              <w:adjustRightInd w:val="0"/>
              <w:snapToGrid w:val="0"/>
              <w:spacing w:line="240" w:lineRule="auto"/>
              <w:ind w:firstLine="0" w:firstLineChars="0"/>
              <w:jc w:val="center"/>
              <w:textAlignment w:val="center"/>
              <w:rPr>
                <w:sz w:val="21"/>
                <w:szCs w:val="21"/>
              </w:rPr>
            </w:pPr>
            <w:r>
              <w:rPr>
                <w:kern w:val="0"/>
                <w:sz w:val="21"/>
                <w:szCs w:val="21"/>
                <w:lang w:bidi="ar"/>
              </w:rPr>
              <w:t>7.0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BFDCBF">
            <w:pPr>
              <w:widowControl/>
              <w:adjustRightInd w:val="0"/>
              <w:snapToGrid w:val="0"/>
              <w:spacing w:line="240" w:lineRule="auto"/>
              <w:ind w:firstLine="0" w:firstLineChars="0"/>
              <w:jc w:val="center"/>
              <w:textAlignment w:val="center"/>
              <w:rPr>
                <w:sz w:val="21"/>
                <w:szCs w:val="21"/>
              </w:rPr>
            </w:pPr>
            <w:r>
              <w:rPr>
                <w:kern w:val="0"/>
                <w:sz w:val="21"/>
                <w:szCs w:val="21"/>
                <w:lang w:bidi="ar"/>
              </w:rPr>
              <w:t>32.2</w:t>
            </w:r>
          </w:p>
        </w:tc>
      </w:tr>
      <w:tr w14:paraId="66D49E1E">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60486F">
            <w:pPr>
              <w:widowControl/>
              <w:adjustRightInd w:val="0"/>
              <w:snapToGrid w:val="0"/>
              <w:spacing w:line="240" w:lineRule="auto"/>
              <w:ind w:firstLine="0" w:firstLineChars="0"/>
              <w:jc w:val="center"/>
              <w:textAlignment w:val="center"/>
              <w:rPr>
                <w:sz w:val="21"/>
                <w:szCs w:val="21"/>
              </w:rPr>
            </w:pPr>
            <w:r>
              <w:rPr>
                <w:kern w:val="0"/>
                <w:sz w:val="21"/>
                <w:szCs w:val="21"/>
                <w:lang w:bidi="ar"/>
              </w:rPr>
              <w:t>7</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C7AAE9">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备用</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F4654A">
            <w:pPr>
              <w:adjustRightInd w:val="0"/>
              <w:snapToGrid w:val="0"/>
              <w:spacing w:line="240" w:lineRule="auto"/>
              <w:ind w:firstLine="0" w:firstLineChars="0"/>
              <w:jc w:val="center"/>
              <w:rPr>
                <w:rFonts w:ascii="宋体" w:hAnsi="宋体" w:cs="宋体"/>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DEAE02">
            <w:pPr>
              <w:adjustRightInd w:val="0"/>
              <w:snapToGrid w:val="0"/>
              <w:spacing w:line="240" w:lineRule="auto"/>
              <w:ind w:firstLine="0" w:firstLineChars="0"/>
              <w:jc w:val="center"/>
              <w:rPr>
                <w:rFonts w:ascii="宋体" w:hAnsi="宋体" w:cs="宋体"/>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C672AB">
            <w:pPr>
              <w:widowControl/>
              <w:adjustRightInd w:val="0"/>
              <w:snapToGrid w:val="0"/>
              <w:spacing w:line="240" w:lineRule="auto"/>
              <w:ind w:firstLine="0" w:firstLineChars="0"/>
              <w:jc w:val="center"/>
              <w:textAlignment w:val="center"/>
              <w:rPr>
                <w:sz w:val="21"/>
                <w:szCs w:val="21"/>
              </w:rPr>
            </w:pPr>
            <w:r>
              <w:rPr>
                <w:kern w:val="0"/>
                <w:sz w:val="21"/>
                <w:szCs w:val="21"/>
                <w:lang w:bidi="ar"/>
              </w:rPr>
              <w:t>2.3</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29F233">
            <w:pPr>
              <w:widowControl/>
              <w:adjustRightInd w:val="0"/>
              <w:snapToGrid w:val="0"/>
              <w:spacing w:line="240" w:lineRule="auto"/>
              <w:ind w:firstLine="0" w:firstLineChars="0"/>
              <w:jc w:val="center"/>
              <w:textAlignment w:val="center"/>
              <w:rPr>
                <w:sz w:val="21"/>
                <w:szCs w:val="21"/>
              </w:rPr>
            </w:pPr>
            <w:r>
              <w:rPr>
                <w:kern w:val="0"/>
                <w:sz w:val="21"/>
                <w:szCs w:val="21"/>
                <w:lang w:bidi="ar"/>
              </w:rPr>
              <w:t>8.0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3D4D8B">
            <w:pPr>
              <w:widowControl/>
              <w:adjustRightInd w:val="0"/>
              <w:snapToGrid w:val="0"/>
              <w:spacing w:line="240" w:lineRule="auto"/>
              <w:ind w:firstLine="0" w:firstLineChars="0"/>
              <w:jc w:val="center"/>
              <w:textAlignment w:val="center"/>
              <w:rPr>
                <w:sz w:val="21"/>
                <w:szCs w:val="21"/>
              </w:rPr>
            </w:pPr>
            <w:r>
              <w:rPr>
                <w:kern w:val="0"/>
                <w:sz w:val="21"/>
                <w:szCs w:val="21"/>
                <w:lang w:bidi="ar"/>
              </w:rPr>
              <w:t>18.4</w:t>
            </w:r>
          </w:p>
        </w:tc>
      </w:tr>
      <w:tr w14:paraId="693C2860">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C2CFD3">
            <w:pPr>
              <w:adjustRightInd w:val="0"/>
              <w:snapToGrid w:val="0"/>
              <w:spacing w:line="240" w:lineRule="auto"/>
              <w:ind w:firstLine="0" w:firstLineChars="0"/>
              <w:jc w:val="center"/>
              <w:rPr>
                <w:sz w:val="21"/>
                <w:szCs w:val="21"/>
              </w:rPr>
            </w:pPr>
            <w:r>
              <w:rPr>
                <w:rFonts w:hint="eastAsia"/>
                <w:sz w:val="21"/>
                <w:szCs w:val="21"/>
              </w:rPr>
              <w:t>8</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AB8CD9">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凿岩水平小计</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472757">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BD0B86">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6FE222">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42ECA5">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7D5BEB">
            <w:pPr>
              <w:widowControl/>
              <w:adjustRightInd w:val="0"/>
              <w:snapToGrid w:val="0"/>
              <w:spacing w:line="240" w:lineRule="auto"/>
              <w:ind w:firstLine="0" w:firstLineChars="0"/>
              <w:jc w:val="center"/>
              <w:textAlignment w:val="center"/>
              <w:rPr>
                <w:sz w:val="21"/>
                <w:szCs w:val="21"/>
              </w:rPr>
            </w:pPr>
            <w:r>
              <w:rPr>
                <w:kern w:val="0"/>
                <w:sz w:val="21"/>
                <w:szCs w:val="21"/>
                <w:lang w:bidi="ar"/>
              </w:rPr>
              <w:t>179.2</w:t>
            </w:r>
          </w:p>
        </w:tc>
      </w:tr>
      <w:tr w14:paraId="745C6E6C">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E5DB31">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二</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16CB5A">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出矿水平</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8432C1">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9C0801">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BEBCC">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C1DE5A">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7C1C74">
            <w:pPr>
              <w:adjustRightInd w:val="0"/>
              <w:snapToGrid w:val="0"/>
              <w:spacing w:line="240" w:lineRule="auto"/>
              <w:ind w:firstLine="0" w:firstLineChars="0"/>
              <w:jc w:val="center"/>
              <w:rPr>
                <w:sz w:val="21"/>
                <w:szCs w:val="21"/>
              </w:rPr>
            </w:pPr>
          </w:p>
        </w:tc>
      </w:tr>
      <w:tr w14:paraId="5B9DD2A1">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050EBC">
            <w:pPr>
              <w:widowControl/>
              <w:adjustRightInd w:val="0"/>
              <w:snapToGrid w:val="0"/>
              <w:spacing w:line="240" w:lineRule="auto"/>
              <w:ind w:firstLine="0" w:firstLineChars="0"/>
              <w:jc w:val="center"/>
              <w:textAlignment w:val="center"/>
              <w:rPr>
                <w:sz w:val="21"/>
                <w:szCs w:val="21"/>
              </w:rPr>
            </w:pPr>
            <w:r>
              <w:rPr>
                <w:kern w:val="0"/>
                <w:sz w:val="21"/>
                <w:szCs w:val="21"/>
                <w:lang w:bidi="ar"/>
              </w:rPr>
              <w:t>1</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13128B">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回采凿岩</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BB4CF0">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838981">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3EC613">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4180D2">
            <w:pPr>
              <w:widowControl/>
              <w:adjustRightInd w:val="0"/>
              <w:snapToGrid w:val="0"/>
              <w:spacing w:line="240" w:lineRule="auto"/>
              <w:ind w:firstLine="0" w:firstLineChars="0"/>
              <w:jc w:val="center"/>
              <w:textAlignment w:val="center"/>
              <w:rPr>
                <w:sz w:val="21"/>
                <w:szCs w:val="21"/>
              </w:rPr>
            </w:pPr>
            <w:r>
              <w:rPr>
                <w:kern w:val="0"/>
                <w:sz w:val="21"/>
                <w:szCs w:val="21"/>
                <w:lang w:bidi="ar"/>
              </w:rPr>
              <w:t>3.0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F7E1C9">
            <w:pPr>
              <w:widowControl/>
              <w:adjustRightInd w:val="0"/>
              <w:snapToGrid w:val="0"/>
              <w:spacing w:line="240" w:lineRule="auto"/>
              <w:ind w:firstLine="0" w:firstLineChars="0"/>
              <w:jc w:val="center"/>
              <w:textAlignment w:val="center"/>
              <w:rPr>
                <w:sz w:val="21"/>
                <w:szCs w:val="21"/>
              </w:rPr>
            </w:pPr>
            <w:r>
              <w:rPr>
                <w:kern w:val="0"/>
                <w:sz w:val="21"/>
                <w:szCs w:val="21"/>
                <w:lang w:bidi="ar"/>
              </w:rPr>
              <w:t>13.8</w:t>
            </w:r>
          </w:p>
        </w:tc>
      </w:tr>
      <w:tr w14:paraId="09CCC65B">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A658EF">
            <w:pPr>
              <w:widowControl/>
              <w:adjustRightInd w:val="0"/>
              <w:snapToGrid w:val="0"/>
              <w:spacing w:line="240" w:lineRule="auto"/>
              <w:ind w:firstLine="0" w:firstLineChars="0"/>
              <w:jc w:val="center"/>
              <w:textAlignment w:val="center"/>
              <w:rPr>
                <w:sz w:val="21"/>
                <w:szCs w:val="21"/>
              </w:rPr>
            </w:pPr>
            <w:r>
              <w:rPr>
                <w:kern w:val="0"/>
                <w:sz w:val="21"/>
                <w:szCs w:val="21"/>
                <w:lang w:bidi="ar"/>
              </w:rPr>
              <w:t>2</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AE98A0">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装药（回采）</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21F6C2">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045901">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D73DD4">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BA5EA">
            <w:pPr>
              <w:widowControl/>
              <w:adjustRightInd w:val="0"/>
              <w:snapToGrid w:val="0"/>
              <w:spacing w:line="240" w:lineRule="auto"/>
              <w:ind w:firstLine="0" w:firstLineChars="0"/>
              <w:jc w:val="center"/>
              <w:textAlignment w:val="center"/>
              <w:rPr>
                <w:sz w:val="21"/>
                <w:szCs w:val="21"/>
              </w:rPr>
            </w:pPr>
            <w:r>
              <w:rPr>
                <w:kern w:val="0"/>
                <w:sz w:val="21"/>
                <w:szCs w:val="21"/>
                <w:lang w:bidi="ar"/>
              </w:rPr>
              <w:t>2.0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C8C8D1">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r>
      <w:tr w14:paraId="46A5CC73">
        <w:tblPrEx>
          <w:shd w:val="clear" w:color="auto" w:fill="FFFFFF"/>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E24F07">
            <w:pPr>
              <w:widowControl/>
              <w:adjustRightInd w:val="0"/>
              <w:snapToGrid w:val="0"/>
              <w:spacing w:line="240" w:lineRule="auto"/>
              <w:ind w:firstLine="0" w:firstLineChars="0"/>
              <w:jc w:val="center"/>
              <w:textAlignment w:val="center"/>
              <w:rPr>
                <w:sz w:val="21"/>
                <w:szCs w:val="21"/>
              </w:rPr>
            </w:pPr>
            <w:r>
              <w:rPr>
                <w:kern w:val="0"/>
                <w:sz w:val="21"/>
                <w:szCs w:val="21"/>
                <w:lang w:bidi="ar"/>
              </w:rPr>
              <w:t>3</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FE7B55">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回采出矿</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CE6A21">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CA76BE">
            <w:pPr>
              <w:widowControl/>
              <w:adjustRightInd w:val="0"/>
              <w:snapToGrid w:val="0"/>
              <w:spacing w:line="240" w:lineRule="auto"/>
              <w:ind w:firstLine="0" w:firstLineChars="0"/>
              <w:jc w:val="center"/>
              <w:textAlignment w:val="center"/>
              <w:rPr>
                <w:sz w:val="21"/>
                <w:szCs w:val="21"/>
              </w:rPr>
            </w:pPr>
            <w:r>
              <w:rPr>
                <w:kern w:val="0"/>
                <w:sz w:val="21"/>
                <w:szCs w:val="21"/>
                <w:lang w:bidi="ar"/>
              </w:rPr>
              <w:t>0.5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3A0926">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DE481">
            <w:pPr>
              <w:widowControl/>
              <w:adjustRightInd w:val="0"/>
              <w:snapToGrid w:val="0"/>
              <w:spacing w:line="240" w:lineRule="auto"/>
              <w:ind w:firstLine="0" w:firstLineChars="0"/>
              <w:jc w:val="center"/>
              <w:textAlignment w:val="center"/>
              <w:rPr>
                <w:sz w:val="21"/>
                <w:szCs w:val="21"/>
              </w:rPr>
            </w:pPr>
            <w:r>
              <w:rPr>
                <w:kern w:val="0"/>
                <w:sz w:val="21"/>
                <w:szCs w:val="21"/>
                <w:lang w:bidi="ar"/>
              </w:rPr>
              <w:t>12.0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B3D958">
            <w:pPr>
              <w:widowControl/>
              <w:adjustRightInd w:val="0"/>
              <w:snapToGrid w:val="0"/>
              <w:spacing w:line="240" w:lineRule="auto"/>
              <w:ind w:firstLine="0" w:firstLineChars="0"/>
              <w:jc w:val="center"/>
              <w:textAlignment w:val="center"/>
              <w:rPr>
                <w:sz w:val="21"/>
                <w:szCs w:val="21"/>
              </w:rPr>
            </w:pPr>
            <w:r>
              <w:rPr>
                <w:kern w:val="0"/>
                <w:sz w:val="21"/>
                <w:szCs w:val="21"/>
                <w:lang w:bidi="ar"/>
              </w:rPr>
              <w:t>110.3</w:t>
            </w:r>
          </w:p>
        </w:tc>
      </w:tr>
      <w:tr w14:paraId="0251DF5F">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A13C8E">
            <w:pPr>
              <w:widowControl/>
              <w:adjustRightInd w:val="0"/>
              <w:snapToGrid w:val="0"/>
              <w:spacing w:line="240" w:lineRule="auto"/>
              <w:ind w:firstLine="0" w:firstLineChars="0"/>
              <w:jc w:val="center"/>
              <w:textAlignment w:val="center"/>
              <w:rPr>
                <w:sz w:val="21"/>
                <w:szCs w:val="21"/>
              </w:rPr>
            </w:pPr>
            <w:r>
              <w:rPr>
                <w:kern w:val="0"/>
                <w:sz w:val="21"/>
                <w:szCs w:val="21"/>
                <w:lang w:bidi="ar"/>
              </w:rPr>
              <w:t>4</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9CF931">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二次破碎</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108BF6">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D6614A">
            <w:pPr>
              <w:widowControl/>
              <w:adjustRightInd w:val="0"/>
              <w:snapToGrid w:val="0"/>
              <w:spacing w:line="240" w:lineRule="auto"/>
              <w:ind w:firstLine="0" w:firstLineChars="0"/>
              <w:jc w:val="center"/>
              <w:textAlignment w:val="center"/>
              <w:rPr>
                <w:sz w:val="21"/>
                <w:szCs w:val="21"/>
              </w:rPr>
            </w:pPr>
            <w:r>
              <w:rPr>
                <w:kern w:val="0"/>
                <w:sz w:val="21"/>
                <w:szCs w:val="21"/>
                <w:lang w:bidi="ar"/>
              </w:rPr>
              <w:t>0.5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5F421A">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77C0B4">
            <w:pPr>
              <w:widowControl/>
              <w:adjustRightInd w:val="0"/>
              <w:snapToGrid w:val="0"/>
              <w:spacing w:line="240" w:lineRule="auto"/>
              <w:ind w:firstLine="0" w:firstLineChars="0"/>
              <w:jc w:val="center"/>
              <w:textAlignment w:val="center"/>
              <w:rPr>
                <w:sz w:val="21"/>
                <w:szCs w:val="21"/>
              </w:rPr>
            </w:pPr>
            <w:r>
              <w:rPr>
                <w:kern w:val="0"/>
                <w:sz w:val="21"/>
                <w:szCs w:val="21"/>
                <w:lang w:bidi="ar"/>
              </w:rPr>
              <w:t>3.0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288A63">
            <w:pPr>
              <w:widowControl/>
              <w:adjustRightInd w:val="0"/>
              <w:snapToGrid w:val="0"/>
              <w:spacing w:line="240" w:lineRule="auto"/>
              <w:ind w:firstLine="0" w:firstLineChars="0"/>
              <w:jc w:val="center"/>
              <w:textAlignment w:val="center"/>
              <w:rPr>
                <w:sz w:val="21"/>
                <w:szCs w:val="21"/>
              </w:rPr>
            </w:pPr>
            <w:r>
              <w:rPr>
                <w:kern w:val="0"/>
                <w:sz w:val="21"/>
                <w:szCs w:val="21"/>
                <w:lang w:bidi="ar"/>
              </w:rPr>
              <w:t>27.6</w:t>
            </w:r>
          </w:p>
        </w:tc>
      </w:tr>
      <w:tr w14:paraId="5B771C89">
        <w:tblPrEx>
          <w:shd w:val="clear" w:color="auto" w:fill="FFFFFF"/>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F2E61A">
            <w:pPr>
              <w:widowControl/>
              <w:adjustRightInd w:val="0"/>
              <w:snapToGrid w:val="0"/>
              <w:spacing w:line="240" w:lineRule="auto"/>
              <w:ind w:firstLine="0" w:firstLineChars="0"/>
              <w:jc w:val="center"/>
              <w:textAlignment w:val="center"/>
              <w:rPr>
                <w:sz w:val="21"/>
                <w:szCs w:val="21"/>
              </w:rPr>
            </w:pPr>
            <w:r>
              <w:rPr>
                <w:kern w:val="0"/>
                <w:sz w:val="21"/>
                <w:szCs w:val="21"/>
                <w:lang w:bidi="ar"/>
              </w:rPr>
              <w:t>5</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723BD5">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采准掘进、支护</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6E1054">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7537F7">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F0C336">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7DEF93">
            <w:pPr>
              <w:widowControl/>
              <w:adjustRightInd w:val="0"/>
              <w:snapToGrid w:val="0"/>
              <w:spacing w:line="240" w:lineRule="auto"/>
              <w:ind w:firstLine="0" w:firstLineChars="0"/>
              <w:jc w:val="center"/>
              <w:textAlignment w:val="center"/>
              <w:rPr>
                <w:sz w:val="21"/>
                <w:szCs w:val="21"/>
              </w:rPr>
            </w:pPr>
            <w:r>
              <w:rPr>
                <w:kern w:val="0"/>
                <w:sz w:val="21"/>
                <w:szCs w:val="21"/>
                <w:lang w:bidi="ar"/>
              </w:rPr>
              <w:t>7.0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5C7EBE">
            <w:pPr>
              <w:widowControl/>
              <w:adjustRightInd w:val="0"/>
              <w:snapToGrid w:val="0"/>
              <w:spacing w:line="240" w:lineRule="auto"/>
              <w:ind w:firstLine="0" w:firstLineChars="0"/>
              <w:jc w:val="center"/>
              <w:textAlignment w:val="center"/>
              <w:rPr>
                <w:sz w:val="21"/>
                <w:szCs w:val="21"/>
              </w:rPr>
            </w:pPr>
            <w:r>
              <w:rPr>
                <w:kern w:val="0"/>
                <w:sz w:val="21"/>
                <w:szCs w:val="21"/>
                <w:lang w:bidi="ar"/>
              </w:rPr>
              <w:t>32.2</w:t>
            </w:r>
          </w:p>
        </w:tc>
      </w:tr>
      <w:tr w14:paraId="06553AE7">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8E98A1">
            <w:pPr>
              <w:widowControl/>
              <w:adjustRightInd w:val="0"/>
              <w:snapToGrid w:val="0"/>
              <w:spacing w:line="240" w:lineRule="auto"/>
              <w:ind w:firstLine="0" w:firstLineChars="0"/>
              <w:jc w:val="center"/>
              <w:textAlignment w:val="center"/>
              <w:rPr>
                <w:sz w:val="21"/>
                <w:szCs w:val="21"/>
              </w:rPr>
            </w:pPr>
            <w:r>
              <w:rPr>
                <w:kern w:val="0"/>
                <w:sz w:val="21"/>
                <w:szCs w:val="21"/>
                <w:lang w:bidi="ar"/>
              </w:rPr>
              <w:t>6</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81F856">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采准出碴</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20B649">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DED74">
            <w:pPr>
              <w:widowControl/>
              <w:adjustRightInd w:val="0"/>
              <w:snapToGrid w:val="0"/>
              <w:spacing w:line="240" w:lineRule="auto"/>
              <w:ind w:firstLine="0" w:firstLineChars="0"/>
              <w:jc w:val="center"/>
              <w:textAlignment w:val="center"/>
              <w:rPr>
                <w:sz w:val="21"/>
                <w:szCs w:val="21"/>
              </w:rPr>
            </w:pPr>
            <w:r>
              <w:rPr>
                <w:kern w:val="0"/>
                <w:sz w:val="21"/>
                <w:szCs w:val="21"/>
                <w:lang w:bidi="ar"/>
              </w:rPr>
              <w:t>0.5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8B5A4C">
            <w:pPr>
              <w:widowControl/>
              <w:adjustRightInd w:val="0"/>
              <w:snapToGrid w:val="0"/>
              <w:spacing w:line="240" w:lineRule="auto"/>
              <w:ind w:firstLine="0" w:firstLineChars="0"/>
              <w:jc w:val="center"/>
              <w:textAlignment w:val="center"/>
              <w:rPr>
                <w:sz w:val="21"/>
                <w:szCs w:val="21"/>
              </w:rPr>
            </w:pPr>
            <w:r>
              <w:rPr>
                <w:kern w:val="0"/>
                <w:sz w:val="21"/>
                <w:szCs w:val="21"/>
                <w:lang w:bidi="ar"/>
              </w:rPr>
              <w:t>9.2</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1409AC">
            <w:pPr>
              <w:widowControl/>
              <w:adjustRightInd w:val="0"/>
              <w:snapToGrid w:val="0"/>
              <w:spacing w:line="240" w:lineRule="auto"/>
              <w:ind w:firstLine="0" w:firstLineChars="0"/>
              <w:jc w:val="center"/>
              <w:textAlignment w:val="center"/>
              <w:rPr>
                <w:sz w:val="21"/>
                <w:szCs w:val="21"/>
              </w:rPr>
            </w:pPr>
            <w:r>
              <w:rPr>
                <w:kern w:val="0"/>
                <w:sz w:val="21"/>
                <w:szCs w:val="21"/>
                <w:lang w:bidi="ar"/>
              </w:rPr>
              <w:t>2.0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C3F32F">
            <w:pPr>
              <w:widowControl/>
              <w:adjustRightInd w:val="0"/>
              <w:snapToGrid w:val="0"/>
              <w:spacing w:line="240" w:lineRule="auto"/>
              <w:ind w:firstLine="0" w:firstLineChars="0"/>
              <w:jc w:val="center"/>
              <w:textAlignment w:val="center"/>
              <w:rPr>
                <w:sz w:val="21"/>
                <w:szCs w:val="21"/>
              </w:rPr>
            </w:pPr>
            <w:r>
              <w:rPr>
                <w:kern w:val="0"/>
                <w:sz w:val="21"/>
                <w:szCs w:val="21"/>
                <w:lang w:bidi="ar"/>
              </w:rPr>
              <w:t>18.4</w:t>
            </w:r>
          </w:p>
        </w:tc>
      </w:tr>
      <w:tr w14:paraId="69965A27">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C167D1">
            <w:pPr>
              <w:widowControl/>
              <w:adjustRightInd w:val="0"/>
              <w:snapToGrid w:val="0"/>
              <w:spacing w:line="240" w:lineRule="auto"/>
              <w:ind w:firstLine="0" w:firstLineChars="0"/>
              <w:jc w:val="center"/>
              <w:textAlignment w:val="center"/>
              <w:rPr>
                <w:sz w:val="21"/>
                <w:szCs w:val="21"/>
              </w:rPr>
            </w:pPr>
            <w:r>
              <w:rPr>
                <w:kern w:val="0"/>
                <w:sz w:val="21"/>
                <w:szCs w:val="21"/>
                <w:lang w:bidi="ar"/>
              </w:rPr>
              <w:t>7</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B883BC">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充填（挡墙砌筑）</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A28FB9">
            <w:pPr>
              <w:widowControl/>
              <w:adjustRightInd w:val="0"/>
              <w:snapToGrid w:val="0"/>
              <w:spacing w:line="240" w:lineRule="auto"/>
              <w:ind w:firstLine="0" w:firstLineChars="0"/>
              <w:jc w:val="center"/>
              <w:textAlignment w:val="center"/>
              <w:rPr>
                <w:sz w:val="21"/>
                <w:szCs w:val="21"/>
              </w:rPr>
            </w:pPr>
            <w:r>
              <w:rPr>
                <w:kern w:val="0"/>
                <w:sz w:val="21"/>
                <w:szCs w:val="21"/>
                <w:lang w:bidi="ar"/>
              </w:rPr>
              <w:t>18.38</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0908A">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65B9EE">
            <w:pPr>
              <w:widowControl/>
              <w:adjustRightInd w:val="0"/>
              <w:snapToGrid w:val="0"/>
              <w:spacing w:line="240" w:lineRule="auto"/>
              <w:ind w:firstLine="0" w:firstLineChars="0"/>
              <w:jc w:val="center"/>
              <w:textAlignment w:val="center"/>
              <w:rPr>
                <w:sz w:val="21"/>
                <w:szCs w:val="21"/>
              </w:rPr>
            </w:pPr>
            <w:r>
              <w:rPr>
                <w:kern w:val="0"/>
                <w:sz w:val="21"/>
                <w:szCs w:val="21"/>
                <w:lang w:bidi="ar"/>
              </w:rPr>
              <w:t>4.6</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9A90FC">
            <w:pPr>
              <w:widowControl/>
              <w:adjustRightInd w:val="0"/>
              <w:snapToGrid w:val="0"/>
              <w:spacing w:line="240" w:lineRule="auto"/>
              <w:ind w:firstLine="0" w:firstLineChars="0"/>
              <w:jc w:val="center"/>
              <w:textAlignment w:val="center"/>
              <w:rPr>
                <w:sz w:val="21"/>
                <w:szCs w:val="21"/>
              </w:rPr>
            </w:pPr>
            <w:r>
              <w:rPr>
                <w:kern w:val="0"/>
                <w:sz w:val="21"/>
                <w:szCs w:val="21"/>
                <w:lang w:bidi="ar"/>
              </w:rPr>
              <w:t>6.0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B91639">
            <w:pPr>
              <w:widowControl/>
              <w:adjustRightInd w:val="0"/>
              <w:snapToGrid w:val="0"/>
              <w:spacing w:line="240" w:lineRule="auto"/>
              <w:ind w:firstLine="0" w:firstLineChars="0"/>
              <w:jc w:val="center"/>
              <w:textAlignment w:val="center"/>
              <w:rPr>
                <w:sz w:val="21"/>
                <w:szCs w:val="21"/>
              </w:rPr>
            </w:pPr>
            <w:r>
              <w:rPr>
                <w:kern w:val="0"/>
                <w:sz w:val="21"/>
                <w:szCs w:val="21"/>
                <w:lang w:bidi="ar"/>
              </w:rPr>
              <w:t>27.6</w:t>
            </w:r>
          </w:p>
        </w:tc>
      </w:tr>
      <w:tr w14:paraId="46CC551D">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0D7504">
            <w:pPr>
              <w:widowControl/>
              <w:adjustRightInd w:val="0"/>
              <w:snapToGrid w:val="0"/>
              <w:spacing w:line="240" w:lineRule="auto"/>
              <w:ind w:firstLine="0" w:firstLineChars="0"/>
              <w:jc w:val="center"/>
              <w:textAlignment w:val="center"/>
              <w:rPr>
                <w:sz w:val="21"/>
                <w:szCs w:val="21"/>
              </w:rPr>
            </w:pPr>
            <w:r>
              <w:rPr>
                <w:kern w:val="0"/>
                <w:sz w:val="21"/>
                <w:szCs w:val="21"/>
                <w:lang w:bidi="ar"/>
              </w:rPr>
              <w:t>8</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4EF50B">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备用</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1B71A0">
            <w:pPr>
              <w:adjustRightInd w:val="0"/>
              <w:snapToGrid w:val="0"/>
              <w:spacing w:line="240" w:lineRule="auto"/>
              <w:ind w:firstLine="0" w:firstLineChars="0"/>
              <w:jc w:val="center"/>
              <w:rPr>
                <w:rFonts w:ascii="宋体" w:hAnsi="宋体" w:cs="宋体"/>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E2DDAB">
            <w:pPr>
              <w:adjustRightInd w:val="0"/>
              <w:snapToGrid w:val="0"/>
              <w:spacing w:line="240" w:lineRule="auto"/>
              <w:ind w:firstLine="0" w:firstLineChars="0"/>
              <w:jc w:val="center"/>
              <w:rPr>
                <w:rFonts w:ascii="宋体" w:hAnsi="宋体" w:cs="宋体"/>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5EBB17">
            <w:pPr>
              <w:widowControl/>
              <w:adjustRightInd w:val="0"/>
              <w:snapToGrid w:val="0"/>
              <w:spacing w:line="240" w:lineRule="auto"/>
              <w:ind w:firstLine="0" w:firstLineChars="0"/>
              <w:jc w:val="center"/>
              <w:textAlignment w:val="center"/>
              <w:rPr>
                <w:sz w:val="21"/>
                <w:szCs w:val="21"/>
              </w:rPr>
            </w:pPr>
            <w:r>
              <w:rPr>
                <w:kern w:val="0"/>
                <w:sz w:val="21"/>
                <w:szCs w:val="21"/>
                <w:lang w:bidi="ar"/>
              </w:rPr>
              <w:t>2.3</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3C569F">
            <w:pPr>
              <w:widowControl/>
              <w:adjustRightInd w:val="0"/>
              <w:snapToGrid w:val="0"/>
              <w:spacing w:line="240" w:lineRule="auto"/>
              <w:ind w:firstLine="0" w:firstLineChars="0"/>
              <w:jc w:val="center"/>
              <w:textAlignment w:val="center"/>
              <w:rPr>
                <w:sz w:val="21"/>
                <w:szCs w:val="21"/>
              </w:rPr>
            </w:pPr>
            <w:r>
              <w:rPr>
                <w:kern w:val="0"/>
                <w:sz w:val="21"/>
                <w:szCs w:val="21"/>
                <w:lang w:bidi="ar"/>
              </w:rPr>
              <w:t>8.0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D3CF81">
            <w:pPr>
              <w:widowControl/>
              <w:adjustRightInd w:val="0"/>
              <w:snapToGrid w:val="0"/>
              <w:spacing w:line="240" w:lineRule="auto"/>
              <w:ind w:firstLine="0" w:firstLineChars="0"/>
              <w:jc w:val="center"/>
              <w:textAlignment w:val="center"/>
              <w:rPr>
                <w:sz w:val="21"/>
                <w:szCs w:val="21"/>
              </w:rPr>
            </w:pPr>
            <w:r>
              <w:rPr>
                <w:kern w:val="0"/>
                <w:sz w:val="21"/>
                <w:szCs w:val="21"/>
                <w:lang w:bidi="ar"/>
              </w:rPr>
              <w:t>18.4</w:t>
            </w:r>
          </w:p>
        </w:tc>
      </w:tr>
      <w:tr w14:paraId="2DA14898">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EA1DCA">
            <w:pPr>
              <w:adjustRightInd w:val="0"/>
              <w:snapToGrid w:val="0"/>
              <w:spacing w:line="240" w:lineRule="auto"/>
              <w:ind w:firstLine="0" w:firstLineChars="0"/>
              <w:jc w:val="center"/>
              <w:rPr>
                <w:sz w:val="21"/>
                <w:szCs w:val="21"/>
              </w:rPr>
            </w:pPr>
            <w:r>
              <w:rPr>
                <w:rFonts w:hint="eastAsia"/>
                <w:sz w:val="21"/>
                <w:szCs w:val="21"/>
              </w:rPr>
              <w:t>9</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85A992">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出矿水平小计</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C7220D">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7228A9">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8EB05E">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10B8E1">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914218">
            <w:pPr>
              <w:widowControl/>
              <w:adjustRightInd w:val="0"/>
              <w:snapToGrid w:val="0"/>
              <w:spacing w:line="240" w:lineRule="auto"/>
              <w:ind w:firstLine="0" w:firstLineChars="0"/>
              <w:jc w:val="center"/>
              <w:textAlignment w:val="center"/>
              <w:rPr>
                <w:sz w:val="21"/>
                <w:szCs w:val="21"/>
              </w:rPr>
            </w:pPr>
            <w:r>
              <w:rPr>
                <w:kern w:val="0"/>
                <w:sz w:val="21"/>
                <w:szCs w:val="21"/>
                <w:lang w:bidi="ar"/>
              </w:rPr>
              <w:t>257.3</w:t>
            </w:r>
          </w:p>
        </w:tc>
      </w:tr>
      <w:tr w14:paraId="34B3B346">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6AB9B3">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三</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62D0A2">
            <w:pPr>
              <w:widowControl/>
              <w:adjustRightInd w:val="0"/>
              <w:snapToGrid w:val="0"/>
              <w:spacing w:line="240" w:lineRule="auto"/>
              <w:ind w:firstLine="0" w:firstLineChars="0"/>
              <w:jc w:val="left"/>
              <w:textAlignment w:val="center"/>
              <w:rPr>
                <w:rFonts w:ascii="宋体" w:hAnsi="宋体" w:cs="宋体"/>
                <w:sz w:val="21"/>
                <w:szCs w:val="21"/>
              </w:rPr>
            </w:pPr>
            <w:r>
              <w:rPr>
                <w:rFonts w:hint="eastAsia" w:ascii="宋体" w:hAnsi="宋体" w:cs="宋体"/>
                <w:kern w:val="0"/>
                <w:sz w:val="21"/>
                <w:szCs w:val="21"/>
                <w:lang w:bidi="ar"/>
              </w:rPr>
              <w:t>运输水平</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EAB110">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97A754">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FB064C">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2D8812">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C9FB1F">
            <w:pPr>
              <w:adjustRightInd w:val="0"/>
              <w:snapToGrid w:val="0"/>
              <w:spacing w:line="240" w:lineRule="auto"/>
              <w:ind w:firstLine="0" w:firstLineChars="0"/>
              <w:jc w:val="center"/>
              <w:rPr>
                <w:sz w:val="21"/>
                <w:szCs w:val="21"/>
              </w:rPr>
            </w:pPr>
          </w:p>
        </w:tc>
      </w:tr>
      <w:tr w14:paraId="600233A9">
        <w:tblPrEx>
          <w:shd w:val="clear" w:color="auto" w:fill="FFFFFF"/>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F14431">
            <w:pPr>
              <w:widowControl/>
              <w:adjustRightInd w:val="0"/>
              <w:snapToGrid w:val="0"/>
              <w:spacing w:line="240" w:lineRule="auto"/>
              <w:ind w:firstLine="0" w:firstLineChars="0"/>
              <w:jc w:val="center"/>
              <w:textAlignment w:val="center"/>
              <w:rPr>
                <w:sz w:val="21"/>
                <w:szCs w:val="21"/>
              </w:rPr>
            </w:pPr>
            <w:r>
              <w:rPr>
                <w:kern w:val="0"/>
                <w:sz w:val="21"/>
                <w:szCs w:val="21"/>
                <w:lang w:bidi="ar"/>
              </w:rPr>
              <w:t>1</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D1FBBD">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运输穿脉放矿</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B3903F">
            <w:pPr>
              <w:widowControl/>
              <w:adjustRightInd w:val="0"/>
              <w:snapToGrid w:val="0"/>
              <w:spacing w:line="240" w:lineRule="auto"/>
              <w:ind w:firstLine="0" w:firstLineChars="0"/>
              <w:jc w:val="center"/>
              <w:textAlignment w:val="center"/>
              <w:rPr>
                <w:sz w:val="21"/>
                <w:szCs w:val="21"/>
              </w:rPr>
            </w:pPr>
            <w:r>
              <w:rPr>
                <w:kern w:val="0"/>
                <w:sz w:val="21"/>
                <w:szCs w:val="21"/>
                <w:lang w:bidi="ar"/>
              </w:rPr>
              <w:t>12.32</w:t>
            </w: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B1B433">
            <w:pPr>
              <w:widowControl/>
              <w:adjustRightInd w:val="0"/>
              <w:snapToGrid w:val="0"/>
              <w:spacing w:line="240" w:lineRule="auto"/>
              <w:ind w:firstLine="0" w:firstLineChars="0"/>
              <w:jc w:val="center"/>
              <w:textAlignment w:val="center"/>
              <w:rPr>
                <w:sz w:val="21"/>
                <w:szCs w:val="21"/>
              </w:rPr>
            </w:pPr>
            <w:r>
              <w:rPr>
                <w:kern w:val="0"/>
                <w:sz w:val="21"/>
                <w:szCs w:val="21"/>
                <w:lang w:bidi="ar"/>
              </w:rPr>
              <w:t>0.25</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5AF745">
            <w:pPr>
              <w:widowControl/>
              <w:adjustRightInd w:val="0"/>
              <w:snapToGrid w:val="0"/>
              <w:spacing w:line="240" w:lineRule="auto"/>
              <w:ind w:firstLine="0" w:firstLineChars="0"/>
              <w:jc w:val="center"/>
              <w:textAlignment w:val="center"/>
              <w:rPr>
                <w:sz w:val="21"/>
                <w:szCs w:val="21"/>
              </w:rPr>
            </w:pPr>
            <w:r>
              <w:rPr>
                <w:kern w:val="0"/>
                <w:sz w:val="21"/>
                <w:szCs w:val="21"/>
                <w:lang w:bidi="ar"/>
              </w:rPr>
              <w:t>3.1</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CCFDE4">
            <w:pPr>
              <w:widowControl/>
              <w:adjustRightInd w:val="0"/>
              <w:snapToGrid w:val="0"/>
              <w:spacing w:line="240" w:lineRule="auto"/>
              <w:ind w:firstLine="0" w:firstLineChars="0"/>
              <w:jc w:val="center"/>
              <w:textAlignment w:val="center"/>
              <w:rPr>
                <w:sz w:val="21"/>
                <w:szCs w:val="21"/>
              </w:rPr>
            </w:pPr>
            <w:r>
              <w:rPr>
                <w:kern w:val="0"/>
                <w:sz w:val="21"/>
                <w:szCs w:val="21"/>
                <w:lang w:bidi="ar"/>
              </w:rPr>
              <w:t>6.0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34D5FE">
            <w:pPr>
              <w:widowControl/>
              <w:adjustRightInd w:val="0"/>
              <w:snapToGrid w:val="0"/>
              <w:spacing w:line="240" w:lineRule="auto"/>
              <w:ind w:firstLine="0" w:firstLineChars="0"/>
              <w:jc w:val="center"/>
              <w:textAlignment w:val="center"/>
              <w:rPr>
                <w:sz w:val="21"/>
                <w:szCs w:val="21"/>
              </w:rPr>
            </w:pPr>
            <w:r>
              <w:rPr>
                <w:kern w:val="0"/>
                <w:sz w:val="21"/>
                <w:szCs w:val="21"/>
                <w:lang w:bidi="ar"/>
              </w:rPr>
              <w:t>18.5</w:t>
            </w:r>
          </w:p>
        </w:tc>
      </w:tr>
      <w:tr w14:paraId="03A2ECD6">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84B1AF">
            <w:pPr>
              <w:widowControl/>
              <w:adjustRightInd w:val="0"/>
              <w:snapToGrid w:val="0"/>
              <w:spacing w:line="240" w:lineRule="auto"/>
              <w:ind w:firstLine="0" w:firstLineChars="0"/>
              <w:jc w:val="center"/>
              <w:textAlignment w:val="center"/>
              <w:rPr>
                <w:sz w:val="21"/>
                <w:szCs w:val="21"/>
              </w:rPr>
            </w:pPr>
            <w:r>
              <w:rPr>
                <w:kern w:val="0"/>
                <w:sz w:val="21"/>
                <w:szCs w:val="21"/>
                <w:lang w:bidi="ar"/>
              </w:rPr>
              <w:t>2</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A177DE">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主溜井卸矿</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804BB3">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E4F9E0">
            <w:pPr>
              <w:adjustRightInd w:val="0"/>
              <w:snapToGrid w:val="0"/>
              <w:spacing w:line="240" w:lineRule="auto"/>
              <w:ind w:firstLine="0" w:firstLineChars="0"/>
              <w:jc w:val="center"/>
              <w:rPr>
                <w:rFonts w:ascii="宋体" w:hAnsi="宋体" w:cs="宋体"/>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52FD23">
            <w:pPr>
              <w:widowControl/>
              <w:adjustRightInd w:val="0"/>
              <w:snapToGrid w:val="0"/>
              <w:spacing w:line="240" w:lineRule="auto"/>
              <w:ind w:firstLine="0" w:firstLineChars="0"/>
              <w:jc w:val="center"/>
              <w:textAlignment w:val="center"/>
              <w:rPr>
                <w:sz w:val="21"/>
                <w:szCs w:val="21"/>
              </w:rPr>
            </w:pPr>
            <w:r>
              <w:rPr>
                <w:kern w:val="0"/>
                <w:sz w:val="21"/>
                <w:szCs w:val="21"/>
                <w:lang w:bidi="ar"/>
              </w:rPr>
              <w:t>5.0</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C5FDD0">
            <w:pPr>
              <w:widowControl/>
              <w:adjustRightInd w:val="0"/>
              <w:snapToGrid w:val="0"/>
              <w:spacing w:line="240" w:lineRule="auto"/>
              <w:ind w:firstLine="0" w:firstLineChars="0"/>
              <w:jc w:val="center"/>
              <w:textAlignment w:val="center"/>
              <w:rPr>
                <w:sz w:val="21"/>
                <w:szCs w:val="21"/>
              </w:rPr>
            </w:pPr>
            <w:r>
              <w:rPr>
                <w:kern w:val="0"/>
                <w:sz w:val="21"/>
                <w:szCs w:val="21"/>
                <w:lang w:bidi="ar"/>
              </w:rPr>
              <w:t>2.0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A6BCB9">
            <w:pPr>
              <w:widowControl/>
              <w:adjustRightInd w:val="0"/>
              <w:snapToGrid w:val="0"/>
              <w:spacing w:line="240" w:lineRule="auto"/>
              <w:ind w:firstLine="0" w:firstLineChars="0"/>
              <w:jc w:val="center"/>
              <w:textAlignment w:val="center"/>
              <w:rPr>
                <w:sz w:val="21"/>
                <w:szCs w:val="21"/>
              </w:rPr>
            </w:pPr>
            <w:r>
              <w:rPr>
                <w:kern w:val="0"/>
                <w:sz w:val="21"/>
                <w:szCs w:val="21"/>
                <w:lang w:bidi="ar"/>
              </w:rPr>
              <w:t>10.0</w:t>
            </w:r>
          </w:p>
        </w:tc>
      </w:tr>
      <w:tr w14:paraId="172F0FDE">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64893D">
            <w:pPr>
              <w:widowControl/>
              <w:adjustRightInd w:val="0"/>
              <w:snapToGrid w:val="0"/>
              <w:spacing w:line="240" w:lineRule="auto"/>
              <w:ind w:firstLine="0" w:firstLineChars="0"/>
              <w:jc w:val="center"/>
              <w:textAlignment w:val="center"/>
              <w:rPr>
                <w:sz w:val="21"/>
                <w:szCs w:val="21"/>
              </w:rPr>
            </w:pPr>
            <w:r>
              <w:rPr>
                <w:kern w:val="0"/>
                <w:sz w:val="21"/>
                <w:szCs w:val="21"/>
                <w:lang w:bidi="ar"/>
              </w:rPr>
              <w:t>3</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F1A52D">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运输水平小计</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5A9C24">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250763">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9959FA">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1D8CC9">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AEC101">
            <w:pPr>
              <w:widowControl/>
              <w:adjustRightInd w:val="0"/>
              <w:snapToGrid w:val="0"/>
              <w:spacing w:line="240" w:lineRule="auto"/>
              <w:ind w:firstLine="0" w:firstLineChars="0"/>
              <w:jc w:val="center"/>
              <w:textAlignment w:val="center"/>
              <w:rPr>
                <w:sz w:val="21"/>
                <w:szCs w:val="21"/>
              </w:rPr>
            </w:pPr>
            <w:r>
              <w:rPr>
                <w:kern w:val="0"/>
                <w:sz w:val="21"/>
                <w:szCs w:val="21"/>
                <w:lang w:bidi="ar"/>
              </w:rPr>
              <w:t>28.5</w:t>
            </w:r>
          </w:p>
        </w:tc>
      </w:tr>
      <w:tr w14:paraId="530DE8DA">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807C96">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四</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383E29">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溜破系统</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B5A986">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3552A0">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AF688B">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4A5A9D">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8302C5">
            <w:pPr>
              <w:adjustRightInd w:val="0"/>
              <w:snapToGrid w:val="0"/>
              <w:spacing w:line="240" w:lineRule="auto"/>
              <w:ind w:firstLine="0" w:firstLineChars="0"/>
              <w:jc w:val="center"/>
              <w:rPr>
                <w:sz w:val="21"/>
                <w:szCs w:val="21"/>
              </w:rPr>
            </w:pPr>
          </w:p>
        </w:tc>
      </w:tr>
      <w:tr w14:paraId="42ED8BEE">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AAD041">
            <w:pPr>
              <w:widowControl/>
              <w:adjustRightInd w:val="0"/>
              <w:snapToGrid w:val="0"/>
              <w:spacing w:line="240" w:lineRule="auto"/>
              <w:ind w:firstLine="0" w:firstLineChars="0"/>
              <w:jc w:val="center"/>
              <w:textAlignment w:val="center"/>
              <w:rPr>
                <w:sz w:val="21"/>
                <w:szCs w:val="21"/>
              </w:rPr>
            </w:pPr>
            <w:r>
              <w:rPr>
                <w:kern w:val="0"/>
                <w:sz w:val="21"/>
                <w:szCs w:val="21"/>
                <w:lang w:bidi="ar"/>
              </w:rPr>
              <w:t>1</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043E61">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破碎硐室</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D9F73C">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EEBD7E">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E87EFE">
            <w:pPr>
              <w:widowControl/>
              <w:adjustRightInd w:val="0"/>
              <w:snapToGrid w:val="0"/>
              <w:spacing w:line="240" w:lineRule="auto"/>
              <w:ind w:firstLine="0" w:firstLineChars="0"/>
              <w:jc w:val="center"/>
              <w:textAlignment w:val="center"/>
              <w:rPr>
                <w:sz w:val="21"/>
                <w:szCs w:val="21"/>
              </w:rPr>
            </w:pPr>
            <w:r>
              <w:rPr>
                <w:kern w:val="0"/>
                <w:sz w:val="21"/>
                <w:szCs w:val="21"/>
                <w:lang w:bidi="ar"/>
              </w:rPr>
              <w:t>12.0</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5C7F42">
            <w:pPr>
              <w:widowControl/>
              <w:adjustRightInd w:val="0"/>
              <w:snapToGrid w:val="0"/>
              <w:spacing w:line="240" w:lineRule="auto"/>
              <w:ind w:firstLine="0" w:firstLineChars="0"/>
              <w:jc w:val="center"/>
              <w:textAlignment w:val="center"/>
              <w:rPr>
                <w:sz w:val="21"/>
                <w:szCs w:val="21"/>
              </w:rPr>
            </w:pPr>
            <w:r>
              <w:rPr>
                <w:kern w:val="0"/>
                <w:sz w:val="21"/>
                <w:szCs w:val="21"/>
                <w:lang w:bidi="ar"/>
              </w:rPr>
              <w:t>1.0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8AEE87">
            <w:pPr>
              <w:widowControl/>
              <w:adjustRightInd w:val="0"/>
              <w:snapToGrid w:val="0"/>
              <w:spacing w:line="240" w:lineRule="auto"/>
              <w:ind w:firstLine="0" w:firstLineChars="0"/>
              <w:jc w:val="center"/>
              <w:textAlignment w:val="center"/>
              <w:rPr>
                <w:sz w:val="21"/>
                <w:szCs w:val="21"/>
              </w:rPr>
            </w:pPr>
            <w:r>
              <w:rPr>
                <w:kern w:val="0"/>
                <w:sz w:val="21"/>
                <w:szCs w:val="21"/>
                <w:lang w:bidi="ar"/>
              </w:rPr>
              <w:t>12.0</w:t>
            </w:r>
          </w:p>
        </w:tc>
      </w:tr>
      <w:tr w14:paraId="7190C4EE">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1E0FF7">
            <w:pPr>
              <w:widowControl/>
              <w:adjustRightInd w:val="0"/>
              <w:snapToGrid w:val="0"/>
              <w:spacing w:line="240" w:lineRule="auto"/>
              <w:ind w:firstLine="0" w:firstLineChars="0"/>
              <w:jc w:val="center"/>
              <w:textAlignment w:val="center"/>
              <w:rPr>
                <w:sz w:val="21"/>
                <w:szCs w:val="21"/>
              </w:rPr>
            </w:pPr>
            <w:r>
              <w:rPr>
                <w:kern w:val="0"/>
                <w:sz w:val="21"/>
                <w:szCs w:val="21"/>
                <w:lang w:bidi="ar"/>
              </w:rPr>
              <w:t>2</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573CCA">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皮带道硐室</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C3E4DA">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2F665F">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772900">
            <w:pPr>
              <w:widowControl/>
              <w:adjustRightInd w:val="0"/>
              <w:snapToGrid w:val="0"/>
              <w:spacing w:line="240" w:lineRule="auto"/>
              <w:ind w:firstLine="0" w:firstLineChars="0"/>
              <w:jc w:val="center"/>
              <w:textAlignment w:val="center"/>
              <w:rPr>
                <w:sz w:val="21"/>
                <w:szCs w:val="21"/>
              </w:rPr>
            </w:pPr>
            <w:r>
              <w:rPr>
                <w:kern w:val="0"/>
                <w:sz w:val="21"/>
                <w:szCs w:val="21"/>
                <w:lang w:bidi="ar"/>
              </w:rPr>
              <w:t>4.0</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6C9A5A">
            <w:pPr>
              <w:widowControl/>
              <w:adjustRightInd w:val="0"/>
              <w:snapToGrid w:val="0"/>
              <w:spacing w:line="240" w:lineRule="auto"/>
              <w:ind w:firstLine="0" w:firstLineChars="0"/>
              <w:jc w:val="center"/>
              <w:textAlignment w:val="center"/>
              <w:rPr>
                <w:sz w:val="21"/>
                <w:szCs w:val="21"/>
              </w:rPr>
            </w:pPr>
            <w:r>
              <w:rPr>
                <w:kern w:val="0"/>
                <w:sz w:val="21"/>
                <w:szCs w:val="21"/>
                <w:lang w:bidi="ar"/>
              </w:rPr>
              <w:t>1.0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6A2EC3">
            <w:pPr>
              <w:widowControl/>
              <w:adjustRightInd w:val="0"/>
              <w:snapToGrid w:val="0"/>
              <w:spacing w:line="240" w:lineRule="auto"/>
              <w:ind w:firstLine="0" w:firstLineChars="0"/>
              <w:jc w:val="center"/>
              <w:textAlignment w:val="center"/>
              <w:rPr>
                <w:sz w:val="21"/>
                <w:szCs w:val="21"/>
              </w:rPr>
            </w:pPr>
            <w:r>
              <w:rPr>
                <w:kern w:val="0"/>
                <w:sz w:val="21"/>
                <w:szCs w:val="21"/>
                <w:lang w:bidi="ar"/>
              </w:rPr>
              <w:t>4.0</w:t>
            </w:r>
          </w:p>
        </w:tc>
      </w:tr>
      <w:tr w14:paraId="250696B4">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DFD359">
            <w:pPr>
              <w:widowControl/>
              <w:adjustRightInd w:val="0"/>
              <w:snapToGrid w:val="0"/>
              <w:spacing w:line="240" w:lineRule="auto"/>
              <w:ind w:firstLine="0" w:firstLineChars="0"/>
              <w:jc w:val="center"/>
              <w:textAlignment w:val="center"/>
              <w:rPr>
                <w:sz w:val="21"/>
                <w:szCs w:val="21"/>
              </w:rPr>
            </w:pPr>
            <w:r>
              <w:rPr>
                <w:kern w:val="0"/>
                <w:sz w:val="21"/>
                <w:szCs w:val="21"/>
                <w:lang w:bidi="ar"/>
              </w:rPr>
              <w:t>3</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BBE4F4">
            <w:pPr>
              <w:widowControl/>
              <w:adjustRightInd w:val="0"/>
              <w:snapToGrid w:val="0"/>
              <w:spacing w:line="240" w:lineRule="auto"/>
              <w:ind w:firstLine="0" w:firstLineChars="0"/>
              <w:textAlignment w:val="center"/>
              <w:rPr>
                <w:rFonts w:ascii="宋体" w:hAnsi="宋体" w:cs="宋体"/>
                <w:sz w:val="21"/>
                <w:szCs w:val="21"/>
              </w:rPr>
            </w:pPr>
            <w:r>
              <w:rPr>
                <w:rFonts w:hint="eastAsia" w:ascii="宋体" w:hAnsi="宋体" w:cs="宋体"/>
                <w:kern w:val="0"/>
                <w:sz w:val="21"/>
                <w:szCs w:val="21"/>
                <w:lang w:bidi="ar"/>
              </w:rPr>
              <w:t>粉矿清理硐室</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4B6CDD">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9C1675">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163483">
            <w:pPr>
              <w:widowControl/>
              <w:adjustRightInd w:val="0"/>
              <w:snapToGrid w:val="0"/>
              <w:spacing w:line="240" w:lineRule="auto"/>
              <w:ind w:firstLine="0" w:firstLineChars="0"/>
              <w:jc w:val="center"/>
              <w:textAlignment w:val="center"/>
              <w:rPr>
                <w:sz w:val="21"/>
                <w:szCs w:val="21"/>
              </w:rPr>
            </w:pPr>
            <w:r>
              <w:rPr>
                <w:kern w:val="0"/>
                <w:sz w:val="21"/>
                <w:szCs w:val="21"/>
                <w:lang w:bidi="ar"/>
              </w:rPr>
              <w:t>4.0</w:t>
            </w: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E94D4C">
            <w:pPr>
              <w:widowControl/>
              <w:adjustRightInd w:val="0"/>
              <w:snapToGrid w:val="0"/>
              <w:spacing w:line="240" w:lineRule="auto"/>
              <w:ind w:firstLine="0" w:firstLineChars="0"/>
              <w:jc w:val="center"/>
              <w:textAlignment w:val="center"/>
              <w:rPr>
                <w:sz w:val="21"/>
                <w:szCs w:val="21"/>
              </w:rPr>
            </w:pPr>
            <w:r>
              <w:rPr>
                <w:kern w:val="0"/>
                <w:sz w:val="21"/>
                <w:szCs w:val="21"/>
                <w:lang w:bidi="ar"/>
              </w:rPr>
              <w:t>1.0</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72FED">
            <w:pPr>
              <w:widowControl/>
              <w:adjustRightInd w:val="0"/>
              <w:snapToGrid w:val="0"/>
              <w:spacing w:line="240" w:lineRule="auto"/>
              <w:ind w:firstLine="0" w:firstLineChars="0"/>
              <w:jc w:val="center"/>
              <w:textAlignment w:val="center"/>
              <w:rPr>
                <w:sz w:val="21"/>
                <w:szCs w:val="21"/>
              </w:rPr>
            </w:pPr>
            <w:r>
              <w:rPr>
                <w:kern w:val="0"/>
                <w:sz w:val="21"/>
                <w:szCs w:val="21"/>
                <w:lang w:bidi="ar"/>
              </w:rPr>
              <w:t>4.0</w:t>
            </w:r>
          </w:p>
        </w:tc>
      </w:tr>
      <w:tr w14:paraId="3BC66264">
        <w:tblPrEx>
          <w:tblCellMar>
            <w:top w:w="0" w:type="dxa"/>
            <w:left w:w="108" w:type="dxa"/>
            <w:bottom w:w="0" w:type="dxa"/>
            <w:right w:w="108" w:type="dxa"/>
          </w:tblCellMar>
        </w:tblPrEx>
        <w:trPr>
          <w:trHeight w:val="425" w:hRule="atLeast"/>
        </w:trPr>
        <w:tc>
          <w:tcPr>
            <w:tcW w:w="43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D037C2">
            <w:pPr>
              <w:widowControl/>
              <w:adjustRightInd w:val="0"/>
              <w:snapToGrid w:val="0"/>
              <w:spacing w:line="240" w:lineRule="auto"/>
              <w:ind w:firstLine="0" w:firstLineChars="0"/>
              <w:jc w:val="center"/>
              <w:textAlignment w:val="center"/>
              <w:rPr>
                <w:sz w:val="21"/>
                <w:szCs w:val="21"/>
              </w:rPr>
            </w:pPr>
            <w:r>
              <w:rPr>
                <w:kern w:val="0"/>
                <w:sz w:val="21"/>
                <w:szCs w:val="21"/>
                <w:lang w:bidi="ar"/>
              </w:rPr>
              <w:t>4</w:t>
            </w:r>
          </w:p>
        </w:tc>
        <w:tc>
          <w:tcPr>
            <w:tcW w:w="13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F7C214">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溜破系统小计</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DD405F">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FB64D1">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575369">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27A070">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42B27F">
            <w:pPr>
              <w:widowControl/>
              <w:adjustRightInd w:val="0"/>
              <w:snapToGrid w:val="0"/>
              <w:spacing w:line="240" w:lineRule="auto"/>
              <w:ind w:firstLine="0" w:firstLineChars="0"/>
              <w:jc w:val="center"/>
              <w:textAlignment w:val="center"/>
              <w:rPr>
                <w:sz w:val="21"/>
                <w:szCs w:val="21"/>
              </w:rPr>
            </w:pPr>
            <w:r>
              <w:rPr>
                <w:kern w:val="0"/>
                <w:sz w:val="21"/>
                <w:szCs w:val="21"/>
                <w:lang w:bidi="ar"/>
              </w:rPr>
              <w:t>20.0</w:t>
            </w:r>
          </w:p>
        </w:tc>
      </w:tr>
      <w:tr w14:paraId="526FEA97">
        <w:tblPrEx>
          <w:shd w:val="clear" w:color="auto" w:fill="FFFFFF"/>
          <w:tblCellMar>
            <w:top w:w="0" w:type="dxa"/>
            <w:left w:w="108" w:type="dxa"/>
            <w:bottom w:w="0" w:type="dxa"/>
            <w:right w:w="108" w:type="dxa"/>
          </w:tblCellMar>
        </w:tblPrEx>
        <w:trPr>
          <w:trHeight w:val="425" w:hRule="atLeast"/>
        </w:trPr>
        <w:tc>
          <w:tcPr>
            <w:tcW w:w="1773"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4B96F45">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各区域风量合计</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EE74D9">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0566F3">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4B4201">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301660">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D73DEF">
            <w:pPr>
              <w:widowControl/>
              <w:adjustRightInd w:val="0"/>
              <w:snapToGrid w:val="0"/>
              <w:spacing w:line="240" w:lineRule="auto"/>
              <w:ind w:firstLine="0" w:firstLineChars="0"/>
              <w:jc w:val="center"/>
              <w:textAlignment w:val="center"/>
              <w:rPr>
                <w:sz w:val="21"/>
                <w:szCs w:val="21"/>
              </w:rPr>
            </w:pPr>
            <w:r>
              <w:rPr>
                <w:kern w:val="0"/>
                <w:sz w:val="21"/>
                <w:szCs w:val="21"/>
                <w:lang w:bidi="ar"/>
              </w:rPr>
              <w:t>485.0</w:t>
            </w:r>
          </w:p>
        </w:tc>
      </w:tr>
      <w:tr w14:paraId="623F72F9">
        <w:tblPrEx>
          <w:tblCellMar>
            <w:top w:w="0" w:type="dxa"/>
            <w:left w:w="108" w:type="dxa"/>
            <w:bottom w:w="0" w:type="dxa"/>
            <w:right w:w="108" w:type="dxa"/>
          </w:tblCellMar>
        </w:tblPrEx>
        <w:trPr>
          <w:trHeight w:val="425" w:hRule="atLeast"/>
        </w:trPr>
        <w:tc>
          <w:tcPr>
            <w:tcW w:w="1773"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A878AEF">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漏风系数</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E9B1C4">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5575DC">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97419B">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BC9220">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3EC604">
            <w:pPr>
              <w:widowControl/>
              <w:adjustRightInd w:val="0"/>
              <w:snapToGrid w:val="0"/>
              <w:spacing w:line="240" w:lineRule="auto"/>
              <w:ind w:firstLine="0" w:firstLineChars="0"/>
              <w:jc w:val="center"/>
              <w:textAlignment w:val="center"/>
              <w:rPr>
                <w:sz w:val="21"/>
                <w:szCs w:val="21"/>
              </w:rPr>
            </w:pPr>
            <w:r>
              <w:rPr>
                <w:kern w:val="0"/>
                <w:sz w:val="21"/>
                <w:szCs w:val="21"/>
                <w:lang w:bidi="ar"/>
              </w:rPr>
              <w:t>1.380</w:t>
            </w:r>
          </w:p>
        </w:tc>
      </w:tr>
      <w:tr w14:paraId="3FC431A9">
        <w:tblPrEx>
          <w:shd w:val="clear" w:color="auto" w:fill="FFFFFF"/>
          <w:tblCellMar>
            <w:top w:w="0" w:type="dxa"/>
            <w:left w:w="108" w:type="dxa"/>
            <w:bottom w:w="0" w:type="dxa"/>
            <w:right w:w="108" w:type="dxa"/>
          </w:tblCellMar>
        </w:tblPrEx>
        <w:trPr>
          <w:trHeight w:val="425" w:hRule="atLeast"/>
        </w:trPr>
        <w:tc>
          <w:tcPr>
            <w:tcW w:w="1773"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72AAD79">
            <w:pPr>
              <w:widowControl/>
              <w:adjustRightInd w:val="0"/>
              <w:snapToGrid w:val="0"/>
              <w:spacing w:line="240" w:lineRule="auto"/>
              <w:ind w:firstLine="0" w:firstLineChars="0"/>
              <w:jc w:val="center"/>
              <w:textAlignment w:val="center"/>
              <w:rPr>
                <w:rFonts w:ascii="宋体" w:hAnsi="宋体" w:cs="宋体"/>
                <w:sz w:val="21"/>
                <w:szCs w:val="21"/>
              </w:rPr>
            </w:pPr>
            <w:r>
              <w:rPr>
                <w:rFonts w:hint="eastAsia" w:ascii="宋体" w:hAnsi="宋体" w:cs="宋体"/>
                <w:kern w:val="0"/>
                <w:sz w:val="21"/>
                <w:szCs w:val="21"/>
                <w:lang w:bidi="ar"/>
              </w:rPr>
              <w:t>总需风量</w:t>
            </w: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4DCDD3">
            <w:pPr>
              <w:adjustRightInd w:val="0"/>
              <w:snapToGrid w:val="0"/>
              <w:spacing w:line="240" w:lineRule="auto"/>
              <w:ind w:firstLine="0" w:firstLineChars="0"/>
              <w:jc w:val="center"/>
              <w:rPr>
                <w:sz w:val="21"/>
                <w:szCs w:val="21"/>
              </w:rPr>
            </w:pPr>
          </w:p>
        </w:tc>
        <w:tc>
          <w:tcPr>
            <w:tcW w:w="7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E13CE">
            <w:pPr>
              <w:adjustRightInd w:val="0"/>
              <w:snapToGrid w:val="0"/>
              <w:spacing w:line="240" w:lineRule="auto"/>
              <w:ind w:firstLine="0" w:firstLineChars="0"/>
              <w:jc w:val="center"/>
              <w:rPr>
                <w:sz w:val="21"/>
                <w:szCs w:val="21"/>
              </w:rPr>
            </w:pPr>
          </w:p>
        </w:tc>
        <w:tc>
          <w:tcPr>
            <w:tcW w:w="6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AAC54A">
            <w:pPr>
              <w:adjustRightInd w:val="0"/>
              <w:snapToGrid w:val="0"/>
              <w:spacing w:line="240" w:lineRule="auto"/>
              <w:ind w:firstLine="0" w:firstLineChars="0"/>
              <w:jc w:val="center"/>
              <w:rPr>
                <w:sz w:val="21"/>
                <w:szCs w:val="21"/>
              </w:rPr>
            </w:pPr>
          </w:p>
        </w:tc>
        <w:tc>
          <w:tcPr>
            <w:tcW w:w="5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5F80AC">
            <w:pPr>
              <w:adjustRightInd w:val="0"/>
              <w:snapToGrid w:val="0"/>
              <w:spacing w:line="240" w:lineRule="auto"/>
              <w:ind w:firstLine="0" w:firstLineChars="0"/>
              <w:jc w:val="center"/>
              <w:rPr>
                <w:sz w:val="21"/>
                <w:szCs w:val="21"/>
              </w:rPr>
            </w:pP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D829B1">
            <w:pPr>
              <w:widowControl/>
              <w:adjustRightInd w:val="0"/>
              <w:snapToGrid w:val="0"/>
              <w:spacing w:line="240" w:lineRule="auto"/>
              <w:ind w:firstLine="0" w:firstLineChars="0"/>
              <w:jc w:val="center"/>
              <w:textAlignment w:val="center"/>
              <w:rPr>
                <w:sz w:val="21"/>
                <w:szCs w:val="21"/>
              </w:rPr>
            </w:pPr>
            <w:r>
              <w:rPr>
                <w:kern w:val="0"/>
                <w:sz w:val="21"/>
                <w:szCs w:val="21"/>
                <w:lang w:bidi="ar"/>
              </w:rPr>
              <w:t>669.3</w:t>
            </w:r>
          </w:p>
        </w:tc>
      </w:tr>
    </w:tbl>
    <w:p w14:paraId="5FF98263">
      <w:pPr>
        <w:snapToGrid w:val="0"/>
        <w:spacing w:line="360" w:lineRule="auto"/>
        <w:ind w:firstLine="560"/>
        <w:rPr>
          <w:rFonts w:asciiTheme="minorHAnsi" w:hAnsiTheme="minorHAnsi" w:eastAsiaTheme="minorEastAsia" w:cstheme="minorHAnsi"/>
          <w:szCs w:val="28"/>
        </w:rPr>
      </w:pPr>
    </w:p>
    <w:p w14:paraId="6E395301">
      <w:pPr>
        <w:widowControl/>
        <w:adjustRightInd w:val="0"/>
        <w:snapToGrid w:val="0"/>
        <w:spacing w:line="360" w:lineRule="auto"/>
        <w:ind w:firstLine="560"/>
        <w:rPr>
          <w:bCs/>
          <w:szCs w:val="28"/>
        </w:rPr>
      </w:pPr>
      <w:r>
        <w:rPr>
          <w:szCs w:val="28"/>
        </w:rPr>
        <w:t>按照通风排尘风速计算需风量为</w:t>
      </w:r>
      <w:r>
        <w:rPr>
          <w:rFonts w:hint="eastAsia"/>
          <w:szCs w:val="28"/>
        </w:rPr>
        <w:t>669.3</w:t>
      </w:r>
      <w:r>
        <w:rPr>
          <w:bCs/>
          <w:szCs w:val="28"/>
        </w:rPr>
        <w:t>m</w:t>
      </w:r>
      <w:r>
        <w:rPr>
          <w:bCs/>
          <w:szCs w:val="28"/>
          <w:vertAlign w:val="superscript"/>
        </w:rPr>
        <w:t>3</w:t>
      </w:r>
      <w:r>
        <w:rPr>
          <w:bCs/>
          <w:szCs w:val="28"/>
        </w:rPr>
        <w:t>/s。</w:t>
      </w:r>
    </w:p>
    <w:p w14:paraId="0369F147">
      <w:pPr>
        <w:snapToGrid w:val="0"/>
        <w:spacing w:line="360" w:lineRule="auto"/>
        <w:ind w:firstLine="560"/>
        <w:rPr>
          <w:szCs w:val="28"/>
        </w:rPr>
      </w:pPr>
      <w:r>
        <w:rPr>
          <w:szCs w:val="28"/>
        </w:rPr>
        <w:t>按井下同时工作的最多人数计算</w:t>
      </w:r>
      <w:r>
        <w:rPr>
          <w:rFonts w:hint="eastAsia"/>
          <w:szCs w:val="28"/>
        </w:rPr>
        <w:t>的总需风量为7.9</w:t>
      </w:r>
      <w:r>
        <w:rPr>
          <w:szCs w:val="28"/>
        </w:rPr>
        <w:t>m</w:t>
      </w:r>
      <w:r>
        <w:rPr>
          <w:szCs w:val="28"/>
          <w:vertAlign w:val="superscript"/>
        </w:rPr>
        <w:t>3</w:t>
      </w:r>
      <w:r>
        <w:rPr>
          <w:szCs w:val="28"/>
        </w:rPr>
        <w:t>/s</w:t>
      </w:r>
      <w:r>
        <w:rPr>
          <w:rFonts w:hint="eastAsia"/>
          <w:szCs w:val="28"/>
        </w:rPr>
        <w:t>；按</w:t>
      </w:r>
      <w:r>
        <w:rPr>
          <w:szCs w:val="28"/>
        </w:rPr>
        <w:t>柴油设备计算的总需风量为</w:t>
      </w:r>
      <w:r>
        <w:rPr>
          <w:rFonts w:hint="eastAsia"/>
          <w:szCs w:val="28"/>
        </w:rPr>
        <w:t>349.2</w:t>
      </w:r>
      <w:r>
        <w:rPr>
          <w:szCs w:val="28"/>
        </w:rPr>
        <w:t>m</w:t>
      </w:r>
      <w:r>
        <w:rPr>
          <w:szCs w:val="28"/>
          <w:vertAlign w:val="superscript"/>
        </w:rPr>
        <w:t>3</w:t>
      </w:r>
      <w:r>
        <w:rPr>
          <w:szCs w:val="28"/>
        </w:rPr>
        <w:t>/s；采场按照排尘风速计算的总需风量为</w:t>
      </w:r>
      <w:r>
        <w:rPr>
          <w:rFonts w:hint="eastAsia"/>
          <w:szCs w:val="28"/>
        </w:rPr>
        <w:t>669.3</w:t>
      </w:r>
      <w:r>
        <w:rPr>
          <w:szCs w:val="28"/>
        </w:rPr>
        <w:t>m</w:t>
      </w:r>
      <w:r>
        <w:rPr>
          <w:szCs w:val="28"/>
          <w:vertAlign w:val="superscript"/>
        </w:rPr>
        <w:t>3</w:t>
      </w:r>
      <w:r>
        <w:rPr>
          <w:szCs w:val="28"/>
        </w:rPr>
        <w:t>/s。取大值即采场总需风量</w:t>
      </w:r>
      <w:r>
        <w:rPr>
          <w:rFonts w:hint="eastAsia"/>
          <w:szCs w:val="28"/>
        </w:rPr>
        <w:t>按照670</w:t>
      </w:r>
      <w:r>
        <w:rPr>
          <w:szCs w:val="28"/>
        </w:rPr>
        <w:t>m</w:t>
      </w:r>
      <w:r>
        <w:rPr>
          <w:szCs w:val="28"/>
          <w:vertAlign w:val="superscript"/>
        </w:rPr>
        <w:t>3</w:t>
      </w:r>
      <w:r>
        <w:rPr>
          <w:szCs w:val="28"/>
        </w:rPr>
        <w:t>/s</w:t>
      </w:r>
      <w:r>
        <w:rPr>
          <w:rFonts w:hint="eastAsia"/>
          <w:szCs w:val="28"/>
        </w:rPr>
        <w:t>计算</w:t>
      </w:r>
      <w:r>
        <w:rPr>
          <w:szCs w:val="28"/>
        </w:rPr>
        <w:t>。</w:t>
      </w:r>
    </w:p>
    <w:p w14:paraId="69B51BC0">
      <w:pPr>
        <w:snapToGrid w:val="0"/>
        <w:spacing w:line="360" w:lineRule="auto"/>
        <w:ind w:firstLine="562"/>
        <w:rPr>
          <w:rFonts w:asciiTheme="minorHAnsi" w:hAnsiTheme="minorHAnsi" w:eastAsiaTheme="minorEastAsia" w:cstheme="minorHAnsi"/>
          <w:b/>
          <w:szCs w:val="28"/>
        </w:rPr>
      </w:pPr>
      <w:r>
        <w:rPr>
          <w:rFonts w:hint="eastAsia" w:asciiTheme="minorHAnsi" w:hAnsiTheme="minorHAnsi" w:eastAsiaTheme="minorEastAsia" w:cstheme="minorHAnsi"/>
          <w:b/>
          <w:szCs w:val="28"/>
        </w:rPr>
        <w:t>（</w:t>
      </w:r>
      <w:r>
        <w:rPr>
          <w:rFonts w:asciiTheme="minorHAnsi" w:hAnsiTheme="minorHAnsi" w:eastAsiaTheme="minorEastAsia" w:cstheme="minorHAnsi"/>
          <w:b/>
          <w:szCs w:val="28"/>
        </w:rPr>
        <w:t>2</w:t>
      </w:r>
      <w:r>
        <w:rPr>
          <w:rFonts w:hint="eastAsia" w:asciiTheme="minorHAnsi" w:hAnsiTheme="minorHAnsi" w:eastAsiaTheme="minorEastAsia" w:cstheme="minorHAnsi"/>
          <w:b/>
          <w:szCs w:val="28"/>
        </w:rPr>
        <w:t>）风量复核</w:t>
      </w:r>
    </w:p>
    <w:p w14:paraId="63F67F99">
      <w:pPr>
        <w:adjustRightInd w:val="0"/>
        <w:snapToGrid w:val="0"/>
        <w:spacing w:line="360" w:lineRule="auto"/>
        <w:ind w:firstLine="560"/>
        <w:rPr>
          <w:rFonts w:cs="Times New Roman"/>
          <w:szCs w:val="28"/>
        </w:rPr>
      </w:pPr>
      <w:r>
        <w:rPr>
          <w:rFonts w:cs="Times New Roman"/>
          <w:szCs w:val="28"/>
        </w:rPr>
        <w:t>采用矿井风量估算法对风量进行复核，公式如下：</w:t>
      </w:r>
    </w:p>
    <w:p w14:paraId="0289EB2D">
      <w:pPr>
        <w:adjustRightInd w:val="0"/>
        <w:snapToGrid w:val="0"/>
        <w:spacing w:line="360" w:lineRule="auto"/>
        <w:ind w:firstLine="560"/>
        <w:rPr>
          <w:rFonts w:cs="Times New Roman"/>
          <w:szCs w:val="28"/>
        </w:rPr>
      </w:pPr>
      <w:r>
        <w:rPr>
          <w:rFonts w:cs="Times New Roman"/>
          <w:szCs w:val="28"/>
        </w:rPr>
        <w:t>Q=Aq</w:t>
      </w:r>
    </w:p>
    <w:p w14:paraId="000FC19E">
      <w:pPr>
        <w:adjustRightInd w:val="0"/>
        <w:snapToGrid w:val="0"/>
        <w:spacing w:line="360" w:lineRule="auto"/>
        <w:ind w:firstLine="560"/>
        <w:rPr>
          <w:rFonts w:cs="Times New Roman"/>
          <w:szCs w:val="28"/>
        </w:rPr>
      </w:pPr>
      <w:r>
        <w:rPr>
          <w:rFonts w:cs="Times New Roman"/>
          <w:szCs w:val="28"/>
        </w:rPr>
        <w:t>其中Q----矿井或坑口所需总风量，m</w:t>
      </w:r>
      <w:r>
        <w:rPr>
          <w:rFonts w:cs="Times New Roman"/>
          <w:szCs w:val="28"/>
          <w:vertAlign w:val="superscript"/>
        </w:rPr>
        <w:t>3</w:t>
      </w:r>
      <w:r>
        <w:rPr>
          <w:rFonts w:cs="Times New Roman"/>
          <w:szCs w:val="28"/>
        </w:rPr>
        <w:t>/s；</w:t>
      </w:r>
    </w:p>
    <w:p w14:paraId="77837A94">
      <w:pPr>
        <w:adjustRightInd w:val="0"/>
        <w:snapToGrid w:val="0"/>
        <w:spacing w:line="360" w:lineRule="auto"/>
        <w:ind w:firstLine="560"/>
        <w:rPr>
          <w:rFonts w:cs="Times New Roman"/>
          <w:szCs w:val="28"/>
        </w:rPr>
      </w:pPr>
      <w:r>
        <w:rPr>
          <w:rFonts w:cs="Times New Roman"/>
          <w:szCs w:val="28"/>
        </w:rPr>
        <w:t xml:space="preserve">     A----矿井或坑口年产量，800×10</w:t>
      </w:r>
      <w:r>
        <w:rPr>
          <w:rFonts w:cs="Times New Roman"/>
          <w:szCs w:val="28"/>
          <w:vertAlign w:val="superscript"/>
        </w:rPr>
        <w:t>4</w:t>
      </w:r>
      <w:r>
        <w:rPr>
          <w:rFonts w:cs="Times New Roman"/>
          <w:szCs w:val="28"/>
        </w:rPr>
        <w:t>t/a；</w:t>
      </w:r>
    </w:p>
    <w:p w14:paraId="0A0268BD">
      <w:pPr>
        <w:adjustRightInd w:val="0"/>
        <w:snapToGrid w:val="0"/>
        <w:spacing w:line="360" w:lineRule="auto"/>
        <w:ind w:firstLine="560"/>
        <w:rPr>
          <w:rFonts w:cs="Times New Roman"/>
          <w:szCs w:val="28"/>
        </w:rPr>
      </w:pPr>
      <w:r>
        <w:rPr>
          <w:rFonts w:cs="Times New Roman"/>
          <w:szCs w:val="28"/>
        </w:rPr>
        <w:t xml:space="preserve">     q----年产万吨耗风量，m</w:t>
      </w:r>
      <w:r>
        <w:rPr>
          <w:rFonts w:cs="Times New Roman"/>
          <w:szCs w:val="28"/>
          <w:vertAlign w:val="superscript"/>
        </w:rPr>
        <w:t>3</w:t>
      </w:r>
      <w:r>
        <w:rPr>
          <w:rFonts w:cs="Times New Roman"/>
          <w:szCs w:val="28"/>
        </w:rPr>
        <w:t>/s，特大型矿井取值为0.7-1.5。</w:t>
      </w:r>
    </w:p>
    <w:p w14:paraId="1978CFA3">
      <w:pPr>
        <w:adjustRightInd w:val="0"/>
        <w:snapToGrid w:val="0"/>
        <w:spacing w:line="360" w:lineRule="auto"/>
        <w:ind w:firstLine="560"/>
        <w:rPr>
          <w:rFonts w:cs="Times New Roman"/>
        </w:rPr>
      </w:pPr>
      <w:r>
        <w:rPr>
          <w:rFonts w:cs="Times New Roman"/>
          <w:szCs w:val="28"/>
        </w:rPr>
        <w:t>计算结果为Q=560～1200m</w:t>
      </w:r>
      <w:r>
        <w:rPr>
          <w:rFonts w:cs="Times New Roman"/>
          <w:szCs w:val="28"/>
          <w:vertAlign w:val="superscript"/>
        </w:rPr>
        <w:t>3</w:t>
      </w:r>
      <w:r>
        <w:rPr>
          <w:rFonts w:cs="Times New Roman"/>
          <w:szCs w:val="28"/>
        </w:rPr>
        <w:t>/s</w:t>
      </w:r>
    </w:p>
    <w:p w14:paraId="4AC263CD">
      <w:pPr>
        <w:adjustRightInd w:val="0"/>
        <w:snapToGrid w:val="0"/>
        <w:spacing w:line="360" w:lineRule="auto"/>
        <w:ind w:firstLine="560"/>
        <w:rPr>
          <w:rFonts w:cs="Times New Roman"/>
          <w:szCs w:val="28"/>
        </w:rPr>
      </w:pPr>
      <w:r>
        <w:rPr>
          <w:rFonts w:cs="Times New Roman"/>
          <w:szCs w:val="28"/>
        </w:rPr>
        <w:t>可研报告计算的总风量为670m</w:t>
      </w:r>
      <w:r>
        <w:rPr>
          <w:rFonts w:cs="Times New Roman"/>
          <w:szCs w:val="28"/>
          <w:vertAlign w:val="superscript"/>
        </w:rPr>
        <w:t>3</w:t>
      </w:r>
      <w:r>
        <w:rPr>
          <w:rFonts w:cs="Times New Roman"/>
          <w:szCs w:val="28"/>
        </w:rPr>
        <w:t>/s，</w:t>
      </w:r>
      <w:r>
        <w:rPr>
          <w:rFonts w:hint="eastAsia" w:cs="Times New Roman"/>
          <w:szCs w:val="28"/>
        </w:rPr>
        <w:t>在</w:t>
      </w:r>
      <w:r>
        <w:rPr>
          <w:rFonts w:cs="Times New Roman"/>
          <w:szCs w:val="28"/>
        </w:rPr>
        <w:t>560～1200m</w:t>
      </w:r>
      <w:r>
        <w:rPr>
          <w:rFonts w:cs="Times New Roman"/>
          <w:szCs w:val="28"/>
          <w:vertAlign w:val="superscript"/>
        </w:rPr>
        <w:t>3</w:t>
      </w:r>
      <w:r>
        <w:rPr>
          <w:rFonts w:cs="Times New Roman"/>
          <w:szCs w:val="28"/>
        </w:rPr>
        <w:t>/s</w:t>
      </w:r>
      <w:r>
        <w:rPr>
          <w:rFonts w:hint="eastAsia" w:cs="Times New Roman"/>
          <w:szCs w:val="28"/>
        </w:rPr>
        <w:t>之间，</w:t>
      </w:r>
      <w:r>
        <w:rPr>
          <w:rFonts w:cs="Times New Roman"/>
          <w:szCs w:val="28"/>
        </w:rPr>
        <w:t>按经验，可研计算的风量能满足井下通风要求。</w:t>
      </w:r>
    </w:p>
    <w:p w14:paraId="1E7B832C">
      <w:pPr>
        <w:adjustRightInd w:val="0"/>
        <w:snapToGrid w:val="0"/>
        <w:spacing w:line="360" w:lineRule="auto"/>
        <w:ind w:firstLine="562"/>
        <w:rPr>
          <w:rFonts w:cs="Times New Roman"/>
          <w:b/>
          <w:szCs w:val="28"/>
        </w:rPr>
      </w:pPr>
      <w:r>
        <w:rPr>
          <w:rFonts w:hint="eastAsia" w:cs="Times New Roman"/>
          <w:b/>
          <w:szCs w:val="28"/>
        </w:rPr>
        <w:t>（</w:t>
      </w:r>
      <w:r>
        <w:rPr>
          <w:rFonts w:cs="Times New Roman"/>
          <w:b/>
          <w:szCs w:val="28"/>
        </w:rPr>
        <w:t>3</w:t>
      </w:r>
      <w:r>
        <w:rPr>
          <w:rFonts w:hint="eastAsia" w:cs="Times New Roman"/>
          <w:b/>
          <w:szCs w:val="28"/>
        </w:rPr>
        <w:t>）</w:t>
      </w:r>
      <w:r>
        <w:rPr>
          <w:rFonts w:cs="Times New Roman"/>
          <w:b/>
          <w:szCs w:val="28"/>
        </w:rPr>
        <w:t>风速复核</w:t>
      </w:r>
    </w:p>
    <w:p w14:paraId="0363DE58">
      <w:pPr>
        <w:adjustRightInd w:val="0"/>
        <w:snapToGrid w:val="0"/>
        <w:spacing w:line="360" w:lineRule="auto"/>
        <w:ind w:firstLine="560"/>
        <w:rPr>
          <w:rFonts w:asciiTheme="minorHAnsi" w:hAnsiTheme="minorHAnsi" w:eastAsiaTheme="minorEastAsia" w:cstheme="minorHAnsi"/>
          <w:szCs w:val="28"/>
        </w:rPr>
      </w:pPr>
      <w:r>
        <w:rPr>
          <w:rFonts w:cs="Times New Roman"/>
          <w:szCs w:val="28"/>
        </w:rPr>
        <w:t>依据GB16423-2020第6.6.1.6条，井巷断面平均最高风速规定：专用风井，专用总进、回风道最高风速20m/s；专用物料提升井最高风速12m/s；提升人员和物料的井筒，中段主要进、回风道，修理中的井筒，主要斜坡道最高风速8m/s；运输巷道，采区进风道最高风速6m/s。</w:t>
      </w:r>
    </w:p>
    <w:p w14:paraId="295581A7">
      <w:pPr>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表3.6-6  </w:t>
      </w:r>
      <w:r>
        <w:rPr>
          <w:rFonts w:hint="eastAsia" w:cs="Times New Roman"/>
          <w:szCs w:val="28"/>
        </w:rPr>
        <w:t>投产规模500万t/a生产阶段</w:t>
      </w:r>
      <w:r>
        <w:rPr>
          <w:rFonts w:asciiTheme="minorHAnsi" w:hAnsiTheme="minorHAnsi" w:eastAsiaTheme="minorEastAsia" w:cstheme="minorHAnsi"/>
          <w:szCs w:val="28"/>
        </w:rPr>
        <w:t>主要井筒、巷道风速表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3189"/>
        <w:gridCol w:w="805"/>
        <w:gridCol w:w="1189"/>
        <w:gridCol w:w="957"/>
        <w:gridCol w:w="885"/>
        <w:gridCol w:w="885"/>
        <w:gridCol w:w="995"/>
      </w:tblGrid>
      <w:tr w14:paraId="76FC8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20" w:type="pct"/>
            <w:noWrap/>
            <w:vAlign w:val="center"/>
          </w:tcPr>
          <w:p w14:paraId="65D2467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序号</w:t>
            </w:r>
          </w:p>
        </w:tc>
        <w:tc>
          <w:tcPr>
            <w:tcW w:w="1676" w:type="pct"/>
            <w:noWrap/>
            <w:vAlign w:val="center"/>
          </w:tcPr>
          <w:p w14:paraId="4EE6BEE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断面名称</w:t>
            </w:r>
          </w:p>
        </w:tc>
        <w:tc>
          <w:tcPr>
            <w:tcW w:w="423" w:type="pct"/>
            <w:vAlign w:val="center"/>
          </w:tcPr>
          <w:p w14:paraId="3131DC3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净断面</w:t>
            </w:r>
          </w:p>
          <w:p w14:paraId="60D9647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（m</w:t>
            </w:r>
            <w:r>
              <w:rPr>
                <w:rFonts w:ascii="Times New Roman" w:hAnsi="Times New Roman" w:eastAsia="宋体" w:cs="Times New Roman"/>
                <w:w w:val="66"/>
                <w:sz w:val="21"/>
                <w:szCs w:val="21"/>
                <w:vertAlign w:val="superscript"/>
              </w:rPr>
              <w:t>2</w:t>
            </w:r>
            <w:r>
              <w:rPr>
                <w:rFonts w:ascii="Times New Roman" w:hAnsi="Times New Roman" w:eastAsia="宋体" w:cs="Times New Roman"/>
                <w:w w:val="66"/>
                <w:sz w:val="21"/>
                <w:szCs w:val="21"/>
              </w:rPr>
              <w:t>）</w:t>
            </w:r>
          </w:p>
        </w:tc>
        <w:tc>
          <w:tcPr>
            <w:tcW w:w="625" w:type="pct"/>
            <w:noWrap/>
            <w:vAlign w:val="center"/>
          </w:tcPr>
          <w:p w14:paraId="2472FF6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摩阻系数</w:t>
            </w:r>
          </w:p>
          <w:p w14:paraId="6ABD814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（Ns</w:t>
            </w:r>
            <w:r>
              <w:rPr>
                <w:rFonts w:ascii="Times New Roman" w:hAnsi="Times New Roman" w:eastAsia="宋体" w:cs="Times New Roman"/>
                <w:w w:val="66"/>
                <w:sz w:val="21"/>
                <w:szCs w:val="21"/>
                <w:vertAlign w:val="superscript"/>
              </w:rPr>
              <w:t>2</w:t>
            </w:r>
            <w:r>
              <w:rPr>
                <w:rFonts w:ascii="Times New Roman" w:hAnsi="Times New Roman" w:eastAsia="宋体" w:cs="Times New Roman"/>
                <w:w w:val="66"/>
                <w:sz w:val="21"/>
                <w:szCs w:val="21"/>
              </w:rPr>
              <w:t>/m</w:t>
            </w:r>
            <w:r>
              <w:rPr>
                <w:rFonts w:ascii="Times New Roman" w:hAnsi="Times New Roman" w:eastAsia="宋体" w:cs="Times New Roman"/>
                <w:w w:val="66"/>
                <w:sz w:val="21"/>
                <w:szCs w:val="21"/>
                <w:vertAlign w:val="superscript"/>
              </w:rPr>
              <w:t>4</w:t>
            </w:r>
            <w:r>
              <w:rPr>
                <w:rFonts w:ascii="Times New Roman" w:hAnsi="Times New Roman" w:eastAsia="宋体" w:cs="Times New Roman"/>
                <w:w w:val="66"/>
                <w:sz w:val="21"/>
                <w:szCs w:val="21"/>
              </w:rPr>
              <w:t>）</w:t>
            </w:r>
          </w:p>
        </w:tc>
        <w:tc>
          <w:tcPr>
            <w:tcW w:w="503" w:type="pct"/>
            <w:noWrap/>
            <w:vAlign w:val="center"/>
          </w:tcPr>
          <w:p w14:paraId="0315D06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风量</w:t>
            </w:r>
          </w:p>
          <w:p w14:paraId="76E97F3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（m</w:t>
            </w:r>
            <w:r>
              <w:rPr>
                <w:rFonts w:ascii="Times New Roman" w:hAnsi="Times New Roman" w:eastAsia="宋体" w:cs="Times New Roman"/>
                <w:w w:val="66"/>
                <w:sz w:val="21"/>
                <w:szCs w:val="21"/>
                <w:vertAlign w:val="superscript"/>
              </w:rPr>
              <w:t>3</w:t>
            </w:r>
            <w:r>
              <w:rPr>
                <w:rFonts w:ascii="Times New Roman" w:hAnsi="Times New Roman" w:eastAsia="宋体" w:cs="Times New Roman"/>
                <w:w w:val="66"/>
                <w:sz w:val="21"/>
                <w:szCs w:val="21"/>
              </w:rPr>
              <w:t>/s）</w:t>
            </w:r>
          </w:p>
        </w:tc>
        <w:tc>
          <w:tcPr>
            <w:tcW w:w="465" w:type="pct"/>
            <w:vAlign w:val="center"/>
          </w:tcPr>
          <w:p w14:paraId="76C28C3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风压</w:t>
            </w:r>
          </w:p>
          <w:p w14:paraId="2089268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（Pa）</w:t>
            </w:r>
          </w:p>
        </w:tc>
        <w:tc>
          <w:tcPr>
            <w:tcW w:w="465" w:type="pct"/>
            <w:vAlign w:val="center"/>
          </w:tcPr>
          <w:p w14:paraId="4897736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风速</w:t>
            </w:r>
          </w:p>
          <w:p w14:paraId="75328A3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（m/s）</w:t>
            </w:r>
          </w:p>
        </w:tc>
        <w:tc>
          <w:tcPr>
            <w:tcW w:w="523" w:type="pct"/>
            <w:vAlign w:val="center"/>
          </w:tcPr>
          <w:p w14:paraId="2EED0D0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风速限值</w:t>
            </w:r>
          </w:p>
          <w:p w14:paraId="57190C5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（m/s）</w:t>
            </w:r>
          </w:p>
        </w:tc>
      </w:tr>
      <w:tr w14:paraId="7AA1D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0147D5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一</w:t>
            </w:r>
          </w:p>
        </w:tc>
        <w:tc>
          <w:tcPr>
            <w:tcW w:w="1676" w:type="pct"/>
            <w:noWrap/>
            <w:vAlign w:val="center"/>
          </w:tcPr>
          <w:p w14:paraId="3D193A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主要井筒</w:t>
            </w:r>
          </w:p>
        </w:tc>
        <w:tc>
          <w:tcPr>
            <w:tcW w:w="423" w:type="pct"/>
            <w:noWrap/>
            <w:vAlign w:val="center"/>
          </w:tcPr>
          <w:p w14:paraId="16461E30">
            <w:pPr>
              <w:pStyle w:val="121"/>
              <w:rPr>
                <w:rFonts w:ascii="Times New Roman" w:hAnsi="Times New Roman" w:eastAsia="宋体" w:cs="Times New Roman"/>
                <w:w w:val="66"/>
                <w:sz w:val="21"/>
                <w:szCs w:val="21"/>
              </w:rPr>
            </w:pPr>
          </w:p>
        </w:tc>
        <w:tc>
          <w:tcPr>
            <w:tcW w:w="625" w:type="pct"/>
            <w:noWrap/>
            <w:vAlign w:val="center"/>
          </w:tcPr>
          <w:p w14:paraId="0AB70AB0">
            <w:pPr>
              <w:pStyle w:val="121"/>
              <w:rPr>
                <w:rFonts w:ascii="Times New Roman" w:hAnsi="Times New Roman" w:eastAsia="宋体" w:cs="Times New Roman"/>
                <w:w w:val="66"/>
                <w:sz w:val="21"/>
                <w:szCs w:val="21"/>
              </w:rPr>
            </w:pPr>
          </w:p>
        </w:tc>
        <w:tc>
          <w:tcPr>
            <w:tcW w:w="503" w:type="pct"/>
            <w:noWrap/>
            <w:vAlign w:val="center"/>
          </w:tcPr>
          <w:p w14:paraId="2B21C4A0">
            <w:pPr>
              <w:pStyle w:val="121"/>
              <w:rPr>
                <w:rFonts w:ascii="Times New Roman" w:hAnsi="Times New Roman" w:eastAsia="宋体" w:cs="Times New Roman"/>
                <w:w w:val="66"/>
                <w:sz w:val="21"/>
                <w:szCs w:val="21"/>
              </w:rPr>
            </w:pPr>
          </w:p>
        </w:tc>
        <w:tc>
          <w:tcPr>
            <w:tcW w:w="465" w:type="pct"/>
            <w:noWrap/>
            <w:vAlign w:val="center"/>
          </w:tcPr>
          <w:p w14:paraId="4980FAED">
            <w:pPr>
              <w:pStyle w:val="121"/>
              <w:rPr>
                <w:rFonts w:ascii="Times New Roman" w:hAnsi="Times New Roman" w:eastAsia="宋体" w:cs="Times New Roman"/>
                <w:w w:val="66"/>
                <w:sz w:val="21"/>
                <w:szCs w:val="21"/>
              </w:rPr>
            </w:pPr>
          </w:p>
        </w:tc>
        <w:tc>
          <w:tcPr>
            <w:tcW w:w="465" w:type="pct"/>
            <w:noWrap/>
            <w:vAlign w:val="center"/>
          </w:tcPr>
          <w:p w14:paraId="742736E7">
            <w:pPr>
              <w:pStyle w:val="121"/>
              <w:rPr>
                <w:rFonts w:ascii="Times New Roman" w:hAnsi="Times New Roman" w:eastAsia="宋体" w:cs="Times New Roman"/>
                <w:w w:val="66"/>
                <w:sz w:val="21"/>
                <w:szCs w:val="21"/>
              </w:rPr>
            </w:pPr>
          </w:p>
        </w:tc>
        <w:tc>
          <w:tcPr>
            <w:tcW w:w="523" w:type="pct"/>
            <w:noWrap/>
            <w:vAlign w:val="center"/>
          </w:tcPr>
          <w:p w14:paraId="1F722FD6">
            <w:pPr>
              <w:pStyle w:val="121"/>
              <w:rPr>
                <w:rFonts w:ascii="Times New Roman" w:hAnsi="Times New Roman" w:eastAsia="宋体" w:cs="Times New Roman"/>
                <w:w w:val="66"/>
                <w:sz w:val="21"/>
                <w:szCs w:val="21"/>
              </w:rPr>
            </w:pPr>
          </w:p>
        </w:tc>
      </w:tr>
      <w:tr w14:paraId="7065B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DF0AE0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0550A8F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副井</w:t>
            </w:r>
          </w:p>
        </w:tc>
        <w:tc>
          <w:tcPr>
            <w:tcW w:w="423" w:type="pct"/>
            <w:noWrap/>
            <w:vAlign w:val="center"/>
          </w:tcPr>
          <w:p w14:paraId="1C01303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50.3</w:t>
            </w:r>
          </w:p>
        </w:tc>
        <w:tc>
          <w:tcPr>
            <w:tcW w:w="625" w:type="pct"/>
            <w:noWrap/>
            <w:vAlign w:val="center"/>
          </w:tcPr>
          <w:p w14:paraId="27A86B7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032F304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35</w:t>
            </w:r>
          </w:p>
        </w:tc>
        <w:tc>
          <w:tcPr>
            <w:tcW w:w="465" w:type="pct"/>
            <w:noWrap/>
            <w:vAlign w:val="center"/>
          </w:tcPr>
          <w:p w14:paraId="445B3C2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465" w:type="pct"/>
            <w:noWrap/>
            <w:vAlign w:val="center"/>
          </w:tcPr>
          <w:p w14:paraId="7B1E83E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523" w:type="pct"/>
            <w:noWrap/>
            <w:vAlign w:val="center"/>
          </w:tcPr>
          <w:p w14:paraId="5CB6EB1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w:t>
            </w:r>
          </w:p>
        </w:tc>
      </w:tr>
      <w:tr w14:paraId="1D111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948591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378F5EE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进风井</w:t>
            </w:r>
          </w:p>
        </w:tc>
        <w:tc>
          <w:tcPr>
            <w:tcW w:w="423" w:type="pct"/>
            <w:noWrap/>
            <w:vAlign w:val="center"/>
          </w:tcPr>
          <w:p w14:paraId="30905A4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38.5</w:t>
            </w:r>
          </w:p>
        </w:tc>
        <w:tc>
          <w:tcPr>
            <w:tcW w:w="625" w:type="pct"/>
            <w:noWrap/>
            <w:vAlign w:val="center"/>
          </w:tcPr>
          <w:p w14:paraId="5CB328D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6031A76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480</w:t>
            </w:r>
          </w:p>
        </w:tc>
        <w:tc>
          <w:tcPr>
            <w:tcW w:w="465" w:type="pct"/>
            <w:noWrap/>
            <w:vAlign w:val="center"/>
          </w:tcPr>
          <w:p w14:paraId="6BEFED3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-292</w:t>
            </w:r>
          </w:p>
        </w:tc>
        <w:tc>
          <w:tcPr>
            <w:tcW w:w="465" w:type="pct"/>
            <w:noWrap/>
            <w:vAlign w:val="center"/>
          </w:tcPr>
          <w:p w14:paraId="6E6C25C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w:t>
            </w:r>
          </w:p>
        </w:tc>
        <w:tc>
          <w:tcPr>
            <w:tcW w:w="523" w:type="pct"/>
            <w:noWrap/>
            <w:vAlign w:val="center"/>
          </w:tcPr>
          <w:p w14:paraId="45F32CF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6014F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4B511C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217766C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1号回风井</w:t>
            </w:r>
          </w:p>
        </w:tc>
        <w:tc>
          <w:tcPr>
            <w:tcW w:w="423" w:type="pct"/>
            <w:noWrap/>
            <w:vAlign w:val="center"/>
          </w:tcPr>
          <w:p w14:paraId="6ADEED6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33.2</w:t>
            </w:r>
          </w:p>
        </w:tc>
        <w:tc>
          <w:tcPr>
            <w:tcW w:w="625" w:type="pct"/>
            <w:noWrap/>
            <w:vAlign w:val="center"/>
          </w:tcPr>
          <w:p w14:paraId="0E08545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7097680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360</w:t>
            </w:r>
          </w:p>
        </w:tc>
        <w:tc>
          <w:tcPr>
            <w:tcW w:w="465" w:type="pct"/>
            <w:noWrap/>
            <w:vAlign w:val="center"/>
          </w:tcPr>
          <w:p w14:paraId="7B7E2AF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427</w:t>
            </w:r>
          </w:p>
        </w:tc>
        <w:tc>
          <w:tcPr>
            <w:tcW w:w="465" w:type="pct"/>
            <w:noWrap/>
            <w:vAlign w:val="center"/>
          </w:tcPr>
          <w:p w14:paraId="3242DA3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11.5</w:t>
            </w:r>
          </w:p>
        </w:tc>
        <w:tc>
          <w:tcPr>
            <w:tcW w:w="523" w:type="pct"/>
            <w:noWrap/>
            <w:vAlign w:val="center"/>
          </w:tcPr>
          <w:p w14:paraId="49B92D8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6F755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FB9379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1F961B6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2号回风井</w:t>
            </w:r>
          </w:p>
        </w:tc>
        <w:tc>
          <w:tcPr>
            <w:tcW w:w="423" w:type="pct"/>
            <w:noWrap/>
            <w:vAlign w:val="center"/>
          </w:tcPr>
          <w:p w14:paraId="7038F16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33.2</w:t>
            </w:r>
          </w:p>
        </w:tc>
        <w:tc>
          <w:tcPr>
            <w:tcW w:w="625" w:type="pct"/>
            <w:noWrap/>
            <w:vAlign w:val="center"/>
          </w:tcPr>
          <w:p w14:paraId="7FAF437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01BB946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155</w:t>
            </w:r>
          </w:p>
        </w:tc>
        <w:tc>
          <w:tcPr>
            <w:tcW w:w="465" w:type="pct"/>
            <w:noWrap/>
            <w:vAlign w:val="center"/>
          </w:tcPr>
          <w:p w14:paraId="1439168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78.6</w:t>
            </w:r>
          </w:p>
        </w:tc>
        <w:tc>
          <w:tcPr>
            <w:tcW w:w="465" w:type="pct"/>
            <w:noWrap/>
            <w:vAlign w:val="center"/>
          </w:tcPr>
          <w:p w14:paraId="6D22DE9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523" w:type="pct"/>
            <w:noWrap/>
            <w:vAlign w:val="center"/>
          </w:tcPr>
          <w:p w14:paraId="6DC3112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43FF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4D6FDD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二</w:t>
            </w:r>
          </w:p>
        </w:tc>
        <w:tc>
          <w:tcPr>
            <w:tcW w:w="1676" w:type="pct"/>
            <w:noWrap/>
            <w:vAlign w:val="center"/>
          </w:tcPr>
          <w:p w14:paraId="46D529B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通风天井</w:t>
            </w:r>
          </w:p>
        </w:tc>
        <w:tc>
          <w:tcPr>
            <w:tcW w:w="423" w:type="pct"/>
            <w:noWrap/>
            <w:vAlign w:val="center"/>
          </w:tcPr>
          <w:p w14:paraId="70825AA7">
            <w:pPr>
              <w:pStyle w:val="121"/>
              <w:rPr>
                <w:rFonts w:ascii="Times New Roman" w:hAnsi="Times New Roman" w:eastAsia="宋体" w:cs="Times New Roman"/>
                <w:w w:val="66"/>
                <w:sz w:val="21"/>
                <w:szCs w:val="21"/>
              </w:rPr>
            </w:pPr>
          </w:p>
        </w:tc>
        <w:tc>
          <w:tcPr>
            <w:tcW w:w="625" w:type="pct"/>
            <w:noWrap/>
            <w:vAlign w:val="center"/>
          </w:tcPr>
          <w:p w14:paraId="547C6277">
            <w:pPr>
              <w:pStyle w:val="121"/>
              <w:rPr>
                <w:rFonts w:ascii="Times New Roman" w:hAnsi="Times New Roman" w:eastAsia="宋体" w:cs="Times New Roman"/>
                <w:w w:val="66"/>
                <w:sz w:val="21"/>
                <w:szCs w:val="21"/>
              </w:rPr>
            </w:pPr>
          </w:p>
        </w:tc>
        <w:tc>
          <w:tcPr>
            <w:tcW w:w="503" w:type="pct"/>
            <w:noWrap/>
            <w:vAlign w:val="center"/>
          </w:tcPr>
          <w:p w14:paraId="42DA5E6D">
            <w:pPr>
              <w:pStyle w:val="121"/>
              <w:rPr>
                <w:rFonts w:ascii="Times New Roman" w:hAnsi="Times New Roman" w:eastAsia="宋体" w:cs="Times New Roman"/>
                <w:w w:val="66"/>
                <w:sz w:val="21"/>
                <w:szCs w:val="21"/>
              </w:rPr>
            </w:pPr>
          </w:p>
        </w:tc>
        <w:tc>
          <w:tcPr>
            <w:tcW w:w="465" w:type="pct"/>
            <w:noWrap/>
            <w:vAlign w:val="center"/>
          </w:tcPr>
          <w:p w14:paraId="4E65445A">
            <w:pPr>
              <w:pStyle w:val="121"/>
              <w:rPr>
                <w:rFonts w:ascii="Times New Roman" w:hAnsi="Times New Roman" w:eastAsia="宋体" w:cs="Times New Roman"/>
                <w:w w:val="66"/>
                <w:sz w:val="21"/>
                <w:szCs w:val="21"/>
              </w:rPr>
            </w:pPr>
          </w:p>
        </w:tc>
        <w:tc>
          <w:tcPr>
            <w:tcW w:w="465" w:type="pct"/>
            <w:noWrap/>
            <w:vAlign w:val="center"/>
          </w:tcPr>
          <w:p w14:paraId="1DFC18D9">
            <w:pPr>
              <w:pStyle w:val="121"/>
              <w:rPr>
                <w:rFonts w:ascii="Times New Roman" w:hAnsi="Times New Roman" w:eastAsia="宋体" w:cs="Times New Roman"/>
                <w:w w:val="66"/>
                <w:sz w:val="21"/>
                <w:szCs w:val="21"/>
              </w:rPr>
            </w:pPr>
          </w:p>
        </w:tc>
        <w:tc>
          <w:tcPr>
            <w:tcW w:w="523" w:type="pct"/>
            <w:noWrap/>
            <w:vAlign w:val="center"/>
          </w:tcPr>
          <w:p w14:paraId="6B5202BD">
            <w:pPr>
              <w:pStyle w:val="121"/>
              <w:rPr>
                <w:rFonts w:ascii="Times New Roman" w:hAnsi="Times New Roman" w:eastAsia="宋体" w:cs="Times New Roman"/>
                <w:w w:val="66"/>
                <w:sz w:val="21"/>
                <w:szCs w:val="21"/>
              </w:rPr>
            </w:pPr>
          </w:p>
        </w:tc>
      </w:tr>
      <w:tr w14:paraId="4E007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320" w:type="pct"/>
            <w:noWrap/>
            <w:vAlign w:val="center"/>
          </w:tcPr>
          <w:p w14:paraId="652F4F0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62F6B70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1号采区进风天井</w:t>
            </w:r>
          </w:p>
        </w:tc>
        <w:tc>
          <w:tcPr>
            <w:tcW w:w="423" w:type="pct"/>
            <w:noWrap/>
            <w:vAlign w:val="center"/>
          </w:tcPr>
          <w:p w14:paraId="5BA7BD2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60616FF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1511606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w:t>
            </w:r>
          </w:p>
        </w:tc>
        <w:tc>
          <w:tcPr>
            <w:tcW w:w="465" w:type="pct"/>
            <w:noWrap/>
            <w:vAlign w:val="center"/>
          </w:tcPr>
          <w:p w14:paraId="56AB103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91.4</w:t>
            </w:r>
          </w:p>
        </w:tc>
        <w:tc>
          <w:tcPr>
            <w:tcW w:w="465" w:type="pct"/>
            <w:noWrap/>
            <w:vAlign w:val="center"/>
          </w:tcPr>
          <w:p w14:paraId="7B995FB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w:t>
            </w:r>
          </w:p>
        </w:tc>
        <w:tc>
          <w:tcPr>
            <w:tcW w:w="523" w:type="pct"/>
            <w:noWrap/>
            <w:vAlign w:val="center"/>
          </w:tcPr>
          <w:p w14:paraId="45FB1FD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79660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20DA23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60151CD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2号采区进风天井</w:t>
            </w:r>
          </w:p>
        </w:tc>
        <w:tc>
          <w:tcPr>
            <w:tcW w:w="423" w:type="pct"/>
            <w:noWrap/>
            <w:vAlign w:val="center"/>
          </w:tcPr>
          <w:p w14:paraId="045DF90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6D0D1B6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2AE03EF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40.9</w:t>
            </w:r>
          </w:p>
        </w:tc>
        <w:tc>
          <w:tcPr>
            <w:tcW w:w="465" w:type="pct"/>
            <w:noWrap/>
            <w:vAlign w:val="center"/>
          </w:tcPr>
          <w:p w14:paraId="77DC64C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107.8</w:t>
            </w:r>
          </w:p>
        </w:tc>
        <w:tc>
          <w:tcPr>
            <w:tcW w:w="465" w:type="pct"/>
            <w:noWrap/>
            <w:vAlign w:val="center"/>
          </w:tcPr>
          <w:p w14:paraId="5D12A7A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4.3</w:t>
            </w:r>
          </w:p>
        </w:tc>
        <w:tc>
          <w:tcPr>
            <w:tcW w:w="523" w:type="pct"/>
            <w:noWrap/>
            <w:vAlign w:val="center"/>
          </w:tcPr>
          <w:p w14:paraId="2FB622E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049BD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92BA09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79BC2A2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3号采区进风天井</w:t>
            </w:r>
          </w:p>
        </w:tc>
        <w:tc>
          <w:tcPr>
            <w:tcW w:w="423" w:type="pct"/>
            <w:noWrap/>
            <w:vAlign w:val="center"/>
          </w:tcPr>
          <w:p w14:paraId="0CCC24D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611C9BC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2191565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5.8</w:t>
            </w:r>
          </w:p>
        </w:tc>
        <w:tc>
          <w:tcPr>
            <w:tcW w:w="465" w:type="pct"/>
            <w:noWrap/>
            <w:vAlign w:val="center"/>
          </w:tcPr>
          <w:p w14:paraId="5FA95BA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115.0</w:t>
            </w:r>
          </w:p>
        </w:tc>
        <w:tc>
          <w:tcPr>
            <w:tcW w:w="465" w:type="pct"/>
            <w:noWrap/>
            <w:vAlign w:val="center"/>
          </w:tcPr>
          <w:p w14:paraId="7F2D398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0.6</w:t>
            </w:r>
          </w:p>
        </w:tc>
        <w:tc>
          <w:tcPr>
            <w:tcW w:w="523" w:type="pct"/>
            <w:noWrap/>
            <w:vAlign w:val="center"/>
          </w:tcPr>
          <w:p w14:paraId="0503FA0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0F17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A445C7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5B9D146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4号采区进风天井</w:t>
            </w:r>
          </w:p>
        </w:tc>
        <w:tc>
          <w:tcPr>
            <w:tcW w:w="423" w:type="pct"/>
            <w:noWrap/>
            <w:vAlign w:val="center"/>
          </w:tcPr>
          <w:p w14:paraId="2330AC2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7FDA726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7A64054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73</w:t>
            </w:r>
          </w:p>
        </w:tc>
        <w:tc>
          <w:tcPr>
            <w:tcW w:w="465" w:type="pct"/>
            <w:noWrap/>
            <w:vAlign w:val="center"/>
          </w:tcPr>
          <w:p w14:paraId="6A2C4F2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140.3</w:t>
            </w:r>
          </w:p>
        </w:tc>
        <w:tc>
          <w:tcPr>
            <w:tcW w:w="465" w:type="pct"/>
            <w:noWrap/>
            <w:vAlign w:val="center"/>
          </w:tcPr>
          <w:p w14:paraId="40E6B3C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7.6</w:t>
            </w:r>
          </w:p>
        </w:tc>
        <w:tc>
          <w:tcPr>
            <w:tcW w:w="523" w:type="pct"/>
            <w:noWrap/>
            <w:vAlign w:val="center"/>
          </w:tcPr>
          <w:p w14:paraId="6D8C0D9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70C5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A1F8EA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1676" w:type="pct"/>
            <w:noWrap/>
            <w:vAlign w:val="center"/>
          </w:tcPr>
          <w:p w14:paraId="67B14FD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5号采区进风天井</w:t>
            </w:r>
          </w:p>
        </w:tc>
        <w:tc>
          <w:tcPr>
            <w:tcW w:w="423" w:type="pct"/>
            <w:noWrap/>
            <w:vAlign w:val="center"/>
          </w:tcPr>
          <w:p w14:paraId="1FCB87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24FBEE4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6FF152F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93.8</w:t>
            </w:r>
          </w:p>
        </w:tc>
        <w:tc>
          <w:tcPr>
            <w:tcW w:w="465" w:type="pct"/>
            <w:noWrap/>
            <w:vAlign w:val="center"/>
          </w:tcPr>
          <w:p w14:paraId="1807BB0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150.9</w:t>
            </w:r>
          </w:p>
        </w:tc>
        <w:tc>
          <w:tcPr>
            <w:tcW w:w="465" w:type="pct"/>
            <w:noWrap/>
            <w:vAlign w:val="center"/>
          </w:tcPr>
          <w:p w14:paraId="7B9E962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9.7</w:t>
            </w:r>
          </w:p>
        </w:tc>
        <w:tc>
          <w:tcPr>
            <w:tcW w:w="523" w:type="pct"/>
            <w:noWrap/>
            <w:vAlign w:val="center"/>
          </w:tcPr>
          <w:p w14:paraId="0DF2CF6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78970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F2F4B1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c>
          <w:tcPr>
            <w:tcW w:w="1676" w:type="pct"/>
            <w:noWrap/>
            <w:vAlign w:val="center"/>
          </w:tcPr>
          <w:p w14:paraId="0461BA0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1号采区人行回风天井</w:t>
            </w:r>
          </w:p>
        </w:tc>
        <w:tc>
          <w:tcPr>
            <w:tcW w:w="423" w:type="pct"/>
            <w:noWrap/>
            <w:vAlign w:val="center"/>
          </w:tcPr>
          <w:p w14:paraId="047A8B1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12.56</w:t>
            </w:r>
          </w:p>
        </w:tc>
        <w:tc>
          <w:tcPr>
            <w:tcW w:w="625" w:type="pct"/>
            <w:noWrap/>
            <w:vAlign w:val="center"/>
          </w:tcPr>
          <w:p w14:paraId="653BDA3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442EC5A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42.2</w:t>
            </w:r>
          </w:p>
        </w:tc>
        <w:tc>
          <w:tcPr>
            <w:tcW w:w="465" w:type="pct"/>
            <w:noWrap/>
            <w:vAlign w:val="center"/>
          </w:tcPr>
          <w:p w14:paraId="5161331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63.8</w:t>
            </w:r>
          </w:p>
        </w:tc>
        <w:tc>
          <w:tcPr>
            <w:tcW w:w="465" w:type="pct"/>
            <w:noWrap/>
            <w:vAlign w:val="center"/>
          </w:tcPr>
          <w:p w14:paraId="18F1E5A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3.4</w:t>
            </w:r>
          </w:p>
        </w:tc>
        <w:tc>
          <w:tcPr>
            <w:tcW w:w="523" w:type="pct"/>
            <w:noWrap/>
            <w:vAlign w:val="center"/>
          </w:tcPr>
          <w:p w14:paraId="1303170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7FF53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5707D7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w:t>
            </w:r>
          </w:p>
        </w:tc>
        <w:tc>
          <w:tcPr>
            <w:tcW w:w="1676" w:type="pct"/>
            <w:noWrap/>
            <w:vAlign w:val="center"/>
          </w:tcPr>
          <w:p w14:paraId="5789CD7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1号倒段采区人行回风天井</w:t>
            </w:r>
          </w:p>
        </w:tc>
        <w:tc>
          <w:tcPr>
            <w:tcW w:w="423" w:type="pct"/>
            <w:noWrap/>
            <w:vAlign w:val="center"/>
          </w:tcPr>
          <w:p w14:paraId="4A80C1E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12.56</w:t>
            </w:r>
          </w:p>
        </w:tc>
        <w:tc>
          <w:tcPr>
            <w:tcW w:w="625" w:type="pct"/>
            <w:noWrap/>
            <w:vAlign w:val="center"/>
          </w:tcPr>
          <w:p w14:paraId="193B47E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124126D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52.2</w:t>
            </w:r>
          </w:p>
        </w:tc>
        <w:tc>
          <w:tcPr>
            <w:tcW w:w="465" w:type="pct"/>
            <w:noWrap/>
            <w:vAlign w:val="center"/>
          </w:tcPr>
          <w:p w14:paraId="687C682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30</w:t>
            </w:r>
          </w:p>
        </w:tc>
        <w:tc>
          <w:tcPr>
            <w:tcW w:w="465" w:type="pct"/>
            <w:noWrap/>
            <w:vAlign w:val="center"/>
          </w:tcPr>
          <w:p w14:paraId="07B4ED7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4.2</w:t>
            </w:r>
          </w:p>
        </w:tc>
        <w:tc>
          <w:tcPr>
            <w:tcW w:w="523" w:type="pct"/>
            <w:noWrap/>
            <w:vAlign w:val="center"/>
          </w:tcPr>
          <w:p w14:paraId="4307091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0FFA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E09F61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w:t>
            </w:r>
          </w:p>
        </w:tc>
        <w:tc>
          <w:tcPr>
            <w:tcW w:w="1676" w:type="pct"/>
            <w:noWrap/>
            <w:vAlign w:val="center"/>
          </w:tcPr>
          <w:p w14:paraId="5F33240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2号采区回风天井</w:t>
            </w:r>
          </w:p>
        </w:tc>
        <w:tc>
          <w:tcPr>
            <w:tcW w:w="423" w:type="pct"/>
            <w:noWrap/>
            <w:vAlign w:val="center"/>
          </w:tcPr>
          <w:p w14:paraId="5CD08A3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674F9DB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74620A8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56.1</w:t>
            </w:r>
          </w:p>
        </w:tc>
        <w:tc>
          <w:tcPr>
            <w:tcW w:w="465" w:type="pct"/>
            <w:noWrap/>
            <w:vAlign w:val="center"/>
          </w:tcPr>
          <w:p w14:paraId="703B052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98.2</w:t>
            </w:r>
          </w:p>
        </w:tc>
        <w:tc>
          <w:tcPr>
            <w:tcW w:w="465" w:type="pct"/>
            <w:noWrap/>
            <w:vAlign w:val="center"/>
          </w:tcPr>
          <w:p w14:paraId="2342A6A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5.8</w:t>
            </w:r>
          </w:p>
        </w:tc>
        <w:tc>
          <w:tcPr>
            <w:tcW w:w="523" w:type="pct"/>
            <w:noWrap/>
            <w:vAlign w:val="center"/>
          </w:tcPr>
          <w:p w14:paraId="4EFF3E2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E42E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9EE19B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w:t>
            </w:r>
          </w:p>
        </w:tc>
        <w:tc>
          <w:tcPr>
            <w:tcW w:w="1676" w:type="pct"/>
            <w:noWrap/>
            <w:vAlign w:val="center"/>
          </w:tcPr>
          <w:p w14:paraId="1E5CA9A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2号倒段采区回风天井</w:t>
            </w:r>
          </w:p>
        </w:tc>
        <w:tc>
          <w:tcPr>
            <w:tcW w:w="423" w:type="pct"/>
            <w:noWrap/>
            <w:vAlign w:val="center"/>
          </w:tcPr>
          <w:p w14:paraId="7F940F7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59DF2AD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0.005</w:t>
            </w:r>
          </w:p>
        </w:tc>
        <w:tc>
          <w:tcPr>
            <w:tcW w:w="503" w:type="pct"/>
            <w:noWrap/>
            <w:vAlign w:val="center"/>
          </w:tcPr>
          <w:p w14:paraId="617AECB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66.1</w:t>
            </w:r>
          </w:p>
        </w:tc>
        <w:tc>
          <w:tcPr>
            <w:tcW w:w="465" w:type="pct"/>
            <w:noWrap/>
            <w:vAlign w:val="center"/>
          </w:tcPr>
          <w:p w14:paraId="43D72EC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36.3</w:t>
            </w:r>
          </w:p>
        </w:tc>
        <w:tc>
          <w:tcPr>
            <w:tcW w:w="465" w:type="pct"/>
            <w:noWrap/>
            <w:vAlign w:val="center"/>
          </w:tcPr>
          <w:p w14:paraId="312B228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6.9</w:t>
            </w:r>
          </w:p>
        </w:tc>
        <w:tc>
          <w:tcPr>
            <w:tcW w:w="523" w:type="pct"/>
            <w:noWrap/>
            <w:vAlign w:val="center"/>
          </w:tcPr>
          <w:p w14:paraId="5ED937E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4C2C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8363EF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w:t>
            </w:r>
          </w:p>
        </w:tc>
        <w:tc>
          <w:tcPr>
            <w:tcW w:w="1676" w:type="pct"/>
            <w:noWrap/>
            <w:vAlign w:val="center"/>
          </w:tcPr>
          <w:p w14:paraId="541A860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3号采区回风天井</w:t>
            </w:r>
          </w:p>
        </w:tc>
        <w:tc>
          <w:tcPr>
            <w:tcW w:w="423" w:type="pct"/>
            <w:noWrap/>
            <w:vAlign w:val="center"/>
          </w:tcPr>
          <w:p w14:paraId="2486AA1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3F7EA4D6">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78866B7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93.7</w:t>
            </w:r>
          </w:p>
        </w:tc>
        <w:tc>
          <w:tcPr>
            <w:tcW w:w="465" w:type="pct"/>
            <w:noWrap/>
            <w:vAlign w:val="center"/>
          </w:tcPr>
          <w:p w14:paraId="57D6EB7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106.6</w:t>
            </w:r>
          </w:p>
        </w:tc>
        <w:tc>
          <w:tcPr>
            <w:tcW w:w="465" w:type="pct"/>
            <w:noWrap/>
            <w:vAlign w:val="center"/>
          </w:tcPr>
          <w:p w14:paraId="6B13DF5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9.7</w:t>
            </w:r>
          </w:p>
        </w:tc>
        <w:tc>
          <w:tcPr>
            <w:tcW w:w="523" w:type="pct"/>
            <w:noWrap/>
            <w:vAlign w:val="center"/>
          </w:tcPr>
          <w:p w14:paraId="746AEAE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547CE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F67D33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w:t>
            </w:r>
          </w:p>
        </w:tc>
        <w:tc>
          <w:tcPr>
            <w:tcW w:w="1676" w:type="pct"/>
            <w:noWrap/>
            <w:vAlign w:val="center"/>
          </w:tcPr>
          <w:p w14:paraId="4D1FC6C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3号倒段采区回风天井</w:t>
            </w:r>
          </w:p>
        </w:tc>
        <w:tc>
          <w:tcPr>
            <w:tcW w:w="423" w:type="pct"/>
            <w:noWrap/>
            <w:vAlign w:val="center"/>
          </w:tcPr>
          <w:p w14:paraId="2190664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26810F86">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403D438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99.7</w:t>
            </w:r>
          </w:p>
        </w:tc>
        <w:tc>
          <w:tcPr>
            <w:tcW w:w="465" w:type="pct"/>
            <w:noWrap/>
            <w:vAlign w:val="center"/>
          </w:tcPr>
          <w:p w14:paraId="095530B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-88.8</w:t>
            </w:r>
          </w:p>
        </w:tc>
        <w:tc>
          <w:tcPr>
            <w:tcW w:w="465" w:type="pct"/>
            <w:noWrap/>
            <w:vAlign w:val="center"/>
          </w:tcPr>
          <w:p w14:paraId="243ADB0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10.4</w:t>
            </w:r>
          </w:p>
        </w:tc>
        <w:tc>
          <w:tcPr>
            <w:tcW w:w="523" w:type="pct"/>
            <w:noWrap/>
            <w:vAlign w:val="center"/>
          </w:tcPr>
          <w:p w14:paraId="00F1BA1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07B99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76A5E8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w:t>
            </w:r>
          </w:p>
        </w:tc>
        <w:tc>
          <w:tcPr>
            <w:tcW w:w="1676" w:type="pct"/>
            <w:noWrap/>
            <w:vAlign w:val="center"/>
          </w:tcPr>
          <w:p w14:paraId="26BA6BE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4号采区人行回风天井</w:t>
            </w:r>
          </w:p>
        </w:tc>
        <w:tc>
          <w:tcPr>
            <w:tcW w:w="423" w:type="pct"/>
            <w:noWrap/>
            <w:vAlign w:val="center"/>
          </w:tcPr>
          <w:p w14:paraId="78188B3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12.56</w:t>
            </w:r>
          </w:p>
        </w:tc>
        <w:tc>
          <w:tcPr>
            <w:tcW w:w="625" w:type="pct"/>
            <w:noWrap/>
            <w:vAlign w:val="center"/>
          </w:tcPr>
          <w:p w14:paraId="293F2E77">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0.014</w:t>
            </w:r>
          </w:p>
        </w:tc>
        <w:tc>
          <w:tcPr>
            <w:tcW w:w="503" w:type="pct"/>
            <w:noWrap/>
            <w:vAlign w:val="center"/>
          </w:tcPr>
          <w:p w14:paraId="77E6483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99.7</w:t>
            </w:r>
          </w:p>
        </w:tc>
        <w:tc>
          <w:tcPr>
            <w:tcW w:w="465" w:type="pct"/>
            <w:noWrap/>
            <w:vAlign w:val="center"/>
          </w:tcPr>
          <w:p w14:paraId="586D870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117.2</w:t>
            </w:r>
          </w:p>
        </w:tc>
        <w:tc>
          <w:tcPr>
            <w:tcW w:w="465" w:type="pct"/>
            <w:noWrap/>
            <w:vAlign w:val="center"/>
          </w:tcPr>
          <w:p w14:paraId="7CE0F22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7.9</w:t>
            </w:r>
          </w:p>
        </w:tc>
        <w:tc>
          <w:tcPr>
            <w:tcW w:w="523" w:type="pct"/>
            <w:noWrap/>
            <w:vAlign w:val="center"/>
          </w:tcPr>
          <w:p w14:paraId="5CB786C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3BF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59E6FE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13</w:t>
            </w:r>
          </w:p>
        </w:tc>
        <w:tc>
          <w:tcPr>
            <w:tcW w:w="1676" w:type="pct"/>
            <w:noWrap/>
            <w:vAlign w:val="center"/>
          </w:tcPr>
          <w:p w14:paraId="5A3762E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4号倒段采区人行回风天井</w:t>
            </w:r>
          </w:p>
        </w:tc>
        <w:tc>
          <w:tcPr>
            <w:tcW w:w="423" w:type="pct"/>
            <w:noWrap/>
            <w:vAlign w:val="center"/>
          </w:tcPr>
          <w:p w14:paraId="63DB8C9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12.56</w:t>
            </w:r>
          </w:p>
        </w:tc>
        <w:tc>
          <w:tcPr>
            <w:tcW w:w="625" w:type="pct"/>
            <w:noWrap/>
            <w:vAlign w:val="center"/>
          </w:tcPr>
          <w:p w14:paraId="44332FDB">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0.014</w:t>
            </w:r>
          </w:p>
        </w:tc>
        <w:tc>
          <w:tcPr>
            <w:tcW w:w="503" w:type="pct"/>
            <w:noWrap/>
            <w:vAlign w:val="center"/>
          </w:tcPr>
          <w:p w14:paraId="7ABFBDC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105.7</w:t>
            </w:r>
          </w:p>
        </w:tc>
        <w:tc>
          <w:tcPr>
            <w:tcW w:w="465" w:type="pct"/>
            <w:noWrap/>
            <w:vAlign w:val="center"/>
          </w:tcPr>
          <w:p w14:paraId="28E121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-44.8</w:t>
            </w:r>
          </w:p>
        </w:tc>
        <w:tc>
          <w:tcPr>
            <w:tcW w:w="465" w:type="pct"/>
            <w:noWrap/>
            <w:vAlign w:val="center"/>
          </w:tcPr>
          <w:p w14:paraId="5FD909F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8.4</w:t>
            </w:r>
          </w:p>
        </w:tc>
        <w:tc>
          <w:tcPr>
            <w:tcW w:w="523" w:type="pct"/>
            <w:noWrap/>
            <w:vAlign w:val="center"/>
          </w:tcPr>
          <w:p w14:paraId="2460E1B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5A8E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36CAA9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14</w:t>
            </w:r>
          </w:p>
        </w:tc>
        <w:tc>
          <w:tcPr>
            <w:tcW w:w="1676" w:type="pct"/>
            <w:noWrap/>
            <w:vAlign w:val="center"/>
          </w:tcPr>
          <w:p w14:paraId="5AD92DB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5号采区回风天井</w:t>
            </w:r>
          </w:p>
        </w:tc>
        <w:tc>
          <w:tcPr>
            <w:tcW w:w="423" w:type="pct"/>
            <w:noWrap/>
            <w:vAlign w:val="center"/>
          </w:tcPr>
          <w:p w14:paraId="27FFE48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24B23839">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6423988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94.6</w:t>
            </w:r>
          </w:p>
        </w:tc>
        <w:tc>
          <w:tcPr>
            <w:tcW w:w="465" w:type="pct"/>
            <w:noWrap/>
            <w:vAlign w:val="center"/>
          </w:tcPr>
          <w:p w14:paraId="449E76B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118.3</w:t>
            </w:r>
          </w:p>
        </w:tc>
        <w:tc>
          <w:tcPr>
            <w:tcW w:w="465" w:type="pct"/>
            <w:noWrap/>
            <w:vAlign w:val="center"/>
          </w:tcPr>
          <w:p w14:paraId="0E3DFD6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9.8</w:t>
            </w:r>
          </w:p>
        </w:tc>
        <w:tc>
          <w:tcPr>
            <w:tcW w:w="523" w:type="pct"/>
            <w:noWrap/>
            <w:vAlign w:val="center"/>
          </w:tcPr>
          <w:p w14:paraId="7B2E98C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6CB4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BEC9C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w:t>
            </w:r>
          </w:p>
        </w:tc>
        <w:tc>
          <w:tcPr>
            <w:tcW w:w="1676" w:type="pct"/>
            <w:noWrap/>
            <w:vAlign w:val="center"/>
          </w:tcPr>
          <w:p w14:paraId="3F46E75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5号倒段采区回风天井</w:t>
            </w:r>
          </w:p>
        </w:tc>
        <w:tc>
          <w:tcPr>
            <w:tcW w:w="423" w:type="pct"/>
            <w:noWrap/>
            <w:vAlign w:val="center"/>
          </w:tcPr>
          <w:p w14:paraId="505913D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524F6E86">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4C4FDD0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100.6</w:t>
            </w:r>
          </w:p>
        </w:tc>
        <w:tc>
          <w:tcPr>
            <w:tcW w:w="465" w:type="pct"/>
            <w:noWrap/>
            <w:vAlign w:val="center"/>
          </w:tcPr>
          <w:p w14:paraId="2EDF20E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-39.5</w:t>
            </w:r>
          </w:p>
        </w:tc>
        <w:tc>
          <w:tcPr>
            <w:tcW w:w="465" w:type="pct"/>
            <w:noWrap/>
            <w:vAlign w:val="center"/>
          </w:tcPr>
          <w:p w14:paraId="40FECD3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10.5</w:t>
            </w:r>
          </w:p>
        </w:tc>
        <w:tc>
          <w:tcPr>
            <w:tcW w:w="523" w:type="pct"/>
            <w:noWrap/>
            <w:vAlign w:val="center"/>
          </w:tcPr>
          <w:p w14:paraId="0A1445E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5E90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E980D7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16</w:t>
            </w:r>
          </w:p>
        </w:tc>
        <w:tc>
          <w:tcPr>
            <w:tcW w:w="1676" w:type="pct"/>
            <w:noWrap/>
            <w:vAlign w:val="center"/>
          </w:tcPr>
          <w:p w14:paraId="2A4A59C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6号采区回风天井</w:t>
            </w:r>
          </w:p>
        </w:tc>
        <w:tc>
          <w:tcPr>
            <w:tcW w:w="423" w:type="pct"/>
            <w:noWrap/>
            <w:vAlign w:val="center"/>
          </w:tcPr>
          <w:p w14:paraId="5E0FD02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7487DB70">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1AFA496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84.7</w:t>
            </w:r>
          </w:p>
        </w:tc>
        <w:tc>
          <w:tcPr>
            <w:tcW w:w="465" w:type="pct"/>
            <w:noWrap/>
            <w:vAlign w:val="center"/>
          </w:tcPr>
          <w:p w14:paraId="0EDFD09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27.9</w:t>
            </w:r>
          </w:p>
        </w:tc>
        <w:tc>
          <w:tcPr>
            <w:tcW w:w="465" w:type="pct"/>
            <w:noWrap/>
            <w:vAlign w:val="center"/>
          </w:tcPr>
          <w:p w14:paraId="3B52CDB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8.8</w:t>
            </w:r>
          </w:p>
        </w:tc>
        <w:tc>
          <w:tcPr>
            <w:tcW w:w="523" w:type="pct"/>
            <w:noWrap/>
            <w:vAlign w:val="center"/>
          </w:tcPr>
          <w:p w14:paraId="72AB6FB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63F9F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8CC00E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17</w:t>
            </w:r>
          </w:p>
        </w:tc>
        <w:tc>
          <w:tcPr>
            <w:tcW w:w="1676" w:type="pct"/>
            <w:noWrap/>
            <w:vAlign w:val="center"/>
          </w:tcPr>
          <w:p w14:paraId="554A858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6号倒段采区回风天井</w:t>
            </w:r>
          </w:p>
        </w:tc>
        <w:tc>
          <w:tcPr>
            <w:tcW w:w="423" w:type="pct"/>
            <w:noWrap/>
            <w:vAlign w:val="center"/>
          </w:tcPr>
          <w:p w14:paraId="01FE85A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7420421E">
            <w:pPr>
              <w:adjustRightInd w:val="0"/>
              <w:snapToGrid w:val="0"/>
              <w:spacing w:line="240" w:lineRule="auto"/>
              <w:ind w:firstLine="0" w:firstLineChars="0"/>
              <w:jc w:val="center"/>
              <w:rPr>
                <w:rFonts w:cs="Times New Roman"/>
                <w:w w:val="66"/>
                <w:sz w:val="21"/>
                <w:szCs w:val="21"/>
              </w:rPr>
            </w:pPr>
            <w:r>
              <w:rPr>
                <w:rFonts w:cs="Times New Roman"/>
                <w:w w:val="66"/>
                <w:sz w:val="21"/>
                <w:szCs w:val="21"/>
              </w:rPr>
              <w:t>0.005</w:t>
            </w:r>
          </w:p>
        </w:tc>
        <w:tc>
          <w:tcPr>
            <w:tcW w:w="503" w:type="pct"/>
            <w:noWrap/>
            <w:vAlign w:val="center"/>
          </w:tcPr>
          <w:p w14:paraId="14956E1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90.7</w:t>
            </w:r>
          </w:p>
        </w:tc>
        <w:tc>
          <w:tcPr>
            <w:tcW w:w="465" w:type="pct"/>
            <w:noWrap/>
            <w:vAlign w:val="center"/>
          </w:tcPr>
          <w:p w14:paraId="43AD1F2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-99.8</w:t>
            </w:r>
          </w:p>
        </w:tc>
        <w:tc>
          <w:tcPr>
            <w:tcW w:w="465" w:type="pct"/>
            <w:noWrap/>
            <w:vAlign w:val="center"/>
          </w:tcPr>
          <w:p w14:paraId="6390065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9.4</w:t>
            </w:r>
          </w:p>
        </w:tc>
        <w:tc>
          <w:tcPr>
            <w:tcW w:w="523" w:type="pct"/>
            <w:noWrap/>
            <w:vAlign w:val="center"/>
          </w:tcPr>
          <w:p w14:paraId="2750DB4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29582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79FBED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w:t>
            </w:r>
          </w:p>
        </w:tc>
        <w:tc>
          <w:tcPr>
            <w:tcW w:w="1676" w:type="pct"/>
            <w:noWrap/>
            <w:vAlign w:val="center"/>
          </w:tcPr>
          <w:p w14:paraId="1668A51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溜破系统人行回风天井</w:t>
            </w:r>
          </w:p>
        </w:tc>
        <w:tc>
          <w:tcPr>
            <w:tcW w:w="423" w:type="pct"/>
            <w:noWrap/>
            <w:vAlign w:val="center"/>
          </w:tcPr>
          <w:p w14:paraId="40EBE97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9.62</w:t>
            </w:r>
          </w:p>
        </w:tc>
        <w:tc>
          <w:tcPr>
            <w:tcW w:w="625" w:type="pct"/>
            <w:noWrap/>
            <w:vAlign w:val="center"/>
          </w:tcPr>
          <w:p w14:paraId="2AD9889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0.014</w:t>
            </w:r>
          </w:p>
        </w:tc>
        <w:tc>
          <w:tcPr>
            <w:tcW w:w="503" w:type="pct"/>
            <w:noWrap/>
            <w:vAlign w:val="center"/>
          </w:tcPr>
          <w:p w14:paraId="765A307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30</w:t>
            </w:r>
          </w:p>
        </w:tc>
        <w:tc>
          <w:tcPr>
            <w:tcW w:w="465" w:type="pct"/>
            <w:noWrap/>
            <w:vAlign w:val="center"/>
          </w:tcPr>
          <w:p w14:paraId="7D02521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-8.1</w:t>
            </w:r>
          </w:p>
        </w:tc>
        <w:tc>
          <w:tcPr>
            <w:tcW w:w="465" w:type="pct"/>
            <w:noWrap/>
            <w:vAlign w:val="center"/>
          </w:tcPr>
          <w:p w14:paraId="5D144F2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3.1</w:t>
            </w:r>
          </w:p>
        </w:tc>
        <w:tc>
          <w:tcPr>
            <w:tcW w:w="523" w:type="pct"/>
            <w:noWrap/>
            <w:vAlign w:val="center"/>
          </w:tcPr>
          <w:p w14:paraId="6F2CEB9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0871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4F33EB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三</w:t>
            </w:r>
          </w:p>
        </w:tc>
        <w:tc>
          <w:tcPr>
            <w:tcW w:w="1676" w:type="pct"/>
            <w:noWrap/>
            <w:vAlign w:val="center"/>
          </w:tcPr>
          <w:p w14:paraId="72B9FBE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-250m回风水平</w:t>
            </w:r>
          </w:p>
        </w:tc>
        <w:tc>
          <w:tcPr>
            <w:tcW w:w="423" w:type="pct"/>
            <w:noWrap/>
            <w:vAlign w:val="center"/>
          </w:tcPr>
          <w:p w14:paraId="29652BE8">
            <w:pPr>
              <w:pStyle w:val="121"/>
              <w:rPr>
                <w:rFonts w:ascii="Times New Roman" w:hAnsi="Times New Roman" w:eastAsia="宋体" w:cs="Times New Roman"/>
                <w:w w:val="66"/>
                <w:sz w:val="21"/>
                <w:szCs w:val="21"/>
              </w:rPr>
            </w:pPr>
          </w:p>
        </w:tc>
        <w:tc>
          <w:tcPr>
            <w:tcW w:w="625" w:type="pct"/>
            <w:noWrap/>
            <w:vAlign w:val="center"/>
          </w:tcPr>
          <w:p w14:paraId="4DB5BCD8">
            <w:pPr>
              <w:pStyle w:val="121"/>
              <w:rPr>
                <w:rFonts w:ascii="Times New Roman" w:hAnsi="Times New Roman" w:eastAsia="宋体" w:cs="Times New Roman"/>
                <w:w w:val="66"/>
                <w:sz w:val="21"/>
                <w:szCs w:val="21"/>
              </w:rPr>
            </w:pPr>
          </w:p>
        </w:tc>
        <w:tc>
          <w:tcPr>
            <w:tcW w:w="503" w:type="pct"/>
            <w:noWrap/>
            <w:vAlign w:val="center"/>
          </w:tcPr>
          <w:p w14:paraId="501A9AB6">
            <w:pPr>
              <w:pStyle w:val="121"/>
              <w:rPr>
                <w:rFonts w:ascii="Times New Roman" w:hAnsi="Times New Roman" w:eastAsia="宋体" w:cs="Times New Roman"/>
                <w:w w:val="66"/>
                <w:sz w:val="21"/>
                <w:szCs w:val="21"/>
              </w:rPr>
            </w:pPr>
          </w:p>
        </w:tc>
        <w:tc>
          <w:tcPr>
            <w:tcW w:w="465" w:type="pct"/>
            <w:noWrap/>
            <w:vAlign w:val="center"/>
          </w:tcPr>
          <w:p w14:paraId="27AE15B4">
            <w:pPr>
              <w:pStyle w:val="121"/>
              <w:rPr>
                <w:rFonts w:ascii="Times New Roman" w:hAnsi="Times New Roman" w:eastAsia="宋体" w:cs="Times New Roman"/>
                <w:w w:val="66"/>
                <w:sz w:val="21"/>
                <w:szCs w:val="21"/>
              </w:rPr>
            </w:pPr>
          </w:p>
        </w:tc>
        <w:tc>
          <w:tcPr>
            <w:tcW w:w="465" w:type="pct"/>
            <w:noWrap/>
            <w:vAlign w:val="center"/>
          </w:tcPr>
          <w:p w14:paraId="5C836F35">
            <w:pPr>
              <w:pStyle w:val="121"/>
              <w:rPr>
                <w:rFonts w:ascii="Times New Roman" w:hAnsi="Times New Roman" w:eastAsia="宋体" w:cs="Times New Roman"/>
                <w:w w:val="66"/>
                <w:sz w:val="21"/>
                <w:szCs w:val="21"/>
              </w:rPr>
            </w:pPr>
          </w:p>
        </w:tc>
        <w:tc>
          <w:tcPr>
            <w:tcW w:w="523" w:type="pct"/>
            <w:noWrap/>
            <w:vAlign w:val="center"/>
          </w:tcPr>
          <w:p w14:paraId="394E35C5">
            <w:pPr>
              <w:pStyle w:val="121"/>
              <w:rPr>
                <w:rFonts w:ascii="Times New Roman" w:hAnsi="Times New Roman" w:eastAsia="宋体" w:cs="Times New Roman"/>
                <w:w w:val="66"/>
                <w:sz w:val="21"/>
                <w:szCs w:val="21"/>
              </w:rPr>
            </w:pPr>
          </w:p>
        </w:tc>
      </w:tr>
      <w:tr w14:paraId="4D01A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B349B2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7C31922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1号回风井北石门</w:t>
            </w:r>
          </w:p>
        </w:tc>
        <w:tc>
          <w:tcPr>
            <w:tcW w:w="423" w:type="pct"/>
            <w:noWrap/>
            <w:vAlign w:val="center"/>
          </w:tcPr>
          <w:p w14:paraId="335207B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15.8</w:t>
            </w:r>
          </w:p>
        </w:tc>
        <w:tc>
          <w:tcPr>
            <w:tcW w:w="625" w:type="pct"/>
            <w:noWrap/>
            <w:vAlign w:val="center"/>
          </w:tcPr>
          <w:p w14:paraId="2241EAF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55DFE9E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210</w:t>
            </w:r>
          </w:p>
        </w:tc>
        <w:tc>
          <w:tcPr>
            <w:tcW w:w="465" w:type="pct"/>
            <w:noWrap/>
            <w:vAlign w:val="center"/>
          </w:tcPr>
          <w:p w14:paraId="0A1D63D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-857.5</w:t>
            </w:r>
          </w:p>
        </w:tc>
        <w:tc>
          <w:tcPr>
            <w:tcW w:w="465" w:type="pct"/>
            <w:noWrap/>
            <w:vAlign w:val="center"/>
          </w:tcPr>
          <w:p w14:paraId="248CF56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11.4</w:t>
            </w:r>
          </w:p>
        </w:tc>
        <w:tc>
          <w:tcPr>
            <w:tcW w:w="523" w:type="pct"/>
            <w:noWrap/>
            <w:vAlign w:val="center"/>
          </w:tcPr>
          <w:p w14:paraId="4EAFE56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1602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429384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4C6012D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1号回风井南石门</w:t>
            </w:r>
          </w:p>
        </w:tc>
        <w:tc>
          <w:tcPr>
            <w:tcW w:w="423" w:type="pct"/>
            <w:noWrap/>
            <w:vAlign w:val="center"/>
          </w:tcPr>
          <w:p w14:paraId="5E4F6F5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15.8</w:t>
            </w:r>
          </w:p>
        </w:tc>
        <w:tc>
          <w:tcPr>
            <w:tcW w:w="625" w:type="pct"/>
            <w:noWrap/>
            <w:vAlign w:val="center"/>
          </w:tcPr>
          <w:p w14:paraId="550B8E9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37692F3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210</w:t>
            </w:r>
          </w:p>
        </w:tc>
        <w:tc>
          <w:tcPr>
            <w:tcW w:w="465" w:type="pct"/>
            <w:noWrap/>
            <w:vAlign w:val="center"/>
          </w:tcPr>
          <w:p w14:paraId="5945F37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-820.1</w:t>
            </w:r>
          </w:p>
        </w:tc>
        <w:tc>
          <w:tcPr>
            <w:tcW w:w="465" w:type="pct"/>
            <w:noWrap/>
            <w:vAlign w:val="center"/>
          </w:tcPr>
          <w:p w14:paraId="6B9A71A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11.4</w:t>
            </w:r>
          </w:p>
        </w:tc>
        <w:tc>
          <w:tcPr>
            <w:tcW w:w="523" w:type="pct"/>
            <w:noWrap/>
            <w:vAlign w:val="center"/>
          </w:tcPr>
          <w:p w14:paraId="1F05ECF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4492B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FD6983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069922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2号回风井南石门</w:t>
            </w:r>
          </w:p>
        </w:tc>
        <w:tc>
          <w:tcPr>
            <w:tcW w:w="423" w:type="pct"/>
            <w:noWrap/>
            <w:vAlign w:val="center"/>
          </w:tcPr>
          <w:p w14:paraId="4C6F461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13.7</w:t>
            </w:r>
          </w:p>
        </w:tc>
        <w:tc>
          <w:tcPr>
            <w:tcW w:w="625" w:type="pct"/>
            <w:noWrap/>
            <w:vAlign w:val="center"/>
          </w:tcPr>
          <w:p w14:paraId="2538AE8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0A8BF45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155</w:t>
            </w:r>
          </w:p>
        </w:tc>
        <w:tc>
          <w:tcPr>
            <w:tcW w:w="465" w:type="pct"/>
            <w:noWrap/>
            <w:vAlign w:val="center"/>
          </w:tcPr>
          <w:p w14:paraId="3629872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-810.4</w:t>
            </w:r>
          </w:p>
        </w:tc>
        <w:tc>
          <w:tcPr>
            <w:tcW w:w="465" w:type="pct"/>
            <w:noWrap/>
            <w:vAlign w:val="center"/>
          </w:tcPr>
          <w:p w14:paraId="7232729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12.1</w:t>
            </w:r>
          </w:p>
        </w:tc>
        <w:tc>
          <w:tcPr>
            <w:tcW w:w="523" w:type="pct"/>
            <w:noWrap/>
            <w:vAlign w:val="center"/>
          </w:tcPr>
          <w:p w14:paraId="146367D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36C50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320" w:type="pct"/>
            <w:noWrap/>
            <w:vAlign w:val="center"/>
          </w:tcPr>
          <w:p w14:paraId="4A7A432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4F6F6FC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采区回风天井联络巷</w:t>
            </w:r>
          </w:p>
        </w:tc>
        <w:tc>
          <w:tcPr>
            <w:tcW w:w="423" w:type="pct"/>
            <w:noWrap/>
            <w:vAlign w:val="center"/>
          </w:tcPr>
          <w:p w14:paraId="71869B6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12.7</w:t>
            </w:r>
          </w:p>
        </w:tc>
        <w:tc>
          <w:tcPr>
            <w:tcW w:w="625" w:type="pct"/>
            <w:noWrap/>
            <w:vAlign w:val="center"/>
          </w:tcPr>
          <w:p w14:paraId="7DDCC12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18EA039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105.7</w:t>
            </w:r>
          </w:p>
        </w:tc>
        <w:tc>
          <w:tcPr>
            <w:tcW w:w="465" w:type="pct"/>
            <w:noWrap/>
            <w:vAlign w:val="center"/>
          </w:tcPr>
          <w:p w14:paraId="6498108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-117.4</w:t>
            </w:r>
          </w:p>
        </w:tc>
        <w:tc>
          <w:tcPr>
            <w:tcW w:w="465" w:type="pct"/>
            <w:noWrap/>
            <w:vAlign w:val="center"/>
          </w:tcPr>
          <w:p w14:paraId="38BE8A4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8.3</w:t>
            </w:r>
          </w:p>
        </w:tc>
        <w:tc>
          <w:tcPr>
            <w:tcW w:w="523" w:type="pct"/>
            <w:noWrap/>
            <w:vAlign w:val="center"/>
          </w:tcPr>
          <w:p w14:paraId="00CC402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05B15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F977ED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1676" w:type="pct"/>
            <w:noWrap/>
            <w:vAlign w:val="center"/>
          </w:tcPr>
          <w:p w14:paraId="31EB078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下盘回风联络巷</w:t>
            </w:r>
          </w:p>
        </w:tc>
        <w:tc>
          <w:tcPr>
            <w:tcW w:w="423" w:type="pct"/>
            <w:noWrap/>
            <w:vAlign w:val="center"/>
          </w:tcPr>
          <w:p w14:paraId="74EED0D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18.6</w:t>
            </w:r>
          </w:p>
        </w:tc>
        <w:tc>
          <w:tcPr>
            <w:tcW w:w="625" w:type="pct"/>
            <w:noWrap/>
            <w:vAlign w:val="center"/>
          </w:tcPr>
          <w:p w14:paraId="0730DC7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788598F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155</w:t>
            </w:r>
          </w:p>
        </w:tc>
        <w:tc>
          <w:tcPr>
            <w:tcW w:w="465" w:type="pct"/>
            <w:noWrap/>
            <w:vAlign w:val="center"/>
          </w:tcPr>
          <w:p w14:paraId="384930B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-274.5</w:t>
            </w:r>
          </w:p>
        </w:tc>
        <w:tc>
          <w:tcPr>
            <w:tcW w:w="465" w:type="pct"/>
            <w:noWrap/>
            <w:vAlign w:val="center"/>
          </w:tcPr>
          <w:p w14:paraId="6ADF9EB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8.4</w:t>
            </w:r>
          </w:p>
        </w:tc>
        <w:tc>
          <w:tcPr>
            <w:tcW w:w="523" w:type="pct"/>
            <w:noWrap/>
            <w:vAlign w:val="center"/>
          </w:tcPr>
          <w:p w14:paraId="1FD9E84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115DB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F40B02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四</w:t>
            </w:r>
          </w:p>
        </w:tc>
        <w:tc>
          <w:tcPr>
            <w:tcW w:w="1676" w:type="pct"/>
            <w:noWrap/>
            <w:vAlign w:val="center"/>
          </w:tcPr>
          <w:p w14:paraId="6FB3D04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-400m充填水平</w:t>
            </w:r>
          </w:p>
        </w:tc>
        <w:tc>
          <w:tcPr>
            <w:tcW w:w="423" w:type="pct"/>
            <w:noWrap/>
            <w:vAlign w:val="center"/>
          </w:tcPr>
          <w:p w14:paraId="05C2B554">
            <w:pPr>
              <w:pStyle w:val="121"/>
              <w:rPr>
                <w:rFonts w:ascii="Times New Roman" w:hAnsi="Times New Roman" w:eastAsia="宋体" w:cs="Times New Roman"/>
                <w:w w:val="66"/>
                <w:sz w:val="21"/>
                <w:szCs w:val="21"/>
              </w:rPr>
            </w:pPr>
          </w:p>
        </w:tc>
        <w:tc>
          <w:tcPr>
            <w:tcW w:w="625" w:type="pct"/>
            <w:noWrap/>
            <w:vAlign w:val="center"/>
          </w:tcPr>
          <w:p w14:paraId="05ADD8F5">
            <w:pPr>
              <w:pStyle w:val="121"/>
              <w:rPr>
                <w:rFonts w:ascii="Times New Roman" w:hAnsi="Times New Roman" w:eastAsia="宋体" w:cs="Times New Roman"/>
                <w:w w:val="66"/>
                <w:sz w:val="21"/>
                <w:szCs w:val="21"/>
              </w:rPr>
            </w:pPr>
          </w:p>
        </w:tc>
        <w:tc>
          <w:tcPr>
            <w:tcW w:w="503" w:type="pct"/>
            <w:noWrap/>
            <w:vAlign w:val="center"/>
          </w:tcPr>
          <w:p w14:paraId="7968DD02">
            <w:pPr>
              <w:pStyle w:val="121"/>
              <w:rPr>
                <w:rFonts w:ascii="Times New Roman" w:hAnsi="Times New Roman" w:eastAsia="宋体" w:cs="Times New Roman"/>
                <w:w w:val="66"/>
                <w:sz w:val="21"/>
                <w:szCs w:val="21"/>
              </w:rPr>
            </w:pPr>
          </w:p>
        </w:tc>
        <w:tc>
          <w:tcPr>
            <w:tcW w:w="465" w:type="pct"/>
            <w:noWrap/>
            <w:vAlign w:val="center"/>
          </w:tcPr>
          <w:p w14:paraId="46F383CC">
            <w:pPr>
              <w:pStyle w:val="121"/>
              <w:rPr>
                <w:rFonts w:ascii="Times New Roman" w:hAnsi="Times New Roman" w:eastAsia="宋体" w:cs="Times New Roman"/>
                <w:w w:val="66"/>
                <w:sz w:val="21"/>
                <w:szCs w:val="21"/>
              </w:rPr>
            </w:pPr>
          </w:p>
        </w:tc>
        <w:tc>
          <w:tcPr>
            <w:tcW w:w="465" w:type="pct"/>
            <w:noWrap/>
            <w:vAlign w:val="center"/>
          </w:tcPr>
          <w:p w14:paraId="0713FC82">
            <w:pPr>
              <w:pStyle w:val="121"/>
              <w:rPr>
                <w:rFonts w:ascii="Times New Roman" w:hAnsi="Times New Roman" w:eastAsia="宋体" w:cs="Times New Roman"/>
                <w:w w:val="66"/>
                <w:sz w:val="21"/>
                <w:szCs w:val="21"/>
              </w:rPr>
            </w:pPr>
          </w:p>
        </w:tc>
        <w:tc>
          <w:tcPr>
            <w:tcW w:w="523" w:type="pct"/>
            <w:noWrap/>
            <w:vAlign w:val="center"/>
          </w:tcPr>
          <w:p w14:paraId="24CAC113">
            <w:pPr>
              <w:pStyle w:val="121"/>
              <w:rPr>
                <w:rFonts w:ascii="Times New Roman" w:hAnsi="Times New Roman" w:eastAsia="宋体" w:cs="Times New Roman"/>
                <w:w w:val="66"/>
                <w:sz w:val="21"/>
                <w:szCs w:val="21"/>
              </w:rPr>
            </w:pPr>
          </w:p>
        </w:tc>
      </w:tr>
      <w:tr w14:paraId="5E534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28530E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5AB2225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副井石门</w:t>
            </w:r>
          </w:p>
        </w:tc>
        <w:tc>
          <w:tcPr>
            <w:tcW w:w="423" w:type="pct"/>
            <w:noWrap/>
            <w:vAlign w:val="center"/>
          </w:tcPr>
          <w:p w14:paraId="727334B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15.4</w:t>
            </w:r>
          </w:p>
        </w:tc>
        <w:tc>
          <w:tcPr>
            <w:tcW w:w="625" w:type="pct"/>
            <w:noWrap/>
            <w:vAlign w:val="center"/>
          </w:tcPr>
          <w:p w14:paraId="0866549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58C7A63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44</w:t>
            </w:r>
          </w:p>
        </w:tc>
        <w:tc>
          <w:tcPr>
            <w:tcW w:w="465" w:type="pct"/>
            <w:noWrap/>
            <w:vAlign w:val="center"/>
          </w:tcPr>
          <w:p w14:paraId="7E3FFD1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-35.2</w:t>
            </w:r>
          </w:p>
        </w:tc>
        <w:tc>
          <w:tcPr>
            <w:tcW w:w="465" w:type="pct"/>
            <w:noWrap/>
            <w:vAlign w:val="center"/>
          </w:tcPr>
          <w:p w14:paraId="77DC6FC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2.9</w:t>
            </w:r>
          </w:p>
        </w:tc>
        <w:tc>
          <w:tcPr>
            <w:tcW w:w="523" w:type="pct"/>
            <w:noWrap/>
            <w:vAlign w:val="center"/>
          </w:tcPr>
          <w:p w14:paraId="5EB8459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7E5A8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CC9AF2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20517B1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下盘脉外联络巷</w:t>
            </w:r>
          </w:p>
        </w:tc>
        <w:tc>
          <w:tcPr>
            <w:tcW w:w="423" w:type="pct"/>
            <w:noWrap/>
            <w:vAlign w:val="center"/>
          </w:tcPr>
          <w:p w14:paraId="3EAADA8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18.6</w:t>
            </w:r>
          </w:p>
        </w:tc>
        <w:tc>
          <w:tcPr>
            <w:tcW w:w="625" w:type="pct"/>
            <w:noWrap/>
            <w:vAlign w:val="center"/>
          </w:tcPr>
          <w:p w14:paraId="3853BB9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7F516C3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12.3</w:t>
            </w:r>
          </w:p>
        </w:tc>
        <w:tc>
          <w:tcPr>
            <w:tcW w:w="465" w:type="pct"/>
            <w:noWrap/>
            <w:vAlign w:val="center"/>
          </w:tcPr>
          <w:p w14:paraId="71B0A52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-82.7</w:t>
            </w:r>
          </w:p>
        </w:tc>
        <w:tc>
          <w:tcPr>
            <w:tcW w:w="465" w:type="pct"/>
            <w:noWrap/>
            <w:vAlign w:val="center"/>
          </w:tcPr>
          <w:p w14:paraId="20BCFE6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523" w:type="pct"/>
            <w:noWrap/>
            <w:vAlign w:val="center"/>
          </w:tcPr>
          <w:p w14:paraId="0D7937B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38B78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1D09BE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五</w:t>
            </w:r>
          </w:p>
        </w:tc>
        <w:tc>
          <w:tcPr>
            <w:tcW w:w="1676" w:type="pct"/>
            <w:noWrap/>
            <w:vAlign w:val="center"/>
          </w:tcPr>
          <w:p w14:paraId="6AF9DFC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-425m、-450m凿岩水平</w:t>
            </w:r>
          </w:p>
        </w:tc>
        <w:tc>
          <w:tcPr>
            <w:tcW w:w="423" w:type="pct"/>
            <w:noWrap/>
            <w:vAlign w:val="center"/>
          </w:tcPr>
          <w:p w14:paraId="304DDC9F">
            <w:pPr>
              <w:pStyle w:val="121"/>
              <w:rPr>
                <w:rFonts w:ascii="Times New Roman" w:hAnsi="Times New Roman" w:eastAsia="宋体" w:cs="Times New Roman"/>
                <w:w w:val="66"/>
                <w:sz w:val="21"/>
                <w:szCs w:val="21"/>
              </w:rPr>
            </w:pPr>
          </w:p>
        </w:tc>
        <w:tc>
          <w:tcPr>
            <w:tcW w:w="625" w:type="pct"/>
            <w:noWrap/>
            <w:vAlign w:val="center"/>
          </w:tcPr>
          <w:p w14:paraId="75E3586A">
            <w:pPr>
              <w:pStyle w:val="121"/>
              <w:rPr>
                <w:rFonts w:ascii="Times New Roman" w:hAnsi="Times New Roman" w:eastAsia="宋体" w:cs="Times New Roman"/>
                <w:w w:val="66"/>
                <w:sz w:val="21"/>
                <w:szCs w:val="21"/>
              </w:rPr>
            </w:pPr>
          </w:p>
        </w:tc>
        <w:tc>
          <w:tcPr>
            <w:tcW w:w="503" w:type="pct"/>
            <w:noWrap/>
            <w:vAlign w:val="center"/>
          </w:tcPr>
          <w:p w14:paraId="2DC3E0EE">
            <w:pPr>
              <w:pStyle w:val="121"/>
              <w:rPr>
                <w:rFonts w:ascii="Times New Roman" w:hAnsi="Times New Roman" w:eastAsia="宋体" w:cs="Times New Roman"/>
                <w:w w:val="66"/>
                <w:sz w:val="21"/>
                <w:szCs w:val="21"/>
              </w:rPr>
            </w:pPr>
          </w:p>
        </w:tc>
        <w:tc>
          <w:tcPr>
            <w:tcW w:w="465" w:type="pct"/>
            <w:noWrap/>
            <w:vAlign w:val="center"/>
          </w:tcPr>
          <w:p w14:paraId="4E98DF34">
            <w:pPr>
              <w:pStyle w:val="121"/>
              <w:rPr>
                <w:rFonts w:ascii="Times New Roman" w:hAnsi="Times New Roman" w:eastAsia="宋体" w:cs="Times New Roman"/>
                <w:w w:val="66"/>
                <w:sz w:val="21"/>
                <w:szCs w:val="21"/>
              </w:rPr>
            </w:pPr>
          </w:p>
        </w:tc>
        <w:tc>
          <w:tcPr>
            <w:tcW w:w="465" w:type="pct"/>
            <w:noWrap/>
            <w:vAlign w:val="center"/>
          </w:tcPr>
          <w:p w14:paraId="59B7B870">
            <w:pPr>
              <w:pStyle w:val="121"/>
              <w:rPr>
                <w:rFonts w:ascii="Times New Roman" w:hAnsi="Times New Roman" w:eastAsia="宋体" w:cs="Times New Roman"/>
                <w:w w:val="66"/>
                <w:sz w:val="21"/>
                <w:szCs w:val="21"/>
              </w:rPr>
            </w:pPr>
          </w:p>
        </w:tc>
        <w:tc>
          <w:tcPr>
            <w:tcW w:w="523" w:type="pct"/>
            <w:noWrap/>
            <w:vAlign w:val="center"/>
          </w:tcPr>
          <w:p w14:paraId="782B85C3">
            <w:pPr>
              <w:pStyle w:val="121"/>
              <w:rPr>
                <w:rFonts w:ascii="Times New Roman" w:hAnsi="Times New Roman" w:eastAsia="宋体" w:cs="Times New Roman"/>
                <w:w w:val="66"/>
                <w:sz w:val="21"/>
                <w:szCs w:val="21"/>
              </w:rPr>
            </w:pPr>
          </w:p>
        </w:tc>
      </w:tr>
      <w:tr w14:paraId="6E460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468777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66BC16A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-425m水平下盘脉外联络巷</w:t>
            </w:r>
          </w:p>
        </w:tc>
        <w:tc>
          <w:tcPr>
            <w:tcW w:w="423" w:type="pct"/>
            <w:noWrap/>
            <w:vAlign w:val="center"/>
          </w:tcPr>
          <w:p w14:paraId="064A7BB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18.6</w:t>
            </w:r>
          </w:p>
        </w:tc>
        <w:tc>
          <w:tcPr>
            <w:tcW w:w="625" w:type="pct"/>
            <w:noWrap/>
            <w:vAlign w:val="center"/>
          </w:tcPr>
          <w:p w14:paraId="0498D65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76640FB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29.4</w:t>
            </w:r>
          </w:p>
        </w:tc>
        <w:tc>
          <w:tcPr>
            <w:tcW w:w="465" w:type="pct"/>
            <w:noWrap/>
            <w:vAlign w:val="center"/>
          </w:tcPr>
          <w:p w14:paraId="77BCA5B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116.7</w:t>
            </w:r>
          </w:p>
        </w:tc>
        <w:tc>
          <w:tcPr>
            <w:tcW w:w="465" w:type="pct"/>
            <w:noWrap/>
            <w:vAlign w:val="center"/>
          </w:tcPr>
          <w:p w14:paraId="1B2E589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1.6</w:t>
            </w:r>
          </w:p>
        </w:tc>
        <w:tc>
          <w:tcPr>
            <w:tcW w:w="523" w:type="pct"/>
            <w:noWrap/>
            <w:vAlign w:val="center"/>
          </w:tcPr>
          <w:p w14:paraId="5C095D1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0F8E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083E42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2ED34EC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-450m水平下盘脉外联络巷</w:t>
            </w:r>
          </w:p>
        </w:tc>
        <w:tc>
          <w:tcPr>
            <w:tcW w:w="423" w:type="pct"/>
            <w:noWrap/>
            <w:vAlign w:val="center"/>
          </w:tcPr>
          <w:p w14:paraId="248D00A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18.6</w:t>
            </w:r>
          </w:p>
        </w:tc>
        <w:tc>
          <w:tcPr>
            <w:tcW w:w="625" w:type="pct"/>
            <w:noWrap/>
            <w:vAlign w:val="center"/>
          </w:tcPr>
          <w:p w14:paraId="411CB16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04CE3D6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30.0</w:t>
            </w:r>
          </w:p>
        </w:tc>
        <w:tc>
          <w:tcPr>
            <w:tcW w:w="465" w:type="pct"/>
            <w:noWrap/>
            <w:vAlign w:val="center"/>
          </w:tcPr>
          <w:p w14:paraId="77160D0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120.9</w:t>
            </w:r>
          </w:p>
        </w:tc>
        <w:tc>
          <w:tcPr>
            <w:tcW w:w="465" w:type="pct"/>
            <w:noWrap/>
            <w:vAlign w:val="center"/>
          </w:tcPr>
          <w:p w14:paraId="23FEAE5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1.6</w:t>
            </w:r>
          </w:p>
        </w:tc>
        <w:tc>
          <w:tcPr>
            <w:tcW w:w="523" w:type="pct"/>
            <w:noWrap/>
            <w:vAlign w:val="center"/>
          </w:tcPr>
          <w:p w14:paraId="7C742A7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4EA75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E55FB1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六</w:t>
            </w:r>
          </w:p>
        </w:tc>
        <w:tc>
          <w:tcPr>
            <w:tcW w:w="1676" w:type="pct"/>
            <w:noWrap/>
            <w:vAlign w:val="center"/>
          </w:tcPr>
          <w:p w14:paraId="738F2D7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-475m进风出矿水平</w:t>
            </w:r>
          </w:p>
        </w:tc>
        <w:tc>
          <w:tcPr>
            <w:tcW w:w="423" w:type="pct"/>
            <w:noWrap/>
            <w:vAlign w:val="center"/>
          </w:tcPr>
          <w:p w14:paraId="6E54FAD5">
            <w:pPr>
              <w:pStyle w:val="121"/>
              <w:rPr>
                <w:rFonts w:ascii="Times New Roman" w:hAnsi="Times New Roman" w:eastAsia="宋体" w:cs="Times New Roman"/>
                <w:w w:val="66"/>
                <w:sz w:val="21"/>
                <w:szCs w:val="21"/>
              </w:rPr>
            </w:pPr>
          </w:p>
        </w:tc>
        <w:tc>
          <w:tcPr>
            <w:tcW w:w="625" w:type="pct"/>
            <w:noWrap/>
            <w:vAlign w:val="center"/>
          </w:tcPr>
          <w:p w14:paraId="080875CF">
            <w:pPr>
              <w:pStyle w:val="121"/>
              <w:rPr>
                <w:rFonts w:ascii="Times New Roman" w:hAnsi="Times New Roman" w:eastAsia="宋体" w:cs="Times New Roman"/>
                <w:w w:val="66"/>
                <w:sz w:val="21"/>
                <w:szCs w:val="21"/>
              </w:rPr>
            </w:pPr>
          </w:p>
        </w:tc>
        <w:tc>
          <w:tcPr>
            <w:tcW w:w="503" w:type="pct"/>
            <w:noWrap/>
            <w:vAlign w:val="center"/>
          </w:tcPr>
          <w:p w14:paraId="479C3B66">
            <w:pPr>
              <w:pStyle w:val="121"/>
              <w:rPr>
                <w:rFonts w:ascii="Times New Roman" w:hAnsi="Times New Roman" w:eastAsia="宋体" w:cs="Times New Roman"/>
                <w:w w:val="66"/>
                <w:sz w:val="21"/>
                <w:szCs w:val="21"/>
              </w:rPr>
            </w:pPr>
          </w:p>
        </w:tc>
        <w:tc>
          <w:tcPr>
            <w:tcW w:w="465" w:type="pct"/>
            <w:noWrap/>
            <w:vAlign w:val="center"/>
          </w:tcPr>
          <w:p w14:paraId="4F9F908B">
            <w:pPr>
              <w:pStyle w:val="121"/>
              <w:rPr>
                <w:rFonts w:ascii="Times New Roman" w:hAnsi="Times New Roman" w:eastAsia="宋体" w:cs="Times New Roman"/>
                <w:w w:val="66"/>
                <w:sz w:val="21"/>
                <w:szCs w:val="21"/>
              </w:rPr>
            </w:pPr>
          </w:p>
        </w:tc>
        <w:tc>
          <w:tcPr>
            <w:tcW w:w="465" w:type="pct"/>
            <w:noWrap/>
            <w:vAlign w:val="center"/>
          </w:tcPr>
          <w:p w14:paraId="37791231">
            <w:pPr>
              <w:pStyle w:val="121"/>
              <w:rPr>
                <w:rFonts w:ascii="Times New Roman" w:hAnsi="Times New Roman" w:eastAsia="宋体" w:cs="Times New Roman"/>
                <w:w w:val="66"/>
                <w:sz w:val="21"/>
                <w:szCs w:val="21"/>
              </w:rPr>
            </w:pPr>
          </w:p>
        </w:tc>
        <w:tc>
          <w:tcPr>
            <w:tcW w:w="523" w:type="pct"/>
            <w:noWrap/>
            <w:vAlign w:val="center"/>
          </w:tcPr>
          <w:p w14:paraId="3ABBB8A5">
            <w:pPr>
              <w:pStyle w:val="121"/>
              <w:rPr>
                <w:rFonts w:ascii="Times New Roman" w:hAnsi="Times New Roman" w:eastAsia="宋体" w:cs="Times New Roman"/>
                <w:w w:val="66"/>
                <w:sz w:val="21"/>
                <w:szCs w:val="21"/>
              </w:rPr>
            </w:pPr>
          </w:p>
        </w:tc>
      </w:tr>
      <w:tr w14:paraId="70D0D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51E690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7AAF7DB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副井石门</w:t>
            </w:r>
          </w:p>
        </w:tc>
        <w:tc>
          <w:tcPr>
            <w:tcW w:w="423" w:type="pct"/>
            <w:noWrap/>
            <w:vAlign w:val="center"/>
          </w:tcPr>
          <w:p w14:paraId="7872A7A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15.4</w:t>
            </w:r>
          </w:p>
        </w:tc>
        <w:tc>
          <w:tcPr>
            <w:tcW w:w="625" w:type="pct"/>
            <w:noWrap/>
            <w:vAlign w:val="center"/>
          </w:tcPr>
          <w:p w14:paraId="641192F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11404E9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69</w:t>
            </w:r>
          </w:p>
        </w:tc>
        <w:tc>
          <w:tcPr>
            <w:tcW w:w="465" w:type="pct"/>
            <w:noWrap/>
            <w:vAlign w:val="center"/>
          </w:tcPr>
          <w:p w14:paraId="6B140BE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93.9</w:t>
            </w:r>
          </w:p>
        </w:tc>
        <w:tc>
          <w:tcPr>
            <w:tcW w:w="465" w:type="pct"/>
            <w:noWrap/>
            <w:vAlign w:val="center"/>
          </w:tcPr>
          <w:p w14:paraId="7B18E82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4.5</w:t>
            </w:r>
          </w:p>
        </w:tc>
        <w:tc>
          <w:tcPr>
            <w:tcW w:w="523" w:type="pct"/>
            <w:noWrap/>
            <w:vAlign w:val="center"/>
          </w:tcPr>
          <w:p w14:paraId="058F984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7C18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814CB6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70CBC3E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进风井北石门</w:t>
            </w:r>
          </w:p>
        </w:tc>
        <w:tc>
          <w:tcPr>
            <w:tcW w:w="423" w:type="pct"/>
            <w:noWrap/>
            <w:vAlign w:val="center"/>
          </w:tcPr>
          <w:p w14:paraId="2084869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21.1</w:t>
            </w:r>
          </w:p>
        </w:tc>
        <w:tc>
          <w:tcPr>
            <w:tcW w:w="625" w:type="pct"/>
            <w:noWrap/>
            <w:vAlign w:val="center"/>
          </w:tcPr>
          <w:p w14:paraId="67072DD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197657D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240</w:t>
            </w:r>
          </w:p>
        </w:tc>
        <w:tc>
          <w:tcPr>
            <w:tcW w:w="465" w:type="pct"/>
            <w:noWrap/>
            <w:vAlign w:val="center"/>
          </w:tcPr>
          <w:p w14:paraId="6C14989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205.6</w:t>
            </w:r>
          </w:p>
        </w:tc>
        <w:tc>
          <w:tcPr>
            <w:tcW w:w="465" w:type="pct"/>
            <w:noWrap/>
            <w:vAlign w:val="center"/>
          </w:tcPr>
          <w:p w14:paraId="6D2DB4C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11.4</w:t>
            </w:r>
          </w:p>
        </w:tc>
        <w:tc>
          <w:tcPr>
            <w:tcW w:w="523" w:type="pct"/>
            <w:noWrap/>
            <w:vAlign w:val="center"/>
          </w:tcPr>
          <w:p w14:paraId="0D7C7EC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2E398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7B5BD8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2235BCF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进风井南石门</w:t>
            </w:r>
          </w:p>
        </w:tc>
        <w:tc>
          <w:tcPr>
            <w:tcW w:w="423" w:type="pct"/>
            <w:noWrap/>
            <w:vAlign w:val="center"/>
          </w:tcPr>
          <w:p w14:paraId="0753812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21.1</w:t>
            </w:r>
          </w:p>
        </w:tc>
        <w:tc>
          <w:tcPr>
            <w:tcW w:w="625" w:type="pct"/>
            <w:noWrap/>
            <w:vAlign w:val="center"/>
          </w:tcPr>
          <w:p w14:paraId="45B9154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6871791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240</w:t>
            </w:r>
          </w:p>
        </w:tc>
        <w:tc>
          <w:tcPr>
            <w:tcW w:w="465" w:type="pct"/>
            <w:noWrap/>
            <w:vAlign w:val="center"/>
          </w:tcPr>
          <w:p w14:paraId="643ECC3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220.8</w:t>
            </w:r>
          </w:p>
        </w:tc>
        <w:tc>
          <w:tcPr>
            <w:tcW w:w="465" w:type="pct"/>
            <w:noWrap/>
            <w:vAlign w:val="center"/>
          </w:tcPr>
          <w:p w14:paraId="582DD6B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11.4</w:t>
            </w:r>
          </w:p>
        </w:tc>
        <w:tc>
          <w:tcPr>
            <w:tcW w:w="523" w:type="pct"/>
            <w:noWrap/>
            <w:vAlign w:val="center"/>
          </w:tcPr>
          <w:p w14:paraId="7192F7C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20</w:t>
            </w:r>
          </w:p>
        </w:tc>
      </w:tr>
      <w:tr w14:paraId="2D4FE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FB2679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2A3CEF3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下盘脉外联络巷</w:t>
            </w:r>
          </w:p>
        </w:tc>
        <w:tc>
          <w:tcPr>
            <w:tcW w:w="423" w:type="pct"/>
            <w:noWrap/>
            <w:vAlign w:val="center"/>
          </w:tcPr>
          <w:p w14:paraId="03FB977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18.6</w:t>
            </w:r>
          </w:p>
        </w:tc>
        <w:tc>
          <w:tcPr>
            <w:tcW w:w="625" w:type="pct"/>
            <w:noWrap/>
            <w:vAlign w:val="center"/>
          </w:tcPr>
          <w:p w14:paraId="2C1FAB0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55F1066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105</w:t>
            </w:r>
          </w:p>
        </w:tc>
        <w:tc>
          <w:tcPr>
            <w:tcW w:w="465" w:type="pct"/>
            <w:noWrap/>
            <w:vAlign w:val="center"/>
          </w:tcPr>
          <w:p w14:paraId="1A90907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220.8</w:t>
            </w:r>
          </w:p>
        </w:tc>
        <w:tc>
          <w:tcPr>
            <w:tcW w:w="465" w:type="pct"/>
            <w:noWrap/>
            <w:vAlign w:val="center"/>
          </w:tcPr>
          <w:p w14:paraId="3702EB4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5.7</w:t>
            </w:r>
          </w:p>
        </w:tc>
        <w:tc>
          <w:tcPr>
            <w:tcW w:w="523" w:type="pct"/>
            <w:noWrap/>
            <w:vAlign w:val="center"/>
          </w:tcPr>
          <w:p w14:paraId="0609495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6148F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DA5916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1676" w:type="pct"/>
            <w:noWrap/>
            <w:vAlign w:val="center"/>
          </w:tcPr>
          <w:p w14:paraId="03C8B0F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采区进风天井联络巷</w:t>
            </w:r>
          </w:p>
        </w:tc>
        <w:tc>
          <w:tcPr>
            <w:tcW w:w="423" w:type="pct"/>
            <w:noWrap/>
            <w:vAlign w:val="center"/>
          </w:tcPr>
          <w:p w14:paraId="6953481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12.7</w:t>
            </w:r>
          </w:p>
        </w:tc>
        <w:tc>
          <w:tcPr>
            <w:tcW w:w="625" w:type="pct"/>
            <w:noWrap/>
            <w:vAlign w:val="center"/>
          </w:tcPr>
          <w:p w14:paraId="4CE5B45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23438A5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93.8</w:t>
            </w:r>
          </w:p>
        </w:tc>
        <w:tc>
          <w:tcPr>
            <w:tcW w:w="465" w:type="pct"/>
            <w:noWrap/>
            <w:vAlign w:val="center"/>
          </w:tcPr>
          <w:p w14:paraId="711E788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177.7</w:t>
            </w:r>
          </w:p>
        </w:tc>
        <w:tc>
          <w:tcPr>
            <w:tcW w:w="465" w:type="pct"/>
            <w:noWrap/>
            <w:vAlign w:val="center"/>
          </w:tcPr>
          <w:p w14:paraId="3901CB5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7.3</w:t>
            </w:r>
          </w:p>
        </w:tc>
        <w:tc>
          <w:tcPr>
            <w:tcW w:w="523" w:type="pct"/>
            <w:noWrap/>
            <w:vAlign w:val="center"/>
          </w:tcPr>
          <w:p w14:paraId="14E2F11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w:t>
            </w:r>
          </w:p>
        </w:tc>
      </w:tr>
      <w:tr w14:paraId="59B11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790939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七</w:t>
            </w:r>
          </w:p>
        </w:tc>
        <w:tc>
          <w:tcPr>
            <w:tcW w:w="1676" w:type="pct"/>
            <w:noWrap/>
            <w:vAlign w:val="center"/>
          </w:tcPr>
          <w:p w14:paraId="107A6CB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-505m运输水平</w:t>
            </w:r>
          </w:p>
        </w:tc>
        <w:tc>
          <w:tcPr>
            <w:tcW w:w="423" w:type="pct"/>
            <w:noWrap/>
            <w:vAlign w:val="center"/>
          </w:tcPr>
          <w:p w14:paraId="71627C4E">
            <w:pPr>
              <w:pStyle w:val="121"/>
              <w:rPr>
                <w:rFonts w:ascii="Times New Roman" w:hAnsi="Times New Roman" w:eastAsia="宋体" w:cs="Times New Roman"/>
                <w:w w:val="66"/>
                <w:sz w:val="21"/>
                <w:szCs w:val="21"/>
              </w:rPr>
            </w:pPr>
          </w:p>
        </w:tc>
        <w:tc>
          <w:tcPr>
            <w:tcW w:w="625" w:type="pct"/>
            <w:noWrap/>
            <w:vAlign w:val="center"/>
          </w:tcPr>
          <w:p w14:paraId="59F3F017">
            <w:pPr>
              <w:pStyle w:val="121"/>
              <w:rPr>
                <w:rFonts w:ascii="Times New Roman" w:hAnsi="Times New Roman" w:eastAsia="宋体" w:cs="Times New Roman"/>
                <w:w w:val="66"/>
                <w:sz w:val="21"/>
                <w:szCs w:val="21"/>
              </w:rPr>
            </w:pPr>
          </w:p>
        </w:tc>
        <w:tc>
          <w:tcPr>
            <w:tcW w:w="503" w:type="pct"/>
            <w:noWrap/>
            <w:vAlign w:val="center"/>
          </w:tcPr>
          <w:p w14:paraId="7E4E85B5">
            <w:pPr>
              <w:pStyle w:val="121"/>
              <w:rPr>
                <w:rFonts w:ascii="Times New Roman" w:hAnsi="Times New Roman" w:eastAsia="宋体" w:cs="Times New Roman"/>
                <w:w w:val="66"/>
                <w:sz w:val="21"/>
                <w:szCs w:val="21"/>
              </w:rPr>
            </w:pPr>
          </w:p>
        </w:tc>
        <w:tc>
          <w:tcPr>
            <w:tcW w:w="465" w:type="pct"/>
            <w:noWrap/>
            <w:vAlign w:val="center"/>
          </w:tcPr>
          <w:p w14:paraId="256C6B6A">
            <w:pPr>
              <w:pStyle w:val="121"/>
              <w:rPr>
                <w:rFonts w:ascii="Times New Roman" w:hAnsi="Times New Roman" w:eastAsia="宋体" w:cs="Times New Roman"/>
                <w:w w:val="66"/>
                <w:sz w:val="21"/>
                <w:szCs w:val="21"/>
              </w:rPr>
            </w:pPr>
          </w:p>
        </w:tc>
        <w:tc>
          <w:tcPr>
            <w:tcW w:w="465" w:type="pct"/>
            <w:noWrap/>
            <w:vAlign w:val="center"/>
          </w:tcPr>
          <w:p w14:paraId="4B618252">
            <w:pPr>
              <w:pStyle w:val="121"/>
              <w:rPr>
                <w:rFonts w:ascii="Times New Roman" w:hAnsi="Times New Roman" w:eastAsia="宋体" w:cs="Times New Roman"/>
                <w:w w:val="66"/>
                <w:sz w:val="21"/>
                <w:szCs w:val="21"/>
              </w:rPr>
            </w:pPr>
          </w:p>
        </w:tc>
        <w:tc>
          <w:tcPr>
            <w:tcW w:w="523" w:type="pct"/>
            <w:noWrap/>
            <w:vAlign w:val="center"/>
          </w:tcPr>
          <w:p w14:paraId="76D16232">
            <w:pPr>
              <w:pStyle w:val="121"/>
              <w:rPr>
                <w:rFonts w:ascii="Times New Roman" w:hAnsi="Times New Roman" w:eastAsia="宋体" w:cs="Times New Roman"/>
                <w:w w:val="66"/>
                <w:sz w:val="21"/>
                <w:szCs w:val="21"/>
              </w:rPr>
            </w:pPr>
          </w:p>
        </w:tc>
      </w:tr>
      <w:tr w14:paraId="2B324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93D28B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3A4ED3F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副井石门（东侧）</w:t>
            </w:r>
          </w:p>
        </w:tc>
        <w:tc>
          <w:tcPr>
            <w:tcW w:w="423" w:type="pct"/>
            <w:noWrap/>
            <w:vAlign w:val="center"/>
          </w:tcPr>
          <w:p w14:paraId="660FE04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13.1</w:t>
            </w:r>
          </w:p>
        </w:tc>
        <w:tc>
          <w:tcPr>
            <w:tcW w:w="625" w:type="pct"/>
            <w:noWrap/>
            <w:vAlign w:val="center"/>
          </w:tcPr>
          <w:p w14:paraId="004261F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0DB5830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8.7</w:t>
            </w:r>
          </w:p>
        </w:tc>
        <w:tc>
          <w:tcPr>
            <w:tcW w:w="465" w:type="pct"/>
            <w:noWrap/>
            <w:vAlign w:val="center"/>
          </w:tcPr>
          <w:p w14:paraId="0770307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465" w:type="pct"/>
            <w:noWrap/>
            <w:vAlign w:val="center"/>
          </w:tcPr>
          <w:p w14:paraId="75FEDD7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523" w:type="pct"/>
            <w:noWrap/>
            <w:vAlign w:val="center"/>
          </w:tcPr>
          <w:p w14:paraId="4D82BA4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1270E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406E49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577C834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副井石门（西侧）</w:t>
            </w:r>
          </w:p>
        </w:tc>
        <w:tc>
          <w:tcPr>
            <w:tcW w:w="423" w:type="pct"/>
            <w:noWrap/>
            <w:vAlign w:val="center"/>
          </w:tcPr>
          <w:p w14:paraId="626C1FE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13.1</w:t>
            </w:r>
          </w:p>
        </w:tc>
        <w:tc>
          <w:tcPr>
            <w:tcW w:w="625" w:type="pct"/>
            <w:noWrap/>
            <w:vAlign w:val="center"/>
          </w:tcPr>
          <w:p w14:paraId="1CC8C10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5CA3001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11.9</w:t>
            </w:r>
          </w:p>
        </w:tc>
        <w:tc>
          <w:tcPr>
            <w:tcW w:w="465" w:type="pct"/>
            <w:noWrap/>
            <w:vAlign w:val="center"/>
          </w:tcPr>
          <w:p w14:paraId="7448440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465" w:type="pct"/>
            <w:noWrap/>
            <w:vAlign w:val="center"/>
          </w:tcPr>
          <w:p w14:paraId="1367C00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1.0</w:t>
            </w:r>
          </w:p>
        </w:tc>
        <w:tc>
          <w:tcPr>
            <w:tcW w:w="523" w:type="pct"/>
            <w:noWrap/>
            <w:vAlign w:val="center"/>
          </w:tcPr>
          <w:p w14:paraId="0E3E989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02BF2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05D6DF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6B4F663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沿脉运输巷道</w:t>
            </w:r>
          </w:p>
        </w:tc>
        <w:tc>
          <w:tcPr>
            <w:tcW w:w="423" w:type="pct"/>
            <w:noWrap/>
            <w:vAlign w:val="center"/>
          </w:tcPr>
          <w:p w14:paraId="7EA7DF0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12.4</w:t>
            </w:r>
          </w:p>
        </w:tc>
        <w:tc>
          <w:tcPr>
            <w:tcW w:w="625" w:type="pct"/>
            <w:noWrap/>
            <w:vAlign w:val="center"/>
          </w:tcPr>
          <w:p w14:paraId="386E31A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7672FD3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30.4</w:t>
            </w:r>
          </w:p>
        </w:tc>
        <w:tc>
          <w:tcPr>
            <w:tcW w:w="465" w:type="pct"/>
            <w:noWrap/>
            <w:vAlign w:val="center"/>
          </w:tcPr>
          <w:p w14:paraId="3468763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-34.1</w:t>
            </w:r>
          </w:p>
        </w:tc>
        <w:tc>
          <w:tcPr>
            <w:tcW w:w="465" w:type="pct"/>
            <w:noWrap/>
            <w:vAlign w:val="center"/>
          </w:tcPr>
          <w:p w14:paraId="268B794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2.4</w:t>
            </w:r>
          </w:p>
        </w:tc>
        <w:tc>
          <w:tcPr>
            <w:tcW w:w="523" w:type="pct"/>
            <w:noWrap/>
            <w:vAlign w:val="center"/>
          </w:tcPr>
          <w:p w14:paraId="4FB8E1E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436E6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99A67B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338945E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穿脉运输巷道</w:t>
            </w:r>
          </w:p>
        </w:tc>
        <w:tc>
          <w:tcPr>
            <w:tcW w:w="423" w:type="pct"/>
            <w:noWrap/>
            <w:vAlign w:val="center"/>
          </w:tcPr>
          <w:p w14:paraId="280DA15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12.4</w:t>
            </w:r>
          </w:p>
        </w:tc>
        <w:tc>
          <w:tcPr>
            <w:tcW w:w="625" w:type="pct"/>
            <w:noWrap/>
            <w:vAlign w:val="center"/>
          </w:tcPr>
          <w:p w14:paraId="70E3D7C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6FD8D45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11.5</w:t>
            </w:r>
          </w:p>
        </w:tc>
        <w:tc>
          <w:tcPr>
            <w:tcW w:w="465" w:type="pct"/>
            <w:noWrap/>
            <w:vAlign w:val="center"/>
          </w:tcPr>
          <w:p w14:paraId="6C57D81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-7.7</w:t>
            </w:r>
          </w:p>
        </w:tc>
        <w:tc>
          <w:tcPr>
            <w:tcW w:w="465" w:type="pct"/>
            <w:noWrap/>
            <w:vAlign w:val="center"/>
          </w:tcPr>
          <w:p w14:paraId="010AB2C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0.9</w:t>
            </w:r>
          </w:p>
        </w:tc>
        <w:tc>
          <w:tcPr>
            <w:tcW w:w="523" w:type="pct"/>
            <w:noWrap/>
            <w:vAlign w:val="center"/>
          </w:tcPr>
          <w:p w14:paraId="1278E824">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54FA6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D471B9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1676" w:type="pct"/>
            <w:noWrap/>
            <w:vAlign w:val="center"/>
          </w:tcPr>
          <w:p w14:paraId="2BF9CCC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溜破系统回风天井联络巷</w:t>
            </w:r>
          </w:p>
        </w:tc>
        <w:tc>
          <w:tcPr>
            <w:tcW w:w="423" w:type="pct"/>
            <w:noWrap/>
            <w:vAlign w:val="center"/>
          </w:tcPr>
          <w:p w14:paraId="070B4BE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w:t>
            </w:r>
          </w:p>
        </w:tc>
        <w:tc>
          <w:tcPr>
            <w:tcW w:w="625" w:type="pct"/>
            <w:noWrap/>
            <w:vAlign w:val="center"/>
          </w:tcPr>
          <w:p w14:paraId="5136AAE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394739C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30</w:t>
            </w:r>
          </w:p>
        </w:tc>
        <w:tc>
          <w:tcPr>
            <w:tcW w:w="465" w:type="pct"/>
            <w:noWrap/>
            <w:vAlign w:val="center"/>
          </w:tcPr>
          <w:p w14:paraId="7C7F992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-8.1</w:t>
            </w:r>
          </w:p>
        </w:tc>
        <w:tc>
          <w:tcPr>
            <w:tcW w:w="465" w:type="pct"/>
            <w:noWrap/>
            <w:vAlign w:val="center"/>
          </w:tcPr>
          <w:p w14:paraId="4623203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2.4</w:t>
            </w:r>
          </w:p>
        </w:tc>
        <w:tc>
          <w:tcPr>
            <w:tcW w:w="523" w:type="pct"/>
            <w:noWrap/>
            <w:vAlign w:val="center"/>
          </w:tcPr>
          <w:p w14:paraId="4C96EC7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24569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4D94F8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八</w:t>
            </w:r>
          </w:p>
        </w:tc>
        <w:tc>
          <w:tcPr>
            <w:tcW w:w="1676" w:type="pct"/>
            <w:noWrap/>
            <w:vAlign w:val="center"/>
          </w:tcPr>
          <w:p w14:paraId="3FCB9C6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溜破系统</w:t>
            </w:r>
          </w:p>
        </w:tc>
        <w:tc>
          <w:tcPr>
            <w:tcW w:w="423" w:type="pct"/>
            <w:noWrap/>
            <w:vAlign w:val="center"/>
          </w:tcPr>
          <w:p w14:paraId="676A0A56">
            <w:pPr>
              <w:pStyle w:val="121"/>
              <w:rPr>
                <w:rFonts w:ascii="Times New Roman" w:hAnsi="Times New Roman" w:eastAsia="宋体" w:cs="Times New Roman"/>
                <w:w w:val="66"/>
                <w:sz w:val="21"/>
                <w:szCs w:val="21"/>
              </w:rPr>
            </w:pPr>
          </w:p>
        </w:tc>
        <w:tc>
          <w:tcPr>
            <w:tcW w:w="625" w:type="pct"/>
            <w:noWrap/>
            <w:vAlign w:val="center"/>
          </w:tcPr>
          <w:p w14:paraId="3AECD9CB">
            <w:pPr>
              <w:pStyle w:val="121"/>
              <w:rPr>
                <w:rFonts w:ascii="Times New Roman" w:hAnsi="Times New Roman" w:eastAsia="宋体" w:cs="Times New Roman"/>
                <w:w w:val="66"/>
                <w:sz w:val="21"/>
                <w:szCs w:val="21"/>
              </w:rPr>
            </w:pPr>
          </w:p>
        </w:tc>
        <w:tc>
          <w:tcPr>
            <w:tcW w:w="503" w:type="pct"/>
            <w:noWrap/>
            <w:vAlign w:val="center"/>
          </w:tcPr>
          <w:p w14:paraId="2B6C2467">
            <w:pPr>
              <w:pStyle w:val="121"/>
              <w:rPr>
                <w:rFonts w:ascii="Times New Roman" w:hAnsi="Times New Roman" w:eastAsia="宋体" w:cs="Times New Roman"/>
                <w:w w:val="66"/>
                <w:sz w:val="21"/>
                <w:szCs w:val="21"/>
              </w:rPr>
            </w:pPr>
          </w:p>
        </w:tc>
        <w:tc>
          <w:tcPr>
            <w:tcW w:w="465" w:type="pct"/>
            <w:noWrap/>
            <w:vAlign w:val="center"/>
          </w:tcPr>
          <w:p w14:paraId="6EBD4D38">
            <w:pPr>
              <w:pStyle w:val="121"/>
              <w:rPr>
                <w:rFonts w:ascii="Times New Roman" w:hAnsi="Times New Roman" w:eastAsia="宋体" w:cs="Times New Roman"/>
                <w:w w:val="66"/>
                <w:sz w:val="21"/>
                <w:szCs w:val="21"/>
              </w:rPr>
            </w:pPr>
          </w:p>
        </w:tc>
        <w:tc>
          <w:tcPr>
            <w:tcW w:w="465" w:type="pct"/>
            <w:noWrap/>
            <w:vAlign w:val="center"/>
          </w:tcPr>
          <w:p w14:paraId="6F485A52">
            <w:pPr>
              <w:pStyle w:val="121"/>
              <w:rPr>
                <w:rFonts w:ascii="Times New Roman" w:hAnsi="Times New Roman" w:eastAsia="宋体" w:cs="Times New Roman"/>
                <w:w w:val="66"/>
                <w:sz w:val="21"/>
                <w:szCs w:val="21"/>
              </w:rPr>
            </w:pPr>
          </w:p>
        </w:tc>
        <w:tc>
          <w:tcPr>
            <w:tcW w:w="523" w:type="pct"/>
            <w:noWrap/>
            <w:vAlign w:val="center"/>
          </w:tcPr>
          <w:p w14:paraId="45BDFB18">
            <w:pPr>
              <w:pStyle w:val="121"/>
              <w:rPr>
                <w:rFonts w:ascii="Times New Roman" w:hAnsi="Times New Roman" w:eastAsia="宋体" w:cs="Times New Roman"/>
                <w:w w:val="66"/>
                <w:sz w:val="21"/>
                <w:szCs w:val="21"/>
              </w:rPr>
            </w:pPr>
          </w:p>
        </w:tc>
      </w:tr>
      <w:tr w14:paraId="24BB6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841D67D">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w:t>
            </w:r>
          </w:p>
        </w:tc>
        <w:tc>
          <w:tcPr>
            <w:tcW w:w="1676" w:type="pct"/>
            <w:noWrap/>
            <w:vAlign w:val="center"/>
          </w:tcPr>
          <w:p w14:paraId="00CE3F06">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-565m破碎水平副井石门</w:t>
            </w:r>
          </w:p>
        </w:tc>
        <w:tc>
          <w:tcPr>
            <w:tcW w:w="423" w:type="pct"/>
            <w:noWrap/>
            <w:vAlign w:val="center"/>
          </w:tcPr>
          <w:p w14:paraId="59C67BA5">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11.9</w:t>
            </w:r>
          </w:p>
        </w:tc>
        <w:tc>
          <w:tcPr>
            <w:tcW w:w="625" w:type="pct"/>
            <w:noWrap/>
            <w:vAlign w:val="center"/>
          </w:tcPr>
          <w:p w14:paraId="585B058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36EEEC5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w:t>
            </w:r>
          </w:p>
        </w:tc>
        <w:tc>
          <w:tcPr>
            <w:tcW w:w="465" w:type="pct"/>
            <w:noWrap/>
            <w:vAlign w:val="center"/>
          </w:tcPr>
          <w:p w14:paraId="06EECF6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-2.1</w:t>
            </w:r>
          </w:p>
        </w:tc>
        <w:tc>
          <w:tcPr>
            <w:tcW w:w="465" w:type="pct"/>
            <w:noWrap/>
            <w:vAlign w:val="center"/>
          </w:tcPr>
          <w:p w14:paraId="12987D6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w:t>
            </w:r>
          </w:p>
        </w:tc>
        <w:tc>
          <w:tcPr>
            <w:tcW w:w="523" w:type="pct"/>
            <w:noWrap/>
            <w:vAlign w:val="center"/>
          </w:tcPr>
          <w:p w14:paraId="7F1005C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24D31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5AF70D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w:t>
            </w:r>
          </w:p>
        </w:tc>
        <w:tc>
          <w:tcPr>
            <w:tcW w:w="1676" w:type="pct"/>
            <w:noWrap/>
            <w:vAlign w:val="center"/>
          </w:tcPr>
          <w:p w14:paraId="768978D7">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-565m破碎水平回风联络巷</w:t>
            </w:r>
          </w:p>
        </w:tc>
        <w:tc>
          <w:tcPr>
            <w:tcW w:w="423" w:type="pct"/>
            <w:noWrap/>
            <w:vAlign w:val="center"/>
          </w:tcPr>
          <w:p w14:paraId="495A2D1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w:t>
            </w:r>
          </w:p>
        </w:tc>
        <w:tc>
          <w:tcPr>
            <w:tcW w:w="625" w:type="pct"/>
            <w:noWrap/>
            <w:vAlign w:val="center"/>
          </w:tcPr>
          <w:p w14:paraId="752F00E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274180D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12.5</w:t>
            </w:r>
          </w:p>
        </w:tc>
        <w:tc>
          <w:tcPr>
            <w:tcW w:w="465" w:type="pct"/>
            <w:noWrap/>
            <w:vAlign w:val="center"/>
          </w:tcPr>
          <w:p w14:paraId="16F9A94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-3.9</w:t>
            </w:r>
          </w:p>
        </w:tc>
        <w:tc>
          <w:tcPr>
            <w:tcW w:w="465" w:type="pct"/>
            <w:noWrap/>
            <w:vAlign w:val="center"/>
          </w:tcPr>
          <w:p w14:paraId="02DFE077">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w:t>
            </w:r>
          </w:p>
        </w:tc>
        <w:tc>
          <w:tcPr>
            <w:tcW w:w="523" w:type="pct"/>
            <w:noWrap/>
            <w:vAlign w:val="center"/>
          </w:tcPr>
          <w:p w14:paraId="61B2D64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4FAF4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17C39E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3</w:t>
            </w:r>
          </w:p>
        </w:tc>
        <w:tc>
          <w:tcPr>
            <w:tcW w:w="1676" w:type="pct"/>
            <w:noWrap/>
            <w:vAlign w:val="center"/>
          </w:tcPr>
          <w:p w14:paraId="25C5958E">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-625m皮带道水平联络巷</w:t>
            </w:r>
          </w:p>
        </w:tc>
        <w:tc>
          <w:tcPr>
            <w:tcW w:w="423" w:type="pct"/>
            <w:noWrap/>
            <w:vAlign w:val="center"/>
          </w:tcPr>
          <w:p w14:paraId="352833D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11.9</w:t>
            </w:r>
          </w:p>
        </w:tc>
        <w:tc>
          <w:tcPr>
            <w:tcW w:w="625" w:type="pct"/>
            <w:noWrap/>
            <w:vAlign w:val="center"/>
          </w:tcPr>
          <w:p w14:paraId="1C7F307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56727368">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9.2</w:t>
            </w:r>
          </w:p>
        </w:tc>
        <w:tc>
          <w:tcPr>
            <w:tcW w:w="465" w:type="pct"/>
            <w:noWrap/>
            <w:vAlign w:val="center"/>
          </w:tcPr>
          <w:p w14:paraId="7FC24F7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-1.5</w:t>
            </w:r>
          </w:p>
        </w:tc>
        <w:tc>
          <w:tcPr>
            <w:tcW w:w="465" w:type="pct"/>
            <w:noWrap/>
            <w:vAlign w:val="center"/>
          </w:tcPr>
          <w:p w14:paraId="5C70987F">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0.8</w:t>
            </w:r>
          </w:p>
        </w:tc>
        <w:tc>
          <w:tcPr>
            <w:tcW w:w="523" w:type="pct"/>
            <w:noWrap/>
            <w:vAlign w:val="center"/>
          </w:tcPr>
          <w:p w14:paraId="6697269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77CF1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26101CC">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4</w:t>
            </w:r>
          </w:p>
        </w:tc>
        <w:tc>
          <w:tcPr>
            <w:tcW w:w="1676" w:type="pct"/>
            <w:noWrap/>
            <w:vAlign w:val="center"/>
          </w:tcPr>
          <w:p w14:paraId="2E8EAF8D">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-625m皮带道水平回风联络巷</w:t>
            </w:r>
          </w:p>
        </w:tc>
        <w:tc>
          <w:tcPr>
            <w:tcW w:w="423" w:type="pct"/>
            <w:noWrap/>
            <w:vAlign w:val="center"/>
          </w:tcPr>
          <w:p w14:paraId="735A81B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w:t>
            </w:r>
          </w:p>
        </w:tc>
        <w:tc>
          <w:tcPr>
            <w:tcW w:w="625" w:type="pct"/>
            <w:noWrap/>
            <w:vAlign w:val="center"/>
          </w:tcPr>
          <w:p w14:paraId="2EA2F01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3BE0B8A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9.2</w:t>
            </w:r>
          </w:p>
        </w:tc>
        <w:tc>
          <w:tcPr>
            <w:tcW w:w="465" w:type="pct"/>
            <w:noWrap/>
            <w:vAlign w:val="center"/>
          </w:tcPr>
          <w:p w14:paraId="3717ED6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-2.5</w:t>
            </w:r>
          </w:p>
        </w:tc>
        <w:tc>
          <w:tcPr>
            <w:tcW w:w="465" w:type="pct"/>
            <w:noWrap/>
            <w:vAlign w:val="center"/>
          </w:tcPr>
          <w:p w14:paraId="2BFA638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0.8</w:t>
            </w:r>
          </w:p>
        </w:tc>
        <w:tc>
          <w:tcPr>
            <w:tcW w:w="523" w:type="pct"/>
            <w:noWrap/>
            <w:vAlign w:val="center"/>
          </w:tcPr>
          <w:p w14:paraId="3FC8075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3A155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DB6857B">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5</w:t>
            </w:r>
          </w:p>
        </w:tc>
        <w:tc>
          <w:tcPr>
            <w:tcW w:w="1676" w:type="pct"/>
            <w:noWrap/>
            <w:vAlign w:val="center"/>
          </w:tcPr>
          <w:p w14:paraId="3E2BB5FF">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-685m粉矿清理水平联络巷</w:t>
            </w:r>
          </w:p>
        </w:tc>
        <w:tc>
          <w:tcPr>
            <w:tcW w:w="423" w:type="pct"/>
            <w:noWrap/>
            <w:vAlign w:val="center"/>
          </w:tcPr>
          <w:p w14:paraId="2FE7338A">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11.9</w:t>
            </w:r>
          </w:p>
        </w:tc>
        <w:tc>
          <w:tcPr>
            <w:tcW w:w="625" w:type="pct"/>
            <w:noWrap/>
            <w:vAlign w:val="center"/>
          </w:tcPr>
          <w:p w14:paraId="47313F5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4756CE82">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8.3</w:t>
            </w:r>
          </w:p>
        </w:tc>
        <w:tc>
          <w:tcPr>
            <w:tcW w:w="465" w:type="pct"/>
            <w:noWrap/>
            <w:vAlign w:val="center"/>
          </w:tcPr>
          <w:p w14:paraId="683D2106">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-1.4</w:t>
            </w:r>
          </w:p>
        </w:tc>
        <w:tc>
          <w:tcPr>
            <w:tcW w:w="465" w:type="pct"/>
            <w:noWrap/>
            <w:vAlign w:val="center"/>
          </w:tcPr>
          <w:p w14:paraId="0C28CE2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523" w:type="pct"/>
            <w:noWrap/>
            <w:vAlign w:val="center"/>
          </w:tcPr>
          <w:p w14:paraId="147A7CE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r w14:paraId="3361B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107932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c>
          <w:tcPr>
            <w:tcW w:w="1676" w:type="pct"/>
            <w:noWrap/>
            <w:vAlign w:val="center"/>
          </w:tcPr>
          <w:p w14:paraId="7AA44A47">
            <w:pPr>
              <w:pStyle w:val="121"/>
              <w:ind w:left="-98" w:leftChars="-35" w:right="-70" w:rightChars="-25"/>
              <w:rPr>
                <w:rFonts w:ascii="Times New Roman" w:hAnsi="Times New Roman" w:eastAsia="宋体" w:cs="Times New Roman"/>
                <w:w w:val="66"/>
                <w:sz w:val="21"/>
                <w:szCs w:val="21"/>
              </w:rPr>
            </w:pPr>
            <w:r>
              <w:rPr>
                <w:rFonts w:ascii="Times New Roman" w:hAnsi="Times New Roman" w:eastAsia="宋体" w:cs="Times New Roman"/>
                <w:w w:val="66"/>
                <w:sz w:val="21"/>
                <w:szCs w:val="21"/>
              </w:rPr>
              <w:t>-685m粉矿清理水平回风联络巷</w:t>
            </w:r>
          </w:p>
        </w:tc>
        <w:tc>
          <w:tcPr>
            <w:tcW w:w="423" w:type="pct"/>
            <w:noWrap/>
            <w:vAlign w:val="center"/>
          </w:tcPr>
          <w:p w14:paraId="3E8A712E">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8.2</w:t>
            </w:r>
          </w:p>
        </w:tc>
        <w:tc>
          <w:tcPr>
            <w:tcW w:w="625" w:type="pct"/>
            <w:noWrap/>
            <w:vAlign w:val="center"/>
          </w:tcPr>
          <w:p w14:paraId="7E42D62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0.012</w:t>
            </w:r>
          </w:p>
        </w:tc>
        <w:tc>
          <w:tcPr>
            <w:tcW w:w="503" w:type="pct"/>
            <w:noWrap/>
            <w:vAlign w:val="center"/>
          </w:tcPr>
          <w:p w14:paraId="651ED130">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8.3</w:t>
            </w:r>
          </w:p>
        </w:tc>
        <w:tc>
          <w:tcPr>
            <w:tcW w:w="465" w:type="pct"/>
            <w:noWrap/>
            <w:vAlign w:val="center"/>
          </w:tcPr>
          <w:p w14:paraId="6A4C06A9">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-2.2</w:t>
            </w:r>
          </w:p>
        </w:tc>
        <w:tc>
          <w:tcPr>
            <w:tcW w:w="465" w:type="pct"/>
            <w:noWrap/>
            <w:vAlign w:val="center"/>
          </w:tcPr>
          <w:p w14:paraId="01A874A3">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0.7</w:t>
            </w:r>
          </w:p>
        </w:tc>
        <w:tc>
          <w:tcPr>
            <w:tcW w:w="523" w:type="pct"/>
            <w:noWrap/>
            <w:vAlign w:val="center"/>
          </w:tcPr>
          <w:p w14:paraId="368F52A1">
            <w:pPr>
              <w:pStyle w:val="121"/>
              <w:rPr>
                <w:rFonts w:ascii="Times New Roman" w:hAnsi="Times New Roman" w:eastAsia="宋体" w:cs="Times New Roman"/>
                <w:w w:val="66"/>
                <w:sz w:val="21"/>
                <w:szCs w:val="21"/>
              </w:rPr>
            </w:pPr>
            <w:r>
              <w:rPr>
                <w:rFonts w:ascii="Times New Roman" w:hAnsi="Times New Roman" w:eastAsia="宋体" w:cs="Times New Roman"/>
                <w:w w:val="66"/>
                <w:sz w:val="21"/>
                <w:szCs w:val="21"/>
              </w:rPr>
              <w:t>6</w:t>
            </w:r>
          </w:p>
        </w:tc>
      </w:tr>
    </w:tbl>
    <w:p w14:paraId="1C33936C">
      <w:pPr>
        <w:adjustRightInd w:val="0"/>
        <w:snapToGrid w:val="0"/>
        <w:spacing w:line="360" w:lineRule="auto"/>
        <w:ind w:firstLine="560"/>
        <w:rPr>
          <w:rFonts w:cs="Times New Roman"/>
          <w:szCs w:val="28"/>
        </w:rPr>
      </w:pPr>
    </w:p>
    <w:p w14:paraId="1387CBCA">
      <w:pPr>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表3.6-7  </w:t>
      </w:r>
      <w:r>
        <w:rPr>
          <w:rFonts w:hint="eastAsia" w:cs="Times New Roman"/>
          <w:szCs w:val="28"/>
        </w:rPr>
        <w:t>达产规模800万t/a生产初期阶段</w:t>
      </w:r>
      <w:r>
        <w:rPr>
          <w:rFonts w:asciiTheme="minorHAnsi" w:hAnsiTheme="minorHAnsi" w:eastAsiaTheme="minorEastAsia" w:cstheme="minorHAnsi"/>
          <w:szCs w:val="28"/>
        </w:rPr>
        <w:t>主要井筒、巷道风速表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3261"/>
        <w:gridCol w:w="797"/>
        <w:gridCol w:w="1172"/>
        <w:gridCol w:w="940"/>
        <w:gridCol w:w="871"/>
        <w:gridCol w:w="872"/>
        <w:gridCol w:w="992"/>
      </w:tblGrid>
      <w:tr w14:paraId="3663B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20" w:type="pct"/>
            <w:noWrap/>
            <w:vAlign w:val="center"/>
          </w:tcPr>
          <w:p w14:paraId="23EBAA92">
            <w:pPr>
              <w:pStyle w:val="121"/>
              <w:rPr>
                <w:rFonts w:ascii="Times New Roman" w:hAnsi="Times New Roman"/>
                <w:w w:val="66"/>
                <w:sz w:val="21"/>
                <w:szCs w:val="21"/>
              </w:rPr>
            </w:pPr>
            <w:r>
              <w:rPr>
                <w:rFonts w:ascii="Times New Roman" w:hAnsi="Times New Roman"/>
                <w:w w:val="66"/>
                <w:sz w:val="21"/>
                <w:szCs w:val="21"/>
              </w:rPr>
              <w:t>序号</w:t>
            </w:r>
          </w:p>
        </w:tc>
        <w:tc>
          <w:tcPr>
            <w:tcW w:w="1714" w:type="pct"/>
            <w:noWrap/>
            <w:vAlign w:val="center"/>
          </w:tcPr>
          <w:p w14:paraId="22FB7B28">
            <w:pPr>
              <w:pStyle w:val="121"/>
              <w:rPr>
                <w:rFonts w:ascii="Times New Roman" w:hAnsi="Times New Roman"/>
                <w:w w:val="66"/>
                <w:sz w:val="21"/>
                <w:szCs w:val="21"/>
              </w:rPr>
            </w:pPr>
            <w:r>
              <w:rPr>
                <w:rFonts w:ascii="Times New Roman" w:hAnsi="Times New Roman"/>
                <w:w w:val="66"/>
                <w:sz w:val="21"/>
                <w:szCs w:val="21"/>
              </w:rPr>
              <w:t>断面名称</w:t>
            </w:r>
          </w:p>
        </w:tc>
        <w:tc>
          <w:tcPr>
            <w:tcW w:w="419" w:type="pct"/>
            <w:vAlign w:val="center"/>
          </w:tcPr>
          <w:p w14:paraId="2C3E3F55">
            <w:pPr>
              <w:pStyle w:val="121"/>
              <w:rPr>
                <w:rFonts w:ascii="Times New Roman" w:hAnsi="Times New Roman"/>
                <w:w w:val="66"/>
                <w:sz w:val="21"/>
                <w:szCs w:val="21"/>
              </w:rPr>
            </w:pPr>
            <w:r>
              <w:rPr>
                <w:rFonts w:ascii="Times New Roman" w:hAnsi="Times New Roman"/>
                <w:w w:val="66"/>
                <w:sz w:val="21"/>
                <w:szCs w:val="21"/>
              </w:rPr>
              <w:t>净断面</w:t>
            </w:r>
          </w:p>
          <w:p w14:paraId="6B106FE6">
            <w:pPr>
              <w:pStyle w:val="121"/>
              <w:rPr>
                <w:rFonts w:ascii="Times New Roman" w:hAnsi="Times New Roman"/>
                <w:w w:val="66"/>
                <w:sz w:val="21"/>
                <w:szCs w:val="21"/>
              </w:rPr>
            </w:pPr>
            <w:r>
              <w:rPr>
                <w:rFonts w:ascii="Times New Roman" w:hAnsi="Times New Roman"/>
                <w:w w:val="66"/>
                <w:sz w:val="21"/>
                <w:szCs w:val="21"/>
              </w:rPr>
              <w:t>（m</w:t>
            </w:r>
            <w:r>
              <w:rPr>
                <w:rFonts w:ascii="Times New Roman" w:hAnsi="Times New Roman"/>
                <w:w w:val="66"/>
                <w:sz w:val="21"/>
                <w:szCs w:val="21"/>
                <w:vertAlign w:val="superscript"/>
              </w:rPr>
              <w:t>2</w:t>
            </w:r>
            <w:r>
              <w:rPr>
                <w:rFonts w:ascii="Times New Roman" w:hAnsi="Times New Roman"/>
                <w:w w:val="66"/>
                <w:sz w:val="21"/>
                <w:szCs w:val="21"/>
              </w:rPr>
              <w:t>）</w:t>
            </w:r>
          </w:p>
        </w:tc>
        <w:tc>
          <w:tcPr>
            <w:tcW w:w="616" w:type="pct"/>
            <w:noWrap/>
            <w:vAlign w:val="center"/>
          </w:tcPr>
          <w:p w14:paraId="0F353195">
            <w:pPr>
              <w:pStyle w:val="121"/>
              <w:rPr>
                <w:rFonts w:ascii="Times New Roman" w:hAnsi="Times New Roman"/>
                <w:w w:val="66"/>
                <w:sz w:val="21"/>
                <w:szCs w:val="21"/>
              </w:rPr>
            </w:pPr>
            <w:r>
              <w:rPr>
                <w:rFonts w:ascii="Times New Roman" w:hAnsi="Times New Roman"/>
                <w:w w:val="66"/>
                <w:sz w:val="21"/>
                <w:szCs w:val="21"/>
              </w:rPr>
              <w:t>摩阻系数</w:t>
            </w:r>
          </w:p>
          <w:p w14:paraId="06BBCA58">
            <w:pPr>
              <w:pStyle w:val="121"/>
              <w:rPr>
                <w:rFonts w:ascii="Times New Roman" w:hAnsi="Times New Roman"/>
                <w:w w:val="66"/>
                <w:sz w:val="21"/>
                <w:szCs w:val="21"/>
              </w:rPr>
            </w:pPr>
            <w:r>
              <w:rPr>
                <w:rFonts w:ascii="Times New Roman" w:hAnsi="Times New Roman"/>
                <w:w w:val="66"/>
                <w:sz w:val="21"/>
                <w:szCs w:val="21"/>
              </w:rPr>
              <w:t>（Ns</w:t>
            </w:r>
            <w:r>
              <w:rPr>
                <w:rFonts w:ascii="Times New Roman" w:hAnsi="Times New Roman"/>
                <w:w w:val="66"/>
                <w:sz w:val="21"/>
                <w:szCs w:val="21"/>
                <w:vertAlign w:val="superscript"/>
              </w:rPr>
              <w:t>2</w:t>
            </w:r>
            <w:r>
              <w:rPr>
                <w:rFonts w:ascii="Times New Roman" w:hAnsi="Times New Roman"/>
                <w:w w:val="66"/>
                <w:sz w:val="21"/>
                <w:szCs w:val="21"/>
              </w:rPr>
              <w:t>/m</w:t>
            </w:r>
            <w:r>
              <w:rPr>
                <w:rFonts w:ascii="Times New Roman" w:hAnsi="Times New Roman"/>
                <w:w w:val="66"/>
                <w:sz w:val="21"/>
                <w:szCs w:val="21"/>
                <w:vertAlign w:val="superscript"/>
              </w:rPr>
              <w:t>4</w:t>
            </w:r>
            <w:r>
              <w:rPr>
                <w:rFonts w:ascii="Times New Roman" w:hAnsi="Times New Roman"/>
                <w:w w:val="66"/>
                <w:sz w:val="21"/>
                <w:szCs w:val="21"/>
              </w:rPr>
              <w:t>）</w:t>
            </w:r>
          </w:p>
        </w:tc>
        <w:tc>
          <w:tcPr>
            <w:tcW w:w="494" w:type="pct"/>
            <w:noWrap/>
            <w:vAlign w:val="center"/>
          </w:tcPr>
          <w:p w14:paraId="6D4E41B2">
            <w:pPr>
              <w:pStyle w:val="121"/>
              <w:rPr>
                <w:rFonts w:ascii="Times New Roman" w:hAnsi="Times New Roman"/>
                <w:w w:val="66"/>
                <w:sz w:val="21"/>
                <w:szCs w:val="21"/>
              </w:rPr>
            </w:pPr>
            <w:r>
              <w:rPr>
                <w:rFonts w:ascii="Times New Roman" w:hAnsi="Times New Roman"/>
                <w:w w:val="66"/>
                <w:sz w:val="21"/>
                <w:szCs w:val="21"/>
              </w:rPr>
              <w:t>风量</w:t>
            </w:r>
          </w:p>
          <w:p w14:paraId="6E3B3E8D">
            <w:pPr>
              <w:pStyle w:val="121"/>
              <w:rPr>
                <w:rFonts w:ascii="Times New Roman" w:hAnsi="Times New Roman"/>
                <w:w w:val="66"/>
                <w:sz w:val="21"/>
                <w:szCs w:val="21"/>
              </w:rPr>
            </w:pPr>
            <w:r>
              <w:rPr>
                <w:rFonts w:ascii="Times New Roman" w:hAnsi="Times New Roman"/>
                <w:w w:val="66"/>
                <w:sz w:val="21"/>
                <w:szCs w:val="21"/>
              </w:rPr>
              <w:t>（m</w:t>
            </w:r>
            <w:r>
              <w:rPr>
                <w:rFonts w:ascii="Times New Roman" w:hAnsi="Times New Roman"/>
                <w:w w:val="66"/>
                <w:sz w:val="21"/>
                <w:szCs w:val="21"/>
                <w:vertAlign w:val="superscript"/>
              </w:rPr>
              <w:t>3</w:t>
            </w:r>
            <w:r>
              <w:rPr>
                <w:rFonts w:ascii="Times New Roman" w:hAnsi="Times New Roman"/>
                <w:w w:val="66"/>
                <w:sz w:val="21"/>
                <w:szCs w:val="21"/>
              </w:rPr>
              <w:t>/s）</w:t>
            </w:r>
          </w:p>
        </w:tc>
        <w:tc>
          <w:tcPr>
            <w:tcW w:w="458" w:type="pct"/>
            <w:vAlign w:val="center"/>
          </w:tcPr>
          <w:p w14:paraId="71DB8ED9">
            <w:pPr>
              <w:pStyle w:val="121"/>
              <w:rPr>
                <w:rFonts w:ascii="Times New Roman" w:hAnsi="Times New Roman"/>
                <w:w w:val="66"/>
                <w:sz w:val="21"/>
                <w:szCs w:val="21"/>
              </w:rPr>
            </w:pPr>
            <w:r>
              <w:rPr>
                <w:rFonts w:hint="eastAsia" w:ascii="Times New Roman" w:hAnsi="Times New Roman"/>
                <w:w w:val="66"/>
                <w:sz w:val="21"/>
                <w:szCs w:val="21"/>
              </w:rPr>
              <w:t>风压</w:t>
            </w:r>
          </w:p>
          <w:p w14:paraId="0F03FCC4">
            <w:pPr>
              <w:pStyle w:val="121"/>
              <w:rPr>
                <w:rFonts w:ascii="Times New Roman" w:hAnsi="Times New Roman"/>
                <w:w w:val="66"/>
                <w:sz w:val="21"/>
                <w:szCs w:val="21"/>
              </w:rPr>
            </w:pPr>
            <w:r>
              <w:rPr>
                <w:rFonts w:hint="eastAsia" w:ascii="Times New Roman" w:hAnsi="Times New Roman"/>
                <w:w w:val="66"/>
                <w:sz w:val="21"/>
                <w:szCs w:val="21"/>
              </w:rPr>
              <w:t>（Pa）</w:t>
            </w:r>
          </w:p>
        </w:tc>
        <w:tc>
          <w:tcPr>
            <w:tcW w:w="458" w:type="pct"/>
            <w:vAlign w:val="center"/>
          </w:tcPr>
          <w:p w14:paraId="2704AE44">
            <w:pPr>
              <w:pStyle w:val="121"/>
              <w:rPr>
                <w:rFonts w:ascii="Times New Roman" w:hAnsi="Times New Roman"/>
                <w:w w:val="66"/>
                <w:sz w:val="21"/>
                <w:szCs w:val="21"/>
              </w:rPr>
            </w:pPr>
            <w:r>
              <w:rPr>
                <w:rFonts w:ascii="Times New Roman" w:hAnsi="Times New Roman"/>
                <w:w w:val="66"/>
                <w:sz w:val="21"/>
                <w:szCs w:val="21"/>
              </w:rPr>
              <w:t>风速</w:t>
            </w:r>
          </w:p>
          <w:p w14:paraId="799E2FFB">
            <w:pPr>
              <w:pStyle w:val="121"/>
              <w:rPr>
                <w:rFonts w:ascii="Times New Roman" w:hAnsi="Times New Roman"/>
                <w:w w:val="66"/>
                <w:sz w:val="21"/>
                <w:szCs w:val="21"/>
              </w:rPr>
            </w:pPr>
            <w:r>
              <w:rPr>
                <w:rFonts w:ascii="Times New Roman" w:hAnsi="Times New Roman"/>
                <w:w w:val="66"/>
                <w:sz w:val="21"/>
                <w:szCs w:val="21"/>
              </w:rPr>
              <w:t>（m/s）</w:t>
            </w:r>
          </w:p>
        </w:tc>
        <w:tc>
          <w:tcPr>
            <w:tcW w:w="521" w:type="pct"/>
            <w:vAlign w:val="center"/>
          </w:tcPr>
          <w:p w14:paraId="44A3A2C0">
            <w:pPr>
              <w:pStyle w:val="121"/>
              <w:rPr>
                <w:rFonts w:ascii="Times New Roman" w:hAnsi="Times New Roman"/>
                <w:w w:val="66"/>
                <w:sz w:val="21"/>
                <w:szCs w:val="21"/>
              </w:rPr>
            </w:pPr>
            <w:r>
              <w:rPr>
                <w:rFonts w:ascii="Times New Roman" w:hAnsi="Times New Roman"/>
                <w:w w:val="66"/>
                <w:sz w:val="21"/>
                <w:szCs w:val="21"/>
              </w:rPr>
              <w:t>风速限值</w:t>
            </w:r>
          </w:p>
          <w:p w14:paraId="54A76F3F">
            <w:pPr>
              <w:pStyle w:val="121"/>
              <w:rPr>
                <w:rFonts w:ascii="Times New Roman" w:hAnsi="Times New Roman"/>
                <w:w w:val="66"/>
                <w:sz w:val="21"/>
                <w:szCs w:val="21"/>
              </w:rPr>
            </w:pPr>
            <w:r>
              <w:rPr>
                <w:rFonts w:ascii="Times New Roman" w:hAnsi="Times New Roman"/>
                <w:w w:val="66"/>
                <w:sz w:val="21"/>
                <w:szCs w:val="21"/>
              </w:rPr>
              <w:t>（m/s）</w:t>
            </w:r>
          </w:p>
        </w:tc>
      </w:tr>
      <w:tr w14:paraId="2CB89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ACB6A86">
            <w:pPr>
              <w:pStyle w:val="121"/>
              <w:rPr>
                <w:rFonts w:ascii="Times New Roman" w:hAnsi="Times New Roman"/>
                <w:w w:val="66"/>
                <w:sz w:val="21"/>
                <w:szCs w:val="21"/>
              </w:rPr>
            </w:pPr>
            <w:r>
              <w:rPr>
                <w:rFonts w:ascii="Times New Roman" w:hAnsi="Times New Roman"/>
                <w:w w:val="66"/>
                <w:sz w:val="21"/>
                <w:szCs w:val="21"/>
              </w:rPr>
              <w:t>一</w:t>
            </w:r>
          </w:p>
        </w:tc>
        <w:tc>
          <w:tcPr>
            <w:tcW w:w="1714" w:type="pct"/>
            <w:noWrap/>
            <w:vAlign w:val="center"/>
          </w:tcPr>
          <w:p w14:paraId="58C25791">
            <w:pPr>
              <w:pStyle w:val="121"/>
              <w:rPr>
                <w:rFonts w:ascii="Times New Roman" w:hAnsi="Times New Roman"/>
                <w:w w:val="66"/>
                <w:sz w:val="21"/>
                <w:szCs w:val="21"/>
              </w:rPr>
            </w:pPr>
            <w:r>
              <w:rPr>
                <w:rFonts w:ascii="Times New Roman" w:hAnsi="Times New Roman"/>
                <w:w w:val="66"/>
                <w:sz w:val="21"/>
                <w:szCs w:val="21"/>
              </w:rPr>
              <w:t>主要井筒</w:t>
            </w:r>
          </w:p>
        </w:tc>
        <w:tc>
          <w:tcPr>
            <w:tcW w:w="419" w:type="pct"/>
            <w:noWrap/>
            <w:vAlign w:val="center"/>
          </w:tcPr>
          <w:p w14:paraId="2E3458B6">
            <w:pPr>
              <w:pStyle w:val="121"/>
              <w:rPr>
                <w:rFonts w:ascii="Times New Roman" w:hAnsi="Times New Roman"/>
                <w:w w:val="66"/>
                <w:sz w:val="21"/>
                <w:szCs w:val="21"/>
              </w:rPr>
            </w:pPr>
          </w:p>
        </w:tc>
        <w:tc>
          <w:tcPr>
            <w:tcW w:w="616" w:type="pct"/>
            <w:noWrap/>
            <w:vAlign w:val="center"/>
          </w:tcPr>
          <w:p w14:paraId="7E3F8867">
            <w:pPr>
              <w:pStyle w:val="121"/>
              <w:rPr>
                <w:rFonts w:ascii="Times New Roman" w:hAnsi="Times New Roman"/>
                <w:w w:val="66"/>
                <w:sz w:val="21"/>
                <w:szCs w:val="21"/>
              </w:rPr>
            </w:pPr>
          </w:p>
        </w:tc>
        <w:tc>
          <w:tcPr>
            <w:tcW w:w="494" w:type="pct"/>
            <w:noWrap/>
            <w:vAlign w:val="center"/>
          </w:tcPr>
          <w:p w14:paraId="6660C449">
            <w:pPr>
              <w:pStyle w:val="121"/>
              <w:rPr>
                <w:rFonts w:ascii="Times New Roman" w:hAnsi="Times New Roman"/>
                <w:w w:val="66"/>
                <w:sz w:val="21"/>
                <w:szCs w:val="21"/>
              </w:rPr>
            </w:pPr>
          </w:p>
        </w:tc>
        <w:tc>
          <w:tcPr>
            <w:tcW w:w="458" w:type="pct"/>
            <w:noWrap/>
            <w:vAlign w:val="center"/>
          </w:tcPr>
          <w:p w14:paraId="295721E0">
            <w:pPr>
              <w:pStyle w:val="121"/>
              <w:rPr>
                <w:rFonts w:ascii="Times New Roman" w:hAnsi="Times New Roman"/>
                <w:w w:val="66"/>
                <w:sz w:val="21"/>
                <w:szCs w:val="21"/>
              </w:rPr>
            </w:pPr>
          </w:p>
        </w:tc>
        <w:tc>
          <w:tcPr>
            <w:tcW w:w="458" w:type="pct"/>
            <w:noWrap/>
            <w:vAlign w:val="center"/>
          </w:tcPr>
          <w:p w14:paraId="0EBB63CC">
            <w:pPr>
              <w:pStyle w:val="121"/>
              <w:rPr>
                <w:rFonts w:ascii="Times New Roman" w:hAnsi="Times New Roman"/>
                <w:w w:val="66"/>
                <w:sz w:val="21"/>
                <w:szCs w:val="21"/>
              </w:rPr>
            </w:pPr>
          </w:p>
        </w:tc>
        <w:tc>
          <w:tcPr>
            <w:tcW w:w="521" w:type="pct"/>
            <w:noWrap/>
            <w:vAlign w:val="center"/>
          </w:tcPr>
          <w:p w14:paraId="45F03F48">
            <w:pPr>
              <w:pStyle w:val="121"/>
              <w:rPr>
                <w:rFonts w:ascii="Times New Roman" w:hAnsi="Times New Roman"/>
                <w:w w:val="66"/>
                <w:sz w:val="21"/>
                <w:szCs w:val="21"/>
              </w:rPr>
            </w:pPr>
          </w:p>
        </w:tc>
      </w:tr>
      <w:tr w14:paraId="687D9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FFFC0B6">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5190E1D4">
            <w:pPr>
              <w:pStyle w:val="121"/>
              <w:rPr>
                <w:rFonts w:ascii="Times New Roman" w:hAnsi="Times New Roman"/>
                <w:w w:val="66"/>
                <w:sz w:val="21"/>
                <w:szCs w:val="21"/>
              </w:rPr>
            </w:pPr>
            <w:r>
              <w:rPr>
                <w:rFonts w:ascii="Times New Roman" w:hAnsi="Times New Roman"/>
                <w:w w:val="66"/>
                <w:sz w:val="21"/>
                <w:szCs w:val="21"/>
              </w:rPr>
              <w:t>副井</w:t>
            </w:r>
          </w:p>
        </w:tc>
        <w:tc>
          <w:tcPr>
            <w:tcW w:w="419" w:type="pct"/>
            <w:noWrap/>
            <w:vAlign w:val="center"/>
          </w:tcPr>
          <w:p w14:paraId="7B979C80">
            <w:pPr>
              <w:pStyle w:val="121"/>
              <w:rPr>
                <w:rFonts w:ascii="Times New Roman" w:hAnsi="Times New Roman"/>
                <w:w w:val="66"/>
                <w:sz w:val="21"/>
                <w:szCs w:val="21"/>
              </w:rPr>
            </w:pPr>
            <w:r>
              <w:rPr>
                <w:rFonts w:hint="eastAsia" w:ascii="Times New Roman" w:hAnsi="Times New Roman"/>
                <w:w w:val="66"/>
                <w:sz w:val="21"/>
                <w:szCs w:val="21"/>
              </w:rPr>
              <w:t>50.3</w:t>
            </w:r>
          </w:p>
        </w:tc>
        <w:tc>
          <w:tcPr>
            <w:tcW w:w="616" w:type="pct"/>
            <w:noWrap/>
            <w:vAlign w:val="center"/>
          </w:tcPr>
          <w:p w14:paraId="188BC105">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44789F5B">
            <w:pPr>
              <w:pStyle w:val="121"/>
              <w:rPr>
                <w:rFonts w:ascii="Times New Roman" w:hAnsi="Times New Roman"/>
                <w:w w:val="66"/>
                <w:sz w:val="21"/>
                <w:szCs w:val="21"/>
              </w:rPr>
            </w:pPr>
            <w:r>
              <w:rPr>
                <w:rFonts w:hint="eastAsia" w:ascii="Times New Roman" w:hAnsi="Times New Roman"/>
                <w:w w:val="66"/>
                <w:sz w:val="21"/>
                <w:szCs w:val="21"/>
              </w:rPr>
              <w:t>190</w:t>
            </w:r>
          </w:p>
        </w:tc>
        <w:tc>
          <w:tcPr>
            <w:tcW w:w="458" w:type="pct"/>
            <w:noWrap/>
            <w:vAlign w:val="center"/>
          </w:tcPr>
          <w:p w14:paraId="62863BED">
            <w:pPr>
              <w:pStyle w:val="121"/>
              <w:rPr>
                <w:rFonts w:ascii="Times New Roman" w:hAnsi="Times New Roman"/>
                <w:w w:val="66"/>
                <w:sz w:val="21"/>
                <w:szCs w:val="21"/>
              </w:rPr>
            </w:pPr>
            <w:r>
              <w:rPr>
                <w:rFonts w:hint="eastAsia" w:ascii="Times New Roman" w:hAnsi="Times New Roman"/>
                <w:w w:val="66"/>
                <w:sz w:val="21"/>
                <w:szCs w:val="21"/>
              </w:rPr>
              <w:t>-11.9</w:t>
            </w:r>
          </w:p>
        </w:tc>
        <w:tc>
          <w:tcPr>
            <w:tcW w:w="458" w:type="pct"/>
            <w:noWrap/>
            <w:vAlign w:val="center"/>
          </w:tcPr>
          <w:p w14:paraId="52B5D314">
            <w:pPr>
              <w:pStyle w:val="121"/>
              <w:rPr>
                <w:rFonts w:ascii="Times New Roman" w:hAnsi="Times New Roman"/>
                <w:w w:val="66"/>
                <w:sz w:val="21"/>
                <w:szCs w:val="21"/>
              </w:rPr>
            </w:pPr>
            <w:r>
              <w:rPr>
                <w:rFonts w:hint="eastAsia" w:ascii="Times New Roman" w:hAnsi="Times New Roman"/>
                <w:w w:val="66"/>
                <w:sz w:val="21"/>
                <w:szCs w:val="21"/>
              </w:rPr>
              <w:t>3.9</w:t>
            </w:r>
          </w:p>
        </w:tc>
        <w:tc>
          <w:tcPr>
            <w:tcW w:w="521" w:type="pct"/>
            <w:noWrap/>
            <w:vAlign w:val="center"/>
          </w:tcPr>
          <w:p w14:paraId="246F9A42">
            <w:pPr>
              <w:pStyle w:val="121"/>
              <w:rPr>
                <w:rFonts w:ascii="Times New Roman" w:hAnsi="Times New Roman"/>
                <w:w w:val="66"/>
                <w:sz w:val="21"/>
                <w:szCs w:val="21"/>
              </w:rPr>
            </w:pPr>
            <w:r>
              <w:rPr>
                <w:rFonts w:ascii="Times New Roman" w:hAnsi="Times New Roman"/>
                <w:w w:val="66"/>
                <w:sz w:val="21"/>
                <w:szCs w:val="21"/>
              </w:rPr>
              <w:t>8</w:t>
            </w:r>
          </w:p>
        </w:tc>
      </w:tr>
      <w:tr w14:paraId="59B30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4176CEA">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01BA2AE6">
            <w:pPr>
              <w:pStyle w:val="121"/>
              <w:rPr>
                <w:rFonts w:ascii="Times New Roman" w:hAnsi="Times New Roman"/>
                <w:w w:val="66"/>
                <w:sz w:val="21"/>
                <w:szCs w:val="21"/>
              </w:rPr>
            </w:pPr>
            <w:r>
              <w:rPr>
                <w:rFonts w:ascii="Times New Roman" w:hAnsi="Times New Roman"/>
                <w:w w:val="66"/>
                <w:sz w:val="21"/>
                <w:szCs w:val="21"/>
              </w:rPr>
              <w:t>进风井</w:t>
            </w:r>
          </w:p>
        </w:tc>
        <w:tc>
          <w:tcPr>
            <w:tcW w:w="419" w:type="pct"/>
            <w:noWrap/>
            <w:vAlign w:val="center"/>
          </w:tcPr>
          <w:p w14:paraId="1B6C985A">
            <w:pPr>
              <w:pStyle w:val="121"/>
              <w:rPr>
                <w:rFonts w:ascii="Times New Roman" w:hAnsi="Times New Roman"/>
                <w:w w:val="66"/>
                <w:sz w:val="21"/>
                <w:szCs w:val="21"/>
              </w:rPr>
            </w:pPr>
            <w:r>
              <w:rPr>
                <w:rFonts w:hint="eastAsia" w:ascii="Times New Roman" w:hAnsi="Times New Roman"/>
                <w:w w:val="66"/>
                <w:sz w:val="21"/>
                <w:szCs w:val="21"/>
              </w:rPr>
              <w:t>38.5</w:t>
            </w:r>
          </w:p>
        </w:tc>
        <w:tc>
          <w:tcPr>
            <w:tcW w:w="616" w:type="pct"/>
            <w:noWrap/>
            <w:vAlign w:val="center"/>
          </w:tcPr>
          <w:p w14:paraId="77EF3B14">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2FBA6148">
            <w:pPr>
              <w:pStyle w:val="121"/>
              <w:rPr>
                <w:rFonts w:ascii="Times New Roman" w:hAnsi="Times New Roman"/>
                <w:w w:val="66"/>
                <w:sz w:val="21"/>
                <w:szCs w:val="21"/>
              </w:rPr>
            </w:pPr>
            <w:r>
              <w:rPr>
                <w:rFonts w:hint="eastAsia" w:ascii="Times New Roman" w:hAnsi="Times New Roman"/>
                <w:w w:val="66"/>
                <w:sz w:val="21"/>
                <w:szCs w:val="21"/>
              </w:rPr>
              <w:t>480</w:t>
            </w:r>
          </w:p>
        </w:tc>
        <w:tc>
          <w:tcPr>
            <w:tcW w:w="458" w:type="pct"/>
            <w:noWrap/>
            <w:vAlign w:val="center"/>
          </w:tcPr>
          <w:p w14:paraId="1C32DA1B">
            <w:pPr>
              <w:pStyle w:val="121"/>
              <w:rPr>
                <w:rFonts w:ascii="Times New Roman" w:hAnsi="Times New Roman"/>
                <w:w w:val="66"/>
                <w:sz w:val="21"/>
                <w:szCs w:val="21"/>
              </w:rPr>
            </w:pPr>
            <w:r>
              <w:rPr>
                <w:rFonts w:hint="eastAsia" w:ascii="Times New Roman" w:hAnsi="Times New Roman"/>
                <w:w w:val="66"/>
                <w:sz w:val="21"/>
                <w:szCs w:val="21"/>
              </w:rPr>
              <w:t>-198.7</w:t>
            </w:r>
          </w:p>
        </w:tc>
        <w:tc>
          <w:tcPr>
            <w:tcW w:w="458" w:type="pct"/>
            <w:noWrap/>
            <w:vAlign w:val="center"/>
          </w:tcPr>
          <w:p w14:paraId="65E5F434">
            <w:pPr>
              <w:pStyle w:val="121"/>
              <w:rPr>
                <w:rFonts w:ascii="Times New Roman" w:hAnsi="Times New Roman"/>
                <w:w w:val="66"/>
                <w:sz w:val="21"/>
                <w:szCs w:val="21"/>
              </w:rPr>
            </w:pPr>
            <w:r>
              <w:rPr>
                <w:rFonts w:hint="eastAsia" w:ascii="Times New Roman" w:hAnsi="Times New Roman"/>
                <w:w w:val="66"/>
                <w:sz w:val="21"/>
                <w:szCs w:val="21"/>
              </w:rPr>
              <w:t>12.5</w:t>
            </w:r>
          </w:p>
        </w:tc>
        <w:tc>
          <w:tcPr>
            <w:tcW w:w="521" w:type="pct"/>
            <w:noWrap/>
            <w:vAlign w:val="center"/>
          </w:tcPr>
          <w:p w14:paraId="41D66A26">
            <w:pPr>
              <w:pStyle w:val="121"/>
              <w:rPr>
                <w:rFonts w:ascii="Times New Roman" w:hAnsi="Times New Roman"/>
                <w:w w:val="66"/>
                <w:sz w:val="21"/>
                <w:szCs w:val="21"/>
              </w:rPr>
            </w:pPr>
            <w:r>
              <w:rPr>
                <w:rFonts w:ascii="Times New Roman" w:hAnsi="Times New Roman"/>
                <w:w w:val="66"/>
                <w:sz w:val="21"/>
                <w:szCs w:val="21"/>
              </w:rPr>
              <w:t>20</w:t>
            </w:r>
          </w:p>
        </w:tc>
      </w:tr>
      <w:tr w14:paraId="3EC9C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3F731EF">
            <w:pPr>
              <w:pStyle w:val="121"/>
              <w:rPr>
                <w:rFonts w:ascii="Times New Roman" w:hAnsi="Times New Roman"/>
                <w:w w:val="66"/>
                <w:sz w:val="21"/>
                <w:szCs w:val="21"/>
              </w:rPr>
            </w:pPr>
            <w:r>
              <w:rPr>
                <w:rFonts w:ascii="Times New Roman" w:hAnsi="Times New Roman"/>
                <w:w w:val="66"/>
                <w:sz w:val="21"/>
                <w:szCs w:val="21"/>
              </w:rPr>
              <w:t>3</w:t>
            </w:r>
          </w:p>
        </w:tc>
        <w:tc>
          <w:tcPr>
            <w:tcW w:w="1714" w:type="pct"/>
            <w:noWrap/>
            <w:vAlign w:val="center"/>
          </w:tcPr>
          <w:p w14:paraId="7D4379AF">
            <w:pPr>
              <w:pStyle w:val="121"/>
              <w:rPr>
                <w:rFonts w:ascii="Times New Roman" w:hAnsi="Times New Roman"/>
                <w:w w:val="66"/>
                <w:sz w:val="21"/>
                <w:szCs w:val="21"/>
              </w:rPr>
            </w:pPr>
            <w:r>
              <w:rPr>
                <w:rFonts w:ascii="Times New Roman" w:hAnsi="Times New Roman"/>
                <w:w w:val="66"/>
                <w:sz w:val="21"/>
                <w:szCs w:val="21"/>
              </w:rPr>
              <w:t>1号回风井</w:t>
            </w:r>
          </w:p>
        </w:tc>
        <w:tc>
          <w:tcPr>
            <w:tcW w:w="419" w:type="pct"/>
            <w:noWrap/>
            <w:vAlign w:val="center"/>
          </w:tcPr>
          <w:p w14:paraId="3A692E79">
            <w:pPr>
              <w:pStyle w:val="121"/>
              <w:rPr>
                <w:rFonts w:ascii="Times New Roman" w:hAnsi="Times New Roman"/>
                <w:w w:val="66"/>
                <w:sz w:val="21"/>
                <w:szCs w:val="21"/>
              </w:rPr>
            </w:pPr>
            <w:r>
              <w:rPr>
                <w:rFonts w:hint="eastAsia" w:ascii="Times New Roman" w:hAnsi="Times New Roman"/>
                <w:w w:val="66"/>
                <w:sz w:val="21"/>
                <w:szCs w:val="21"/>
              </w:rPr>
              <w:t>33.2</w:t>
            </w:r>
          </w:p>
        </w:tc>
        <w:tc>
          <w:tcPr>
            <w:tcW w:w="616" w:type="pct"/>
            <w:noWrap/>
            <w:vAlign w:val="center"/>
          </w:tcPr>
          <w:p w14:paraId="650B8757">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0653F425">
            <w:pPr>
              <w:pStyle w:val="121"/>
              <w:rPr>
                <w:rFonts w:ascii="Times New Roman" w:hAnsi="Times New Roman"/>
                <w:w w:val="66"/>
                <w:sz w:val="21"/>
                <w:szCs w:val="21"/>
              </w:rPr>
            </w:pPr>
            <w:r>
              <w:rPr>
                <w:rFonts w:hint="eastAsia" w:ascii="Times New Roman" w:hAnsi="Times New Roman"/>
                <w:w w:val="66"/>
                <w:sz w:val="21"/>
                <w:szCs w:val="21"/>
              </w:rPr>
              <w:t>360</w:t>
            </w:r>
          </w:p>
        </w:tc>
        <w:tc>
          <w:tcPr>
            <w:tcW w:w="458" w:type="pct"/>
            <w:noWrap/>
            <w:vAlign w:val="center"/>
          </w:tcPr>
          <w:p w14:paraId="5DC9D341">
            <w:pPr>
              <w:pStyle w:val="121"/>
              <w:rPr>
                <w:rFonts w:ascii="Times New Roman" w:hAnsi="Times New Roman"/>
                <w:w w:val="66"/>
                <w:sz w:val="21"/>
                <w:szCs w:val="21"/>
              </w:rPr>
            </w:pPr>
            <w:r>
              <w:rPr>
                <w:rFonts w:hint="eastAsia" w:ascii="Times New Roman" w:hAnsi="Times New Roman"/>
                <w:w w:val="66"/>
                <w:sz w:val="21"/>
                <w:szCs w:val="21"/>
              </w:rPr>
              <w:t>427.7</w:t>
            </w:r>
          </w:p>
        </w:tc>
        <w:tc>
          <w:tcPr>
            <w:tcW w:w="458" w:type="pct"/>
            <w:noWrap/>
            <w:vAlign w:val="center"/>
          </w:tcPr>
          <w:p w14:paraId="22BA5E13">
            <w:pPr>
              <w:pStyle w:val="121"/>
              <w:rPr>
                <w:rFonts w:ascii="Times New Roman" w:hAnsi="Times New Roman"/>
                <w:w w:val="66"/>
                <w:sz w:val="21"/>
                <w:szCs w:val="21"/>
              </w:rPr>
            </w:pPr>
            <w:r>
              <w:rPr>
                <w:rFonts w:hint="eastAsia" w:ascii="Times New Roman" w:hAnsi="Times New Roman"/>
                <w:w w:val="66"/>
                <w:sz w:val="21"/>
                <w:szCs w:val="21"/>
              </w:rPr>
              <w:t>11.5</w:t>
            </w:r>
          </w:p>
        </w:tc>
        <w:tc>
          <w:tcPr>
            <w:tcW w:w="521" w:type="pct"/>
            <w:noWrap/>
            <w:vAlign w:val="center"/>
          </w:tcPr>
          <w:p w14:paraId="62B7C33C">
            <w:pPr>
              <w:pStyle w:val="121"/>
              <w:rPr>
                <w:rFonts w:ascii="Times New Roman" w:hAnsi="Times New Roman"/>
                <w:w w:val="66"/>
                <w:sz w:val="21"/>
                <w:szCs w:val="21"/>
              </w:rPr>
            </w:pPr>
            <w:r>
              <w:rPr>
                <w:rFonts w:ascii="Times New Roman" w:hAnsi="Times New Roman"/>
                <w:w w:val="66"/>
                <w:sz w:val="21"/>
                <w:szCs w:val="21"/>
              </w:rPr>
              <w:t>20</w:t>
            </w:r>
          </w:p>
        </w:tc>
      </w:tr>
      <w:tr w14:paraId="31D1B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E03496F">
            <w:pPr>
              <w:pStyle w:val="121"/>
              <w:rPr>
                <w:rFonts w:ascii="Times New Roman" w:hAnsi="Times New Roman"/>
                <w:w w:val="66"/>
                <w:sz w:val="21"/>
                <w:szCs w:val="21"/>
              </w:rPr>
            </w:pPr>
            <w:r>
              <w:rPr>
                <w:rFonts w:hint="eastAsia" w:ascii="Times New Roman" w:hAnsi="Times New Roman"/>
                <w:w w:val="66"/>
                <w:sz w:val="21"/>
                <w:szCs w:val="21"/>
              </w:rPr>
              <w:t>4</w:t>
            </w:r>
          </w:p>
        </w:tc>
        <w:tc>
          <w:tcPr>
            <w:tcW w:w="1714" w:type="pct"/>
            <w:noWrap/>
            <w:vAlign w:val="center"/>
          </w:tcPr>
          <w:p w14:paraId="3F24FD1E">
            <w:pPr>
              <w:pStyle w:val="121"/>
              <w:rPr>
                <w:rFonts w:ascii="Times New Roman" w:hAnsi="Times New Roman"/>
                <w:w w:val="66"/>
                <w:sz w:val="21"/>
                <w:szCs w:val="21"/>
              </w:rPr>
            </w:pPr>
            <w:r>
              <w:rPr>
                <w:rFonts w:hint="eastAsia" w:ascii="Times New Roman" w:hAnsi="Times New Roman"/>
                <w:w w:val="66"/>
                <w:sz w:val="21"/>
                <w:szCs w:val="21"/>
              </w:rPr>
              <w:t>2号回风井</w:t>
            </w:r>
          </w:p>
        </w:tc>
        <w:tc>
          <w:tcPr>
            <w:tcW w:w="419" w:type="pct"/>
            <w:noWrap/>
            <w:vAlign w:val="center"/>
          </w:tcPr>
          <w:p w14:paraId="293A22C2">
            <w:pPr>
              <w:pStyle w:val="121"/>
              <w:rPr>
                <w:rFonts w:ascii="Times New Roman" w:hAnsi="Times New Roman"/>
                <w:w w:val="66"/>
                <w:sz w:val="21"/>
                <w:szCs w:val="21"/>
              </w:rPr>
            </w:pPr>
            <w:r>
              <w:rPr>
                <w:rFonts w:hint="eastAsia" w:ascii="Times New Roman" w:hAnsi="Times New Roman"/>
                <w:w w:val="66"/>
                <w:sz w:val="21"/>
                <w:szCs w:val="21"/>
              </w:rPr>
              <w:t>33.2</w:t>
            </w:r>
          </w:p>
        </w:tc>
        <w:tc>
          <w:tcPr>
            <w:tcW w:w="616" w:type="pct"/>
            <w:noWrap/>
            <w:vAlign w:val="center"/>
          </w:tcPr>
          <w:p w14:paraId="5554BA0F">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2E72C3F1">
            <w:pPr>
              <w:pStyle w:val="121"/>
              <w:rPr>
                <w:rFonts w:ascii="Times New Roman" w:hAnsi="Times New Roman"/>
                <w:w w:val="66"/>
                <w:sz w:val="21"/>
                <w:szCs w:val="21"/>
              </w:rPr>
            </w:pPr>
            <w:r>
              <w:rPr>
                <w:rFonts w:hint="eastAsia" w:ascii="Times New Roman" w:hAnsi="Times New Roman"/>
                <w:w w:val="66"/>
                <w:sz w:val="21"/>
                <w:szCs w:val="21"/>
              </w:rPr>
              <w:t>310</w:t>
            </w:r>
          </w:p>
        </w:tc>
        <w:tc>
          <w:tcPr>
            <w:tcW w:w="458" w:type="pct"/>
            <w:noWrap/>
            <w:vAlign w:val="center"/>
          </w:tcPr>
          <w:p w14:paraId="03D3BD03">
            <w:pPr>
              <w:pStyle w:val="121"/>
              <w:rPr>
                <w:rFonts w:ascii="Times New Roman" w:hAnsi="Times New Roman"/>
                <w:w w:val="66"/>
                <w:sz w:val="21"/>
                <w:szCs w:val="21"/>
              </w:rPr>
            </w:pPr>
            <w:r>
              <w:rPr>
                <w:rFonts w:hint="eastAsia" w:ascii="Times New Roman" w:hAnsi="Times New Roman"/>
                <w:w w:val="66"/>
                <w:sz w:val="21"/>
                <w:szCs w:val="21"/>
              </w:rPr>
              <w:t>318.0</w:t>
            </w:r>
          </w:p>
        </w:tc>
        <w:tc>
          <w:tcPr>
            <w:tcW w:w="458" w:type="pct"/>
            <w:noWrap/>
            <w:vAlign w:val="center"/>
          </w:tcPr>
          <w:p w14:paraId="6D06C200">
            <w:pPr>
              <w:pStyle w:val="121"/>
              <w:rPr>
                <w:rFonts w:ascii="Times New Roman" w:hAnsi="Times New Roman"/>
                <w:w w:val="66"/>
                <w:sz w:val="21"/>
                <w:szCs w:val="21"/>
              </w:rPr>
            </w:pPr>
            <w:r>
              <w:rPr>
                <w:rFonts w:hint="eastAsia" w:ascii="Times New Roman" w:hAnsi="Times New Roman"/>
                <w:w w:val="66"/>
                <w:sz w:val="21"/>
                <w:szCs w:val="21"/>
              </w:rPr>
              <w:t>9.9</w:t>
            </w:r>
          </w:p>
        </w:tc>
        <w:tc>
          <w:tcPr>
            <w:tcW w:w="521" w:type="pct"/>
            <w:noWrap/>
            <w:vAlign w:val="center"/>
          </w:tcPr>
          <w:p w14:paraId="374D76C2">
            <w:pPr>
              <w:pStyle w:val="121"/>
              <w:rPr>
                <w:rFonts w:ascii="Times New Roman" w:hAnsi="Times New Roman"/>
                <w:w w:val="66"/>
                <w:sz w:val="21"/>
                <w:szCs w:val="21"/>
              </w:rPr>
            </w:pPr>
            <w:r>
              <w:rPr>
                <w:rFonts w:ascii="Times New Roman" w:hAnsi="Times New Roman"/>
                <w:w w:val="66"/>
                <w:sz w:val="21"/>
                <w:szCs w:val="21"/>
              </w:rPr>
              <w:t>20</w:t>
            </w:r>
          </w:p>
        </w:tc>
      </w:tr>
      <w:tr w14:paraId="7D9EB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509BC9A">
            <w:pPr>
              <w:pStyle w:val="121"/>
              <w:rPr>
                <w:rFonts w:ascii="Times New Roman" w:hAnsi="Times New Roman"/>
                <w:w w:val="66"/>
                <w:sz w:val="21"/>
                <w:szCs w:val="21"/>
              </w:rPr>
            </w:pPr>
            <w:r>
              <w:rPr>
                <w:rFonts w:ascii="Times New Roman" w:hAnsi="Times New Roman"/>
                <w:w w:val="66"/>
                <w:sz w:val="21"/>
                <w:szCs w:val="21"/>
              </w:rPr>
              <w:t>二</w:t>
            </w:r>
          </w:p>
        </w:tc>
        <w:tc>
          <w:tcPr>
            <w:tcW w:w="1714" w:type="pct"/>
            <w:noWrap/>
            <w:vAlign w:val="center"/>
          </w:tcPr>
          <w:p w14:paraId="71953F2D">
            <w:pPr>
              <w:pStyle w:val="121"/>
              <w:rPr>
                <w:rFonts w:ascii="Times New Roman" w:hAnsi="Times New Roman"/>
                <w:w w:val="66"/>
                <w:sz w:val="21"/>
                <w:szCs w:val="21"/>
              </w:rPr>
            </w:pPr>
            <w:r>
              <w:rPr>
                <w:rFonts w:ascii="Times New Roman" w:hAnsi="Times New Roman"/>
                <w:w w:val="66"/>
                <w:sz w:val="21"/>
                <w:szCs w:val="21"/>
              </w:rPr>
              <w:t>通风天井</w:t>
            </w:r>
          </w:p>
        </w:tc>
        <w:tc>
          <w:tcPr>
            <w:tcW w:w="419" w:type="pct"/>
            <w:noWrap/>
            <w:vAlign w:val="center"/>
          </w:tcPr>
          <w:p w14:paraId="3D6D18F8">
            <w:pPr>
              <w:pStyle w:val="121"/>
              <w:rPr>
                <w:rFonts w:ascii="Times New Roman" w:hAnsi="Times New Roman"/>
                <w:w w:val="66"/>
                <w:sz w:val="21"/>
                <w:szCs w:val="21"/>
              </w:rPr>
            </w:pPr>
          </w:p>
        </w:tc>
        <w:tc>
          <w:tcPr>
            <w:tcW w:w="616" w:type="pct"/>
            <w:noWrap/>
            <w:vAlign w:val="center"/>
          </w:tcPr>
          <w:p w14:paraId="14D1C126">
            <w:pPr>
              <w:pStyle w:val="121"/>
              <w:rPr>
                <w:rFonts w:ascii="Times New Roman" w:hAnsi="Times New Roman"/>
                <w:w w:val="66"/>
                <w:sz w:val="21"/>
                <w:szCs w:val="21"/>
              </w:rPr>
            </w:pPr>
          </w:p>
        </w:tc>
        <w:tc>
          <w:tcPr>
            <w:tcW w:w="494" w:type="pct"/>
            <w:noWrap/>
            <w:vAlign w:val="center"/>
          </w:tcPr>
          <w:p w14:paraId="4DEB81C1">
            <w:pPr>
              <w:pStyle w:val="121"/>
              <w:rPr>
                <w:rFonts w:ascii="Times New Roman" w:hAnsi="Times New Roman"/>
                <w:w w:val="66"/>
                <w:sz w:val="21"/>
                <w:szCs w:val="21"/>
              </w:rPr>
            </w:pPr>
          </w:p>
        </w:tc>
        <w:tc>
          <w:tcPr>
            <w:tcW w:w="458" w:type="pct"/>
            <w:noWrap/>
            <w:vAlign w:val="center"/>
          </w:tcPr>
          <w:p w14:paraId="5EDDB6BB">
            <w:pPr>
              <w:pStyle w:val="121"/>
              <w:rPr>
                <w:rFonts w:ascii="Times New Roman" w:hAnsi="Times New Roman"/>
                <w:w w:val="66"/>
                <w:sz w:val="21"/>
                <w:szCs w:val="21"/>
              </w:rPr>
            </w:pPr>
          </w:p>
        </w:tc>
        <w:tc>
          <w:tcPr>
            <w:tcW w:w="458" w:type="pct"/>
            <w:noWrap/>
            <w:vAlign w:val="center"/>
          </w:tcPr>
          <w:p w14:paraId="7AB81A2B">
            <w:pPr>
              <w:pStyle w:val="121"/>
              <w:rPr>
                <w:rFonts w:ascii="Times New Roman" w:hAnsi="Times New Roman"/>
                <w:w w:val="66"/>
                <w:sz w:val="21"/>
                <w:szCs w:val="21"/>
              </w:rPr>
            </w:pPr>
          </w:p>
        </w:tc>
        <w:tc>
          <w:tcPr>
            <w:tcW w:w="521" w:type="pct"/>
            <w:noWrap/>
            <w:vAlign w:val="center"/>
          </w:tcPr>
          <w:p w14:paraId="03D0D597">
            <w:pPr>
              <w:pStyle w:val="121"/>
              <w:rPr>
                <w:rFonts w:ascii="Times New Roman" w:hAnsi="Times New Roman"/>
                <w:w w:val="66"/>
                <w:sz w:val="21"/>
                <w:szCs w:val="21"/>
              </w:rPr>
            </w:pPr>
          </w:p>
        </w:tc>
      </w:tr>
      <w:tr w14:paraId="798BA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E377D30">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41CA6A16">
            <w:pPr>
              <w:pStyle w:val="121"/>
              <w:rPr>
                <w:rFonts w:ascii="Times New Roman" w:hAnsi="Times New Roman"/>
                <w:w w:val="66"/>
                <w:sz w:val="21"/>
                <w:szCs w:val="21"/>
              </w:rPr>
            </w:pPr>
            <w:r>
              <w:rPr>
                <w:rFonts w:ascii="Times New Roman" w:hAnsi="Times New Roman"/>
                <w:w w:val="66"/>
                <w:sz w:val="21"/>
                <w:szCs w:val="21"/>
              </w:rPr>
              <w:t>1号采区进风天井</w:t>
            </w:r>
          </w:p>
        </w:tc>
        <w:tc>
          <w:tcPr>
            <w:tcW w:w="419" w:type="pct"/>
            <w:noWrap/>
            <w:vAlign w:val="center"/>
          </w:tcPr>
          <w:p w14:paraId="0433027E">
            <w:pPr>
              <w:pStyle w:val="121"/>
              <w:rPr>
                <w:rFonts w:ascii="Times New Roman" w:hAnsi="Times New Roman"/>
                <w:w w:val="66"/>
                <w:sz w:val="21"/>
                <w:szCs w:val="21"/>
              </w:rPr>
            </w:pPr>
            <w:r>
              <w:rPr>
                <w:rFonts w:hint="eastAsia" w:ascii="Times New Roman" w:hAnsi="Times New Roman"/>
                <w:w w:val="66"/>
                <w:sz w:val="21"/>
                <w:szCs w:val="21"/>
              </w:rPr>
              <w:t>9.62</w:t>
            </w:r>
          </w:p>
        </w:tc>
        <w:tc>
          <w:tcPr>
            <w:tcW w:w="616" w:type="pct"/>
            <w:noWrap/>
            <w:vAlign w:val="center"/>
          </w:tcPr>
          <w:p w14:paraId="1A53637B">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0C1C3376">
            <w:pPr>
              <w:pStyle w:val="121"/>
              <w:rPr>
                <w:rFonts w:ascii="Times New Roman" w:hAnsi="Times New Roman"/>
                <w:w w:val="66"/>
                <w:sz w:val="21"/>
                <w:szCs w:val="21"/>
              </w:rPr>
            </w:pPr>
            <w:r>
              <w:rPr>
                <w:rFonts w:hint="eastAsia" w:ascii="Times New Roman" w:hAnsi="Times New Roman"/>
                <w:w w:val="66"/>
                <w:sz w:val="21"/>
                <w:szCs w:val="21"/>
              </w:rPr>
              <w:t>0</w:t>
            </w:r>
          </w:p>
        </w:tc>
        <w:tc>
          <w:tcPr>
            <w:tcW w:w="458" w:type="pct"/>
            <w:noWrap/>
            <w:vAlign w:val="center"/>
          </w:tcPr>
          <w:p w14:paraId="30EEFE2D">
            <w:pPr>
              <w:pStyle w:val="121"/>
              <w:rPr>
                <w:rFonts w:ascii="Times New Roman" w:hAnsi="Times New Roman"/>
                <w:w w:val="66"/>
                <w:sz w:val="21"/>
                <w:szCs w:val="21"/>
              </w:rPr>
            </w:pPr>
            <w:r>
              <w:rPr>
                <w:rFonts w:hint="eastAsia" w:ascii="Times New Roman" w:hAnsi="Times New Roman"/>
                <w:w w:val="66"/>
                <w:sz w:val="21"/>
                <w:szCs w:val="21"/>
              </w:rPr>
              <w:t>0</w:t>
            </w:r>
          </w:p>
        </w:tc>
        <w:tc>
          <w:tcPr>
            <w:tcW w:w="458" w:type="pct"/>
            <w:noWrap/>
            <w:vAlign w:val="center"/>
          </w:tcPr>
          <w:p w14:paraId="5B99C2B0">
            <w:pPr>
              <w:pStyle w:val="121"/>
              <w:rPr>
                <w:rFonts w:ascii="Times New Roman" w:hAnsi="Times New Roman"/>
                <w:w w:val="66"/>
                <w:sz w:val="21"/>
                <w:szCs w:val="21"/>
              </w:rPr>
            </w:pPr>
            <w:r>
              <w:rPr>
                <w:rFonts w:hint="eastAsia" w:ascii="Times New Roman" w:hAnsi="Times New Roman"/>
                <w:w w:val="66"/>
                <w:sz w:val="21"/>
                <w:szCs w:val="21"/>
              </w:rPr>
              <w:t>0</w:t>
            </w:r>
          </w:p>
        </w:tc>
        <w:tc>
          <w:tcPr>
            <w:tcW w:w="521" w:type="pct"/>
            <w:noWrap/>
            <w:vAlign w:val="center"/>
          </w:tcPr>
          <w:p w14:paraId="34CEB893">
            <w:pPr>
              <w:pStyle w:val="121"/>
              <w:rPr>
                <w:rFonts w:ascii="Times New Roman" w:hAnsi="Times New Roman"/>
                <w:w w:val="66"/>
                <w:sz w:val="21"/>
                <w:szCs w:val="21"/>
              </w:rPr>
            </w:pPr>
            <w:r>
              <w:rPr>
                <w:rFonts w:hint="eastAsia" w:ascii="Times New Roman" w:hAnsi="Times New Roman"/>
                <w:w w:val="66"/>
                <w:sz w:val="21"/>
                <w:szCs w:val="21"/>
              </w:rPr>
              <w:t>20</w:t>
            </w:r>
          </w:p>
        </w:tc>
      </w:tr>
      <w:tr w14:paraId="4DEAD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CED181E">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2EC3438A">
            <w:pPr>
              <w:pStyle w:val="121"/>
              <w:rPr>
                <w:rFonts w:ascii="Times New Roman" w:hAnsi="Times New Roman"/>
                <w:w w:val="66"/>
                <w:sz w:val="21"/>
                <w:szCs w:val="21"/>
              </w:rPr>
            </w:pPr>
            <w:r>
              <w:rPr>
                <w:rFonts w:ascii="Times New Roman" w:hAnsi="Times New Roman"/>
                <w:w w:val="66"/>
                <w:sz w:val="21"/>
                <w:szCs w:val="21"/>
              </w:rPr>
              <w:t>2号采区进风天井</w:t>
            </w:r>
          </w:p>
        </w:tc>
        <w:tc>
          <w:tcPr>
            <w:tcW w:w="419" w:type="pct"/>
            <w:noWrap/>
            <w:vAlign w:val="center"/>
          </w:tcPr>
          <w:p w14:paraId="4CDA8C02">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08B7B862">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0B294A11">
            <w:pPr>
              <w:pStyle w:val="121"/>
              <w:rPr>
                <w:rFonts w:ascii="Times New Roman" w:hAnsi="Times New Roman"/>
                <w:w w:val="66"/>
                <w:sz w:val="21"/>
                <w:szCs w:val="21"/>
              </w:rPr>
            </w:pPr>
            <w:r>
              <w:rPr>
                <w:rFonts w:hint="eastAsia" w:ascii="Times New Roman" w:hAnsi="Times New Roman"/>
                <w:w w:val="66"/>
                <w:sz w:val="21"/>
                <w:szCs w:val="21"/>
              </w:rPr>
              <w:t>17.1</w:t>
            </w:r>
          </w:p>
        </w:tc>
        <w:tc>
          <w:tcPr>
            <w:tcW w:w="458" w:type="pct"/>
            <w:noWrap/>
            <w:vAlign w:val="center"/>
          </w:tcPr>
          <w:p w14:paraId="4A0B2612">
            <w:pPr>
              <w:pStyle w:val="121"/>
              <w:rPr>
                <w:rFonts w:ascii="Times New Roman" w:hAnsi="Times New Roman"/>
                <w:w w:val="66"/>
                <w:sz w:val="21"/>
                <w:szCs w:val="21"/>
              </w:rPr>
            </w:pPr>
            <w:r>
              <w:rPr>
                <w:rFonts w:hint="eastAsia" w:ascii="Times New Roman" w:hAnsi="Times New Roman"/>
                <w:w w:val="66"/>
                <w:sz w:val="21"/>
                <w:szCs w:val="21"/>
              </w:rPr>
              <w:t>-93.0</w:t>
            </w:r>
          </w:p>
        </w:tc>
        <w:tc>
          <w:tcPr>
            <w:tcW w:w="458" w:type="pct"/>
            <w:noWrap/>
            <w:vAlign w:val="center"/>
          </w:tcPr>
          <w:p w14:paraId="28C06DB6">
            <w:pPr>
              <w:pStyle w:val="121"/>
              <w:rPr>
                <w:rFonts w:ascii="Times New Roman" w:hAnsi="Times New Roman"/>
                <w:w w:val="66"/>
                <w:sz w:val="21"/>
                <w:szCs w:val="21"/>
              </w:rPr>
            </w:pPr>
            <w:r>
              <w:rPr>
                <w:rFonts w:hint="eastAsia" w:ascii="Times New Roman" w:hAnsi="Times New Roman"/>
                <w:w w:val="66"/>
                <w:sz w:val="21"/>
                <w:szCs w:val="21"/>
              </w:rPr>
              <w:t>1.8</w:t>
            </w:r>
          </w:p>
        </w:tc>
        <w:tc>
          <w:tcPr>
            <w:tcW w:w="521" w:type="pct"/>
            <w:noWrap/>
            <w:vAlign w:val="center"/>
          </w:tcPr>
          <w:p w14:paraId="793DAB8A">
            <w:pPr>
              <w:pStyle w:val="121"/>
              <w:rPr>
                <w:rFonts w:ascii="Times New Roman" w:hAnsi="Times New Roman"/>
                <w:w w:val="66"/>
                <w:sz w:val="21"/>
                <w:szCs w:val="21"/>
              </w:rPr>
            </w:pPr>
            <w:r>
              <w:rPr>
                <w:rFonts w:hint="eastAsia" w:ascii="Times New Roman" w:hAnsi="Times New Roman"/>
                <w:w w:val="66"/>
                <w:sz w:val="21"/>
                <w:szCs w:val="21"/>
              </w:rPr>
              <w:t>20</w:t>
            </w:r>
          </w:p>
        </w:tc>
      </w:tr>
      <w:tr w14:paraId="0A41E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5669BE2">
            <w:pPr>
              <w:pStyle w:val="121"/>
              <w:rPr>
                <w:rFonts w:ascii="Times New Roman" w:hAnsi="Times New Roman"/>
                <w:w w:val="66"/>
                <w:sz w:val="21"/>
                <w:szCs w:val="21"/>
              </w:rPr>
            </w:pPr>
            <w:r>
              <w:rPr>
                <w:rFonts w:ascii="Times New Roman" w:hAnsi="Times New Roman"/>
                <w:w w:val="66"/>
                <w:sz w:val="21"/>
                <w:szCs w:val="21"/>
              </w:rPr>
              <w:t>3</w:t>
            </w:r>
          </w:p>
        </w:tc>
        <w:tc>
          <w:tcPr>
            <w:tcW w:w="1714" w:type="pct"/>
            <w:noWrap/>
            <w:vAlign w:val="center"/>
          </w:tcPr>
          <w:p w14:paraId="0C770BF7">
            <w:pPr>
              <w:pStyle w:val="121"/>
              <w:rPr>
                <w:rFonts w:ascii="Times New Roman" w:hAnsi="Times New Roman"/>
                <w:w w:val="66"/>
                <w:sz w:val="21"/>
                <w:szCs w:val="21"/>
              </w:rPr>
            </w:pPr>
            <w:r>
              <w:rPr>
                <w:rFonts w:ascii="Times New Roman" w:hAnsi="Times New Roman"/>
                <w:w w:val="66"/>
                <w:sz w:val="21"/>
                <w:szCs w:val="21"/>
              </w:rPr>
              <w:t>3号采区进风天井</w:t>
            </w:r>
          </w:p>
        </w:tc>
        <w:tc>
          <w:tcPr>
            <w:tcW w:w="419" w:type="pct"/>
            <w:noWrap/>
            <w:vAlign w:val="center"/>
          </w:tcPr>
          <w:p w14:paraId="3EA5A3C5">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5C044E2C">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2C37E100">
            <w:pPr>
              <w:pStyle w:val="121"/>
              <w:rPr>
                <w:rFonts w:ascii="Times New Roman" w:hAnsi="Times New Roman"/>
                <w:w w:val="66"/>
                <w:sz w:val="21"/>
                <w:szCs w:val="21"/>
              </w:rPr>
            </w:pPr>
            <w:r>
              <w:rPr>
                <w:rFonts w:hint="eastAsia" w:ascii="Times New Roman" w:hAnsi="Times New Roman"/>
                <w:w w:val="66"/>
                <w:sz w:val="21"/>
                <w:szCs w:val="21"/>
              </w:rPr>
              <w:t>22.9</w:t>
            </w:r>
          </w:p>
        </w:tc>
        <w:tc>
          <w:tcPr>
            <w:tcW w:w="458" w:type="pct"/>
            <w:noWrap/>
            <w:vAlign w:val="center"/>
          </w:tcPr>
          <w:p w14:paraId="76BF8FDE">
            <w:pPr>
              <w:pStyle w:val="121"/>
              <w:rPr>
                <w:rFonts w:ascii="Times New Roman" w:hAnsi="Times New Roman"/>
                <w:w w:val="66"/>
                <w:sz w:val="21"/>
                <w:szCs w:val="21"/>
              </w:rPr>
            </w:pPr>
            <w:r>
              <w:rPr>
                <w:rFonts w:hint="eastAsia" w:ascii="Times New Roman" w:hAnsi="Times New Roman"/>
                <w:w w:val="66"/>
                <w:sz w:val="21"/>
                <w:szCs w:val="21"/>
              </w:rPr>
              <w:t>-92.5</w:t>
            </w:r>
          </w:p>
        </w:tc>
        <w:tc>
          <w:tcPr>
            <w:tcW w:w="458" w:type="pct"/>
            <w:noWrap/>
            <w:vAlign w:val="center"/>
          </w:tcPr>
          <w:p w14:paraId="2DFF33CE">
            <w:pPr>
              <w:pStyle w:val="121"/>
              <w:rPr>
                <w:rFonts w:ascii="Times New Roman" w:hAnsi="Times New Roman"/>
                <w:w w:val="66"/>
                <w:sz w:val="21"/>
                <w:szCs w:val="21"/>
              </w:rPr>
            </w:pPr>
            <w:r>
              <w:rPr>
                <w:rFonts w:hint="eastAsia" w:ascii="Times New Roman" w:hAnsi="Times New Roman"/>
                <w:w w:val="66"/>
                <w:sz w:val="21"/>
                <w:szCs w:val="21"/>
              </w:rPr>
              <w:t>2.4</w:t>
            </w:r>
          </w:p>
        </w:tc>
        <w:tc>
          <w:tcPr>
            <w:tcW w:w="521" w:type="pct"/>
            <w:noWrap/>
            <w:vAlign w:val="center"/>
          </w:tcPr>
          <w:p w14:paraId="32733EED">
            <w:pPr>
              <w:pStyle w:val="121"/>
              <w:rPr>
                <w:rFonts w:ascii="Times New Roman" w:hAnsi="Times New Roman"/>
                <w:w w:val="66"/>
                <w:sz w:val="21"/>
                <w:szCs w:val="21"/>
              </w:rPr>
            </w:pPr>
            <w:r>
              <w:rPr>
                <w:rFonts w:hint="eastAsia" w:ascii="Times New Roman" w:hAnsi="Times New Roman"/>
                <w:w w:val="66"/>
                <w:sz w:val="21"/>
                <w:szCs w:val="21"/>
              </w:rPr>
              <w:t>20</w:t>
            </w:r>
          </w:p>
        </w:tc>
      </w:tr>
      <w:tr w14:paraId="6C911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CA721CD">
            <w:pPr>
              <w:pStyle w:val="121"/>
              <w:rPr>
                <w:rFonts w:ascii="Times New Roman" w:hAnsi="Times New Roman"/>
                <w:w w:val="66"/>
                <w:sz w:val="21"/>
                <w:szCs w:val="21"/>
              </w:rPr>
            </w:pPr>
            <w:r>
              <w:rPr>
                <w:rFonts w:ascii="Times New Roman" w:hAnsi="Times New Roman"/>
                <w:w w:val="66"/>
                <w:sz w:val="21"/>
                <w:szCs w:val="21"/>
              </w:rPr>
              <w:t>4</w:t>
            </w:r>
          </w:p>
        </w:tc>
        <w:tc>
          <w:tcPr>
            <w:tcW w:w="1714" w:type="pct"/>
            <w:noWrap/>
            <w:vAlign w:val="center"/>
          </w:tcPr>
          <w:p w14:paraId="52C87FF3">
            <w:pPr>
              <w:pStyle w:val="121"/>
              <w:rPr>
                <w:rFonts w:ascii="Times New Roman" w:hAnsi="Times New Roman"/>
                <w:w w:val="66"/>
                <w:sz w:val="21"/>
                <w:szCs w:val="21"/>
              </w:rPr>
            </w:pPr>
            <w:r>
              <w:rPr>
                <w:rFonts w:ascii="Times New Roman" w:hAnsi="Times New Roman"/>
                <w:w w:val="66"/>
                <w:sz w:val="21"/>
                <w:szCs w:val="21"/>
              </w:rPr>
              <w:t>4号采区进风天井</w:t>
            </w:r>
          </w:p>
        </w:tc>
        <w:tc>
          <w:tcPr>
            <w:tcW w:w="419" w:type="pct"/>
            <w:noWrap/>
            <w:vAlign w:val="center"/>
          </w:tcPr>
          <w:p w14:paraId="1568571A">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2AEE085E">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08C3CE40">
            <w:pPr>
              <w:pStyle w:val="121"/>
              <w:rPr>
                <w:rFonts w:ascii="Times New Roman" w:hAnsi="Times New Roman"/>
                <w:w w:val="66"/>
                <w:sz w:val="21"/>
                <w:szCs w:val="21"/>
              </w:rPr>
            </w:pPr>
            <w:r>
              <w:rPr>
                <w:rFonts w:hint="eastAsia" w:ascii="Times New Roman" w:hAnsi="Times New Roman"/>
                <w:w w:val="66"/>
                <w:sz w:val="21"/>
                <w:szCs w:val="21"/>
              </w:rPr>
              <w:t>70.8</w:t>
            </w:r>
          </w:p>
        </w:tc>
        <w:tc>
          <w:tcPr>
            <w:tcW w:w="458" w:type="pct"/>
            <w:noWrap/>
            <w:vAlign w:val="center"/>
          </w:tcPr>
          <w:p w14:paraId="5ACC2765">
            <w:pPr>
              <w:pStyle w:val="121"/>
              <w:rPr>
                <w:rFonts w:ascii="Times New Roman" w:hAnsi="Times New Roman"/>
                <w:w w:val="66"/>
                <w:sz w:val="21"/>
                <w:szCs w:val="21"/>
              </w:rPr>
            </w:pPr>
            <w:r>
              <w:rPr>
                <w:rFonts w:hint="eastAsia" w:ascii="Times New Roman" w:hAnsi="Times New Roman"/>
                <w:w w:val="66"/>
                <w:sz w:val="21"/>
                <w:szCs w:val="21"/>
              </w:rPr>
              <w:t>-84.9</w:t>
            </w:r>
          </w:p>
        </w:tc>
        <w:tc>
          <w:tcPr>
            <w:tcW w:w="458" w:type="pct"/>
            <w:noWrap/>
            <w:vAlign w:val="center"/>
          </w:tcPr>
          <w:p w14:paraId="651025BB">
            <w:pPr>
              <w:pStyle w:val="121"/>
              <w:rPr>
                <w:rFonts w:ascii="Times New Roman" w:hAnsi="Times New Roman"/>
                <w:w w:val="66"/>
                <w:sz w:val="21"/>
                <w:szCs w:val="21"/>
              </w:rPr>
            </w:pPr>
            <w:r>
              <w:rPr>
                <w:rFonts w:hint="eastAsia" w:ascii="Times New Roman" w:hAnsi="Times New Roman"/>
                <w:w w:val="66"/>
                <w:sz w:val="21"/>
                <w:szCs w:val="21"/>
              </w:rPr>
              <w:t>7.4</w:t>
            </w:r>
          </w:p>
        </w:tc>
        <w:tc>
          <w:tcPr>
            <w:tcW w:w="521" w:type="pct"/>
            <w:noWrap/>
            <w:vAlign w:val="center"/>
          </w:tcPr>
          <w:p w14:paraId="3784612F">
            <w:pPr>
              <w:pStyle w:val="121"/>
              <w:rPr>
                <w:rFonts w:ascii="Times New Roman" w:hAnsi="Times New Roman"/>
                <w:w w:val="66"/>
                <w:sz w:val="21"/>
                <w:szCs w:val="21"/>
              </w:rPr>
            </w:pPr>
            <w:r>
              <w:rPr>
                <w:rFonts w:hint="eastAsia" w:ascii="Times New Roman" w:hAnsi="Times New Roman"/>
                <w:w w:val="66"/>
                <w:sz w:val="21"/>
                <w:szCs w:val="21"/>
              </w:rPr>
              <w:t>20</w:t>
            </w:r>
          </w:p>
        </w:tc>
      </w:tr>
      <w:tr w14:paraId="4289C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450BC65">
            <w:pPr>
              <w:pStyle w:val="121"/>
              <w:rPr>
                <w:rFonts w:ascii="Times New Roman" w:hAnsi="Times New Roman"/>
                <w:w w:val="66"/>
                <w:sz w:val="21"/>
                <w:szCs w:val="21"/>
              </w:rPr>
            </w:pPr>
            <w:r>
              <w:rPr>
                <w:rFonts w:ascii="Times New Roman" w:hAnsi="Times New Roman"/>
                <w:w w:val="66"/>
                <w:sz w:val="21"/>
                <w:szCs w:val="21"/>
              </w:rPr>
              <w:t>5</w:t>
            </w:r>
          </w:p>
        </w:tc>
        <w:tc>
          <w:tcPr>
            <w:tcW w:w="1714" w:type="pct"/>
            <w:noWrap/>
            <w:vAlign w:val="center"/>
          </w:tcPr>
          <w:p w14:paraId="78581BDF">
            <w:pPr>
              <w:pStyle w:val="121"/>
              <w:rPr>
                <w:rFonts w:ascii="Times New Roman" w:hAnsi="Times New Roman"/>
                <w:w w:val="66"/>
                <w:sz w:val="21"/>
                <w:szCs w:val="21"/>
              </w:rPr>
            </w:pPr>
            <w:r>
              <w:rPr>
                <w:rFonts w:ascii="Times New Roman" w:hAnsi="Times New Roman"/>
                <w:w w:val="66"/>
                <w:sz w:val="21"/>
                <w:szCs w:val="21"/>
              </w:rPr>
              <w:t>5号采区进风天井</w:t>
            </w:r>
          </w:p>
        </w:tc>
        <w:tc>
          <w:tcPr>
            <w:tcW w:w="419" w:type="pct"/>
            <w:noWrap/>
            <w:vAlign w:val="center"/>
          </w:tcPr>
          <w:p w14:paraId="0A3B60F9">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68ADA996">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694FD713">
            <w:pPr>
              <w:pStyle w:val="121"/>
              <w:rPr>
                <w:rFonts w:ascii="Times New Roman" w:hAnsi="Times New Roman"/>
                <w:w w:val="66"/>
                <w:sz w:val="21"/>
                <w:szCs w:val="21"/>
              </w:rPr>
            </w:pPr>
            <w:r>
              <w:rPr>
                <w:rFonts w:hint="eastAsia" w:ascii="Times New Roman" w:hAnsi="Times New Roman"/>
                <w:w w:val="66"/>
                <w:sz w:val="21"/>
                <w:szCs w:val="21"/>
              </w:rPr>
              <w:t>82.6</w:t>
            </w:r>
          </w:p>
        </w:tc>
        <w:tc>
          <w:tcPr>
            <w:tcW w:w="458" w:type="pct"/>
            <w:noWrap/>
            <w:vAlign w:val="center"/>
          </w:tcPr>
          <w:p w14:paraId="36FAF036">
            <w:pPr>
              <w:pStyle w:val="121"/>
              <w:rPr>
                <w:rFonts w:ascii="Times New Roman" w:hAnsi="Times New Roman"/>
                <w:w w:val="66"/>
                <w:sz w:val="21"/>
                <w:szCs w:val="21"/>
              </w:rPr>
            </w:pPr>
            <w:r>
              <w:rPr>
                <w:rFonts w:hint="eastAsia" w:ascii="Times New Roman" w:hAnsi="Times New Roman"/>
                <w:w w:val="66"/>
                <w:sz w:val="21"/>
                <w:szCs w:val="21"/>
              </w:rPr>
              <w:t>-85.1</w:t>
            </w:r>
          </w:p>
        </w:tc>
        <w:tc>
          <w:tcPr>
            <w:tcW w:w="458" w:type="pct"/>
            <w:noWrap/>
            <w:vAlign w:val="center"/>
          </w:tcPr>
          <w:p w14:paraId="53DE0834">
            <w:pPr>
              <w:pStyle w:val="121"/>
              <w:rPr>
                <w:rFonts w:ascii="Times New Roman" w:hAnsi="Times New Roman"/>
                <w:w w:val="66"/>
                <w:sz w:val="21"/>
                <w:szCs w:val="21"/>
              </w:rPr>
            </w:pPr>
            <w:r>
              <w:rPr>
                <w:rFonts w:hint="eastAsia" w:ascii="Times New Roman" w:hAnsi="Times New Roman"/>
                <w:w w:val="66"/>
                <w:sz w:val="21"/>
                <w:szCs w:val="21"/>
              </w:rPr>
              <w:t>8.6</w:t>
            </w:r>
          </w:p>
        </w:tc>
        <w:tc>
          <w:tcPr>
            <w:tcW w:w="521" w:type="pct"/>
            <w:noWrap/>
            <w:vAlign w:val="center"/>
          </w:tcPr>
          <w:p w14:paraId="07EDA2C3">
            <w:pPr>
              <w:pStyle w:val="121"/>
              <w:rPr>
                <w:rFonts w:ascii="Times New Roman" w:hAnsi="Times New Roman"/>
                <w:w w:val="66"/>
                <w:sz w:val="21"/>
                <w:szCs w:val="21"/>
              </w:rPr>
            </w:pPr>
            <w:r>
              <w:rPr>
                <w:rFonts w:hint="eastAsia" w:ascii="Times New Roman" w:hAnsi="Times New Roman"/>
                <w:w w:val="66"/>
                <w:sz w:val="21"/>
                <w:szCs w:val="21"/>
              </w:rPr>
              <w:t>20</w:t>
            </w:r>
          </w:p>
        </w:tc>
      </w:tr>
      <w:tr w14:paraId="64077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BA0B68E">
            <w:pPr>
              <w:pStyle w:val="121"/>
              <w:rPr>
                <w:rFonts w:ascii="Times New Roman" w:hAnsi="Times New Roman"/>
                <w:w w:val="66"/>
                <w:sz w:val="21"/>
                <w:szCs w:val="21"/>
              </w:rPr>
            </w:pPr>
            <w:r>
              <w:rPr>
                <w:rFonts w:ascii="Times New Roman" w:hAnsi="Times New Roman"/>
                <w:w w:val="66"/>
                <w:sz w:val="21"/>
                <w:szCs w:val="21"/>
              </w:rPr>
              <w:t>6</w:t>
            </w:r>
          </w:p>
        </w:tc>
        <w:tc>
          <w:tcPr>
            <w:tcW w:w="1714" w:type="pct"/>
            <w:noWrap/>
            <w:vAlign w:val="center"/>
          </w:tcPr>
          <w:p w14:paraId="1F882EDE">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号采区进风天井</w:t>
            </w:r>
          </w:p>
        </w:tc>
        <w:tc>
          <w:tcPr>
            <w:tcW w:w="419" w:type="pct"/>
            <w:noWrap/>
            <w:vAlign w:val="center"/>
          </w:tcPr>
          <w:p w14:paraId="6F2B689E">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535B0536">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65E3D689">
            <w:pPr>
              <w:pStyle w:val="121"/>
              <w:rPr>
                <w:rFonts w:ascii="Times New Roman" w:hAnsi="Times New Roman"/>
                <w:w w:val="66"/>
                <w:sz w:val="21"/>
                <w:szCs w:val="21"/>
              </w:rPr>
            </w:pPr>
            <w:r>
              <w:rPr>
                <w:rFonts w:hint="eastAsia" w:ascii="Times New Roman" w:hAnsi="Times New Roman"/>
                <w:w w:val="66"/>
                <w:sz w:val="21"/>
                <w:szCs w:val="21"/>
              </w:rPr>
              <w:t>44.9</w:t>
            </w:r>
          </w:p>
        </w:tc>
        <w:tc>
          <w:tcPr>
            <w:tcW w:w="458" w:type="pct"/>
            <w:noWrap/>
            <w:vAlign w:val="center"/>
          </w:tcPr>
          <w:p w14:paraId="70AA3184">
            <w:pPr>
              <w:pStyle w:val="121"/>
              <w:rPr>
                <w:rFonts w:ascii="Times New Roman" w:hAnsi="Times New Roman"/>
                <w:w w:val="66"/>
                <w:sz w:val="21"/>
                <w:szCs w:val="21"/>
              </w:rPr>
            </w:pPr>
            <w:r>
              <w:rPr>
                <w:rFonts w:hint="eastAsia" w:ascii="Times New Roman" w:hAnsi="Times New Roman"/>
                <w:w w:val="66"/>
                <w:sz w:val="21"/>
                <w:szCs w:val="21"/>
              </w:rPr>
              <w:t>-94.8</w:t>
            </w:r>
          </w:p>
        </w:tc>
        <w:tc>
          <w:tcPr>
            <w:tcW w:w="458" w:type="pct"/>
            <w:noWrap/>
            <w:vAlign w:val="center"/>
          </w:tcPr>
          <w:p w14:paraId="4C3A766F">
            <w:pPr>
              <w:pStyle w:val="121"/>
              <w:rPr>
                <w:rFonts w:ascii="Times New Roman" w:hAnsi="Times New Roman"/>
                <w:w w:val="66"/>
                <w:sz w:val="21"/>
                <w:szCs w:val="21"/>
              </w:rPr>
            </w:pPr>
            <w:r>
              <w:rPr>
                <w:rFonts w:hint="eastAsia" w:ascii="Times New Roman" w:hAnsi="Times New Roman"/>
                <w:w w:val="66"/>
                <w:sz w:val="21"/>
                <w:szCs w:val="21"/>
              </w:rPr>
              <w:t>4.7</w:t>
            </w:r>
          </w:p>
        </w:tc>
        <w:tc>
          <w:tcPr>
            <w:tcW w:w="521" w:type="pct"/>
            <w:noWrap/>
            <w:vAlign w:val="center"/>
          </w:tcPr>
          <w:p w14:paraId="79DE664C">
            <w:pPr>
              <w:pStyle w:val="121"/>
              <w:rPr>
                <w:rFonts w:ascii="Times New Roman" w:hAnsi="Times New Roman"/>
                <w:w w:val="66"/>
                <w:sz w:val="21"/>
                <w:szCs w:val="21"/>
              </w:rPr>
            </w:pPr>
            <w:r>
              <w:rPr>
                <w:rFonts w:hint="eastAsia" w:ascii="Times New Roman" w:hAnsi="Times New Roman"/>
                <w:w w:val="66"/>
                <w:sz w:val="21"/>
                <w:szCs w:val="21"/>
              </w:rPr>
              <w:t>20</w:t>
            </w:r>
          </w:p>
        </w:tc>
      </w:tr>
      <w:tr w14:paraId="251C4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DDF5C24">
            <w:pPr>
              <w:pStyle w:val="121"/>
              <w:rPr>
                <w:rFonts w:ascii="Times New Roman" w:hAnsi="Times New Roman"/>
                <w:w w:val="66"/>
                <w:sz w:val="21"/>
                <w:szCs w:val="21"/>
              </w:rPr>
            </w:pPr>
            <w:r>
              <w:rPr>
                <w:rFonts w:ascii="Times New Roman" w:hAnsi="Times New Roman"/>
                <w:w w:val="66"/>
                <w:sz w:val="21"/>
                <w:szCs w:val="21"/>
              </w:rPr>
              <w:t>7</w:t>
            </w:r>
          </w:p>
        </w:tc>
        <w:tc>
          <w:tcPr>
            <w:tcW w:w="1714" w:type="pct"/>
            <w:noWrap/>
            <w:vAlign w:val="center"/>
          </w:tcPr>
          <w:p w14:paraId="4CDE8F45">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号采区进风天井</w:t>
            </w:r>
          </w:p>
        </w:tc>
        <w:tc>
          <w:tcPr>
            <w:tcW w:w="419" w:type="pct"/>
            <w:noWrap/>
            <w:vAlign w:val="center"/>
          </w:tcPr>
          <w:p w14:paraId="3DAE9CBB">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45EBF665">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0858543D">
            <w:pPr>
              <w:pStyle w:val="121"/>
              <w:rPr>
                <w:rFonts w:ascii="Times New Roman" w:hAnsi="Times New Roman"/>
                <w:w w:val="66"/>
                <w:sz w:val="21"/>
                <w:szCs w:val="21"/>
              </w:rPr>
            </w:pPr>
            <w:r>
              <w:rPr>
                <w:rFonts w:hint="eastAsia" w:ascii="Times New Roman" w:hAnsi="Times New Roman"/>
                <w:w w:val="66"/>
                <w:sz w:val="21"/>
                <w:szCs w:val="21"/>
              </w:rPr>
              <w:t>20.2</w:t>
            </w:r>
          </w:p>
        </w:tc>
        <w:tc>
          <w:tcPr>
            <w:tcW w:w="458" w:type="pct"/>
            <w:noWrap/>
            <w:vAlign w:val="center"/>
          </w:tcPr>
          <w:p w14:paraId="3FA46FF1">
            <w:pPr>
              <w:pStyle w:val="121"/>
              <w:rPr>
                <w:rFonts w:ascii="Times New Roman" w:hAnsi="Times New Roman"/>
                <w:w w:val="66"/>
                <w:sz w:val="21"/>
                <w:szCs w:val="21"/>
              </w:rPr>
            </w:pPr>
            <w:r>
              <w:rPr>
                <w:rFonts w:hint="eastAsia" w:ascii="Times New Roman" w:hAnsi="Times New Roman"/>
                <w:w w:val="66"/>
                <w:sz w:val="21"/>
                <w:szCs w:val="21"/>
              </w:rPr>
              <w:t>-101.0</w:t>
            </w:r>
          </w:p>
        </w:tc>
        <w:tc>
          <w:tcPr>
            <w:tcW w:w="458" w:type="pct"/>
            <w:noWrap/>
            <w:vAlign w:val="center"/>
          </w:tcPr>
          <w:p w14:paraId="22674AD7">
            <w:pPr>
              <w:pStyle w:val="121"/>
              <w:rPr>
                <w:rFonts w:ascii="Times New Roman" w:hAnsi="Times New Roman"/>
                <w:w w:val="66"/>
                <w:sz w:val="21"/>
                <w:szCs w:val="21"/>
              </w:rPr>
            </w:pPr>
            <w:r>
              <w:rPr>
                <w:rFonts w:hint="eastAsia" w:ascii="Times New Roman" w:hAnsi="Times New Roman"/>
                <w:w w:val="66"/>
                <w:sz w:val="21"/>
                <w:szCs w:val="21"/>
              </w:rPr>
              <w:t>2.1</w:t>
            </w:r>
          </w:p>
        </w:tc>
        <w:tc>
          <w:tcPr>
            <w:tcW w:w="521" w:type="pct"/>
            <w:noWrap/>
            <w:vAlign w:val="center"/>
          </w:tcPr>
          <w:p w14:paraId="6FAEEF39">
            <w:pPr>
              <w:pStyle w:val="121"/>
              <w:rPr>
                <w:rFonts w:ascii="Times New Roman" w:hAnsi="Times New Roman"/>
                <w:w w:val="66"/>
                <w:sz w:val="21"/>
                <w:szCs w:val="21"/>
              </w:rPr>
            </w:pPr>
            <w:r>
              <w:rPr>
                <w:rFonts w:hint="eastAsia" w:ascii="Times New Roman" w:hAnsi="Times New Roman"/>
                <w:w w:val="66"/>
                <w:sz w:val="21"/>
                <w:szCs w:val="21"/>
              </w:rPr>
              <w:t>20</w:t>
            </w:r>
          </w:p>
        </w:tc>
      </w:tr>
      <w:tr w14:paraId="1814B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885B0D8">
            <w:pPr>
              <w:pStyle w:val="121"/>
              <w:rPr>
                <w:rFonts w:ascii="Times New Roman" w:hAnsi="Times New Roman"/>
                <w:w w:val="66"/>
                <w:sz w:val="21"/>
                <w:szCs w:val="21"/>
              </w:rPr>
            </w:pPr>
            <w:r>
              <w:rPr>
                <w:rFonts w:ascii="Times New Roman" w:hAnsi="Times New Roman"/>
                <w:w w:val="66"/>
                <w:sz w:val="21"/>
                <w:szCs w:val="21"/>
              </w:rPr>
              <w:t>8</w:t>
            </w:r>
          </w:p>
        </w:tc>
        <w:tc>
          <w:tcPr>
            <w:tcW w:w="1714" w:type="pct"/>
            <w:noWrap/>
            <w:vAlign w:val="center"/>
          </w:tcPr>
          <w:p w14:paraId="4BDE326C">
            <w:pPr>
              <w:pStyle w:val="121"/>
              <w:rPr>
                <w:rFonts w:ascii="Times New Roman" w:hAnsi="Times New Roman"/>
                <w:w w:val="66"/>
                <w:sz w:val="21"/>
                <w:szCs w:val="21"/>
              </w:rPr>
            </w:pPr>
            <w:r>
              <w:rPr>
                <w:rFonts w:ascii="Times New Roman" w:hAnsi="Times New Roman"/>
                <w:w w:val="66"/>
                <w:sz w:val="21"/>
                <w:szCs w:val="21"/>
              </w:rPr>
              <w:t>1号采区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30175D24">
            <w:pPr>
              <w:pStyle w:val="121"/>
              <w:rPr>
                <w:rFonts w:ascii="Times New Roman" w:hAnsi="Times New Roman"/>
                <w:w w:val="66"/>
                <w:sz w:val="21"/>
                <w:szCs w:val="21"/>
              </w:rPr>
            </w:pPr>
            <w:r>
              <w:rPr>
                <w:rFonts w:hint="eastAsia" w:ascii="Times New Roman" w:hAnsi="Times New Roman"/>
                <w:w w:val="66"/>
                <w:sz w:val="21"/>
                <w:szCs w:val="21"/>
              </w:rPr>
              <w:t>12.56</w:t>
            </w:r>
          </w:p>
        </w:tc>
        <w:tc>
          <w:tcPr>
            <w:tcW w:w="616" w:type="pct"/>
            <w:noWrap/>
            <w:vAlign w:val="center"/>
          </w:tcPr>
          <w:p w14:paraId="0B1C9303">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62409282">
            <w:pPr>
              <w:pStyle w:val="121"/>
              <w:rPr>
                <w:rFonts w:ascii="Times New Roman" w:hAnsi="Times New Roman"/>
                <w:w w:val="66"/>
                <w:sz w:val="21"/>
                <w:szCs w:val="21"/>
              </w:rPr>
            </w:pPr>
            <w:r>
              <w:rPr>
                <w:rFonts w:hint="eastAsia" w:ascii="Times New Roman" w:hAnsi="Times New Roman"/>
                <w:w w:val="66"/>
                <w:sz w:val="21"/>
                <w:szCs w:val="21"/>
              </w:rPr>
              <w:t>53.8</w:t>
            </w:r>
          </w:p>
        </w:tc>
        <w:tc>
          <w:tcPr>
            <w:tcW w:w="458" w:type="pct"/>
            <w:noWrap/>
            <w:vAlign w:val="center"/>
          </w:tcPr>
          <w:p w14:paraId="62417CCF">
            <w:pPr>
              <w:pStyle w:val="121"/>
              <w:rPr>
                <w:rFonts w:ascii="Times New Roman" w:hAnsi="Times New Roman"/>
                <w:w w:val="66"/>
                <w:sz w:val="21"/>
                <w:szCs w:val="21"/>
              </w:rPr>
            </w:pPr>
            <w:r>
              <w:rPr>
                <w:rFonts w:hint="eastAsia" w:ascii="Times New Roman" w:hAnsi="Times New Roman"/>
                <w:w w:val="66"/>
                <w:sz w:val="21"/>
                <w:szCs w:val="21"/>
              </w:rPr>
              <w:t>-147.7</w:t>
            </w:r>
          </w:p>
        </w:tc>
        <w:tc>
          <w:tcPr>
            <w:tcW w:w="458" w:type="pct"/>
            <w:noWrap/>
            <w:vAlign w:val="center"/>
          </w:tcPr>
          <w:p w14:paraId="055E0D82">
            <w:pPr>
              <w:pStyle w:val="121"/>
              <w:rPr>
                <w:rFonts w:ascii="Times New Roman" w:hAnsi="Times New Roman"/>
                <w:w w:val="66"/>
                <w:sz w:val="21"/>
                <w:szCs w:val="21"/>
              </w:rPr>
            </w:pPr>
            <w:r>
              <w:rPr>
                <w:rFonts w:hint="eastAsia" w:ascii="Times New Roman" w:hAnsi="Times New Roman"/>
                <w:w w:val="66"/>
                <w:sz w:val="21"/>
                <w:szCs w:val="21"/>
              </w:rPr>
              <w:t>6.9</w:t>
            </w:r>
          </w:p>
        </w:tc>
        <w:tc>
          <w:tcPr>
            <w:tcW w:w="521" w:type="pct"/>
            <w:noWrap/>
            <w:vAlign w:val="center"/>
          </w:tcPr>
          <w:p w14:paraId="0438F4D2">
            <w:pPr>
              <w:pStyle w:val="121"/>
              <w:rPr>
                <w:rFonts w:ascii="Times New Roman" w:hAnsi="Times New Roman"/>
                <w:w w:val="66"/>
                <w:sz w:val="21"/>
                <w:szCs w:val="21"/>
              </w:rPr>
            </w:pPr>
            <w:r>
              <w:rPr>
                <w:rFonts w:hint="eastAsia" w:ascii="Times New Roman" w:hAnsi="Times New Roman"/>
                <w:w w:val="66"/>
                <w:sz w:val="21"/>
                <w:szCs w:val="21"/>
              </w:rPr>
              <w:t>20</w:t>
            </w:r>
          </w:p>
        </w:tc>
      </w:tr>
      <w:tr w14:paraId="4AE34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F00C011">
            <w:pPr>
              <w:pStyle w:val="121"/>
              <w:rPr>
                <w:rFonts w:ascii="Times New Roman" w:hAnsi="Times New Roman"/>
                <w:w w:val="66"/>
                <w:sz w:val="21"/>
                <w:szCs w:val="21"/>
              </w:rPr>
            </w:pPr>
            <w:r>
              <w:rPr>
                <w:rFonts w:hint="eastAsia" w:ascii="Times New Roman" w:hAnsi="Times New Roman"/>
                <w:w w:val="66"/>
                <w:sz w:val="21"/>
                <w:szCs w:val="21"/>
              </w:rPr>
              <w:t>9</w:t>
            </w:r>
          </w:p>
        </w:tc>
        <w:tc>
          <w:tcPr>
            <w:tcW w:w="1714" w:type="pct"/>
            <w:noWrap/>
            <w:vAlign w:val="center"/>
          </w:tcPr>
          <w:p w14:paraId="0AD5359A">
            <w:pPr>
              <w:pStyle w:val="121"/>
              <w:rPr>
                <w:rFonts w:ascii="Times New Roman" w:hAnsi="Times New Roman"/>
                <w:w w:val="66"/>
                <w:sz w:val="21"/>
                <w:szCs w:val="21"/>
              </w:rPr>
            </w:pPr>
            <w:r>
              <w:rPr>
                <w:rFonts w:ascii="Times New Roman" w:hAnsi="Times New Roman"/>
                <w:w w:val="66"/>
                <w:sz w:val="21"/>
                <w:szCs w:val="21"/>
              </w:rPr>
              <w:t>1号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3E754325">
            <w:pPr>
              <w:pStyle w:val="121"/>
              <w:rPr>
                <w:rFonts w:ascii="Times New Roman" w:hAnsi="Times New Roman"/>
                <w:w w:val="66"/>
                <w:sz w:val="21"/>
                <w:szCs w:val="21"/>
              </w:rPr>
            </w:pPr>
            <w:r>
              <w:rPr>
                <w:rFonts w:hint="eastAsia" w:ascii="Times New Roman" w:hAnsi="Times New Roman"/>
                <w:w w:val="66"/>
                <w:sz w:val="21"/>
                <w:szCs w:val="21"/>
              </w:rPr>
              <w:t>12.56</w:t>
            </w:r>
          </w:p>
        </w:tc>
        <w:tc>
          <w:tcPr>
            <w:tcW w:w="616" w:type="pct"/>
            <w:noWrap/>
            <w:vAlign w:val="center"/>
          </w:tcPr>
          <w:p w14:paraId="431F40EB">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210A4A9E">
            <w:pPr>
              <w:pStyle w:val="121"/>
              <w:rPr>
                <w:rFonts w:ascii="Times New Roman" w:hAnsi="Times New Roman"/>
                <w:w w:val="66"/>
                <w:sz w:val="21"/>
                <w:szCs w:val="21"/>
              </w:rPr>
            </w:pPr>
            <w:r>
              <w:rPr>
                <w:rFonts w:hint="eastAsia" w:ascii="Times New Roman" w:hAnsi="Times New Roman"/>
                <w:w w:val="66"/>
                <w:sz w:val="21"/>
                <w:szCs w:val="21"/>
              </w:rPr>
              <w:t>63.8</w:t>
            </w:r>
          </w:p>
        </w:tc>
        <w:tc>
          <w:tcPr>
            <w:tcW w:w="458" w:type="pct"/>
            <w:noWrap/>
            <w:vAlign w:val="center"/>
          </w:tcPr>
          <w:p w14:paraId="22DD61AC">
            <w:pPr>
              <w:pStyle w:val="121"/>
              <w:rPr>
                <w:rFonts w:ascii="Times New Roman" w:hAnsi="Times New Roman"/>
                <w:w w:val="66"/>
                <w:sz w:val="21"/>
                <w:szCs w:val="21"/>
              </w:rPr>
            </w:pPr>
            <w:r>
              <w:rPr>
                <w:rFonts w:hint="eastAsia" w:ascii="Times New Roman" w:hAnsi="Times New Roman"/>
                <w:w w:val="66"/>
                <w:sz w:val="21"/>
                <w:szCs w:val="21"/>
              </w:rPr>
              <w:t>-214.5</w:t>
            </w:r>
          </w:p>
        </w:tc>
        <w:tc>
          <w:tcPr>
            <w:tcW w:w="458" w:type="pct"/>
            <w:noWrap/>
            <w:vAlign w:val="center"/>
          </w:tcPr>
          <w:p w14:paraId="21F8C7E5">
            <w:pPr>
              <w:pStyle w:val="121"/>
              <w:rPr>
                <w:rFonts w:ascii="Times New Roman" w:hAnsi="Times New Roman"/>
                <w:w w:val="66"/>
                <w:sz w:val="21"/>
                <w:szCs w:val="21"/>
              </w:rPr>
            </w:pPr>
            <w:r>
              <w:rPr>
                <w:rFonts w:hint="eastAsia" w:ascii="Times New Roman" w:hAnsi="Times New Roman"/>
                <w:w w:val="66"/>
                <w:sz w:val="21"/>
                <w:szCs w:val="21"/>
              </w:rPr>
              <w:t>5.1</w:t>
            </w:r>
          </w:p>
        </w:tc>
        <w:tc>
          <w:tcPr>
            <w:tcW w:w="521" w:type="pct"/>
            <w:noWrap/>
            <w:vAlign w:val="center"/>
          </w:tcPr>
          <w:p w14:paraId="60196FCF">
            <w:pPr>
              <w:pStyle w:val="121"/>
              <w:rPr>
                <w:rFonts w:ascii="Times New Roman" w:hAnsi="Times New Roman"/>
                <w:w w:val="66"/>
                <w:sz w:val="21"/>
                <w:szCs w:val="21"/>
              </w:rPr>
            </w:pPr>
            <w:r>
              <w:rPr>
                <w:rFonts w:hint="eastAsia" w:ascii="Times New Roman" w:hAnsi="Times New Roman"/>
                <w:w w:val="66"/>
                <w:sz w:val="21"/>
                <w:szCs w:val="21"/>
              </w:rPr>
              <w:t>20</w:t>
            </w:r>
          </w:p>
        </w:tc>
      </w:tr>
      <w:tr w14:paraId="3C2F1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D19CC3C">
            <w:pPr>
              <w:pStyle w:val="121"/>
              <w:rPr>
                <w:rFonts w:ascii="Times New Roman" w:hAnsi="Times New Roman"/>
                <w:w w:val="66"/>
                <w:sz w:val="21"/>
                <w:szCs w:val="21"/>
              </w:rPr>
            </w:pPr>
            <w:r>
              <w:rPr>
                <w:rFonts w:hint="eastAsia" w:ascii="Times New Roman" w:hAnsi="Times New Roman"/>
                <w:w w:val="66"/>
                <w:sz w:val="21"/>
                <w:szCs w:val="21"/>
              </w:rPr>
              <w:t>10</w:t>
            </w:r>
          </w:p>
        </w:tc>
        <w:tc>
          <w:tcPr>
            <w:tcW w:w="1714" w:type="pct"/>
            <w:noWrap/>
            <w:vAlign w:val="center"/>
          </w:tcPr>
          <w:p w14:paraId="31BCC8EE">
            <w:pPr>
              <w:pStyle w:val="121"/>
              <w:rPr>
                <w:rFonts w:ascii="Times New Roman" w:hAnsi="Times New Roman"/>
                <w:w w:val="66"/>
                <w:sz w:val="21"/>
                <w:szCs w:val="21"/>
              </w:rPr>
            </w:pPr>
            <w:r>
              <w:rPr>
                <w:rFonts w:ascii="Times New Roman" w:hAnsi="Times New Roman"/>
                <w:w w:val="66"/>
                <w:sz w:val="21"/>
                <w:szCs w:val="21"/>
              </w:rPr>
              <w:t>2号采区回风天井</w:t>
            </w:r>
          </w:p>
        </w:tc>
        <w:tc>
          <w:tcPr>
            <w:tcW w:w="419" w:type="pct"/>
            <w:noWrap/>
            <w:vAlign w:val="center"/>
          </w:tcPr>
          <w:p w14:paraId="4FE4692D">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0D5E4373">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744E3E3C">
            <w:pPr>
              <w:pStyle w:val="121"/>
              <w:rPr>
                <w:rFonts w:ascii="Times New Roman" w:hAnsi="Times New Roman"/>
                <w:w w:val="66"/>
                <w:sz w:val="21"/>
                <w:szCs w:val="21"/>
              </w:rPr>
            </w:pPr>
            <w:r>
              <w:rPr>
                <w:rFonts w:hint="eastAsia" w:ascii="Times New Roman" w:hAnsi="Times New Roman"/>
                <w:w w:val="66"/>
                <w:sz w:val="21"/>
                <w:szCs w:val="21"/>
              </w:rPr>
              <w:t>67.2</w:t>
            </w:r>
          </w:p>
        </w:tc>
        <w:tc>
          <w:tcPr>
            <w:tcW w:w="458" w:type="pct"/>
            <w:noWrap/>
            <w:vAlign w:val="center"/>
          </w:tcPr>
          <w:p w14:paraId="78B66B1F">
            <w:pPr>
              <w:pStyle w:val="121"/>
              <w:rPr>
                <w:rFonts w:ascii="Times New Roman" w:hAnsi="Times New Roman"/>
                <w:w w:val="66"/>
                <w:sz w:val="21"/>
                <w:szCs w:val="21"/>
              </w:rPr>
            </w:pPr>
            <w:r>
              <w:rPr>
                <w:rFonts w:hint="eastAsia" w:ascii="Times New Roman" w:hAnsi="Times New Roman"/>
                <w:w w:val="66"/>
                <w:sz w:val="21"/>
                <w:szCs w:val="21"/>
              </w:rPr>
              <w:t>-114.2</w:t>
            </w:r>
          </w:p>
        </w:tc>
        <w:tc>
          <w:tcPr>
            <w:tcW w:w="458" w:type="pct"/>
            <w:noWrap/>
            <w:vAlign w:val="center"/>
          </w:tcPr>
          <w:p w14:paraId="093870B0">
            <w:pPr>
              <w:pStyle w:val="121"/>
              <w:rPr>
                <w:rFonts w:ascii="Times New Roman" w:hAnsi="Times New Roman"/>
                <w:w w:val="66"/>
                <w:sz w:val="21"/>
                <w:szCs w:val="21"/>
              </w:rPr>
            </w:pPr>
            <w:r>
              <w:rPr>
                <w:rFonts w:hint="eastAsia" w:ascii="Times New Roman" w:hAnsi="Times New Roman"/>
                <w:w w:val="66"/>
                <w:sz w:val="21"/>
                <w:szCs w:val="21"/>
              </w:rPr>
              <w:t>7.0</w:t>
            </w:r>
          </w:p>
        </w:tc>
        <w:tc>
          <w:tcPr>
            <w:tcW w:w="521" w:type="pct"/>
            <w:noWrap/>
            <w:vAlign w:val="center"/>
          </w:tcPr>
          <w:p w14:paraId="5547BD1E">
            <w:pPr>
              <w:pStyle w:val="121"/>
              <w:rPr>
                <w:rFonts w:ascii="Times New Roman" w:hAnsi="Times New Roman"/>
                <w:w w:val="66"/>
                <w:sz w:val="21"/>
                <w:szCs w:val="21"/>
              </w:rPr>
            </w:pPr>
            <w:r>
              <w:rPr>
                <w:rFonts w:hint="eastAsia" w:ascii="Times New Roman" w:hAnsi="Times New Roman"/>
                <w:w w:val="66"/>
                <w:sz w:val="21"/>
                <w:szCs w:val="21"/>
              </w:rPr>
              <w:t>20</w:t>
            </w:r>
          </w:p>
        </w:tc>
      </w:tr>
      <w:tr w14:paraId="59A86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56D7E48">
            <w:pPr>
              <w:pStyle w:val="121"/>
              <w:rPr>
                <w:rFonts w:ascii="Times New Roman" w:hAnsi="Times New Roman"/>
                <w:w w:val="66"/>
                <w:sz w:val="21"/>
                <w:szCs w:val="21"/>
              </w:rPr>
            </w:pPr>
            <w:r>
              <w:rPr>
                <w:rFonts w:hint="eastAsia" w:ascii="Times New Roman" w:hAnsi="Times New Roman"/>
                <w:w w:val="66"/>
                <w:sz w:val="21"/>
                <w:szCs w:val="21"/>
              </w:rPr>
              <w:t>11</w:t>
            </w:r>
          </w:p>
        </w:tc>
        <w:tc>
          <w:tcPr>
            <w:tcW w:w="1714" w:type="pct"/>
            <w:noWrap/>
            <w:vAlign w:val="center"/>
          </w:tcPr>
          <w:p w14:paraId="04928BA4">
            <w:pPr>
              <w:pStyle w:val="121"/>
              <w:rPr>
                <w:rFonts w:ascii="Times New Roman" w:hAnsi="Times New Roman"/>
                <w:w w:val="66"/>
                <w:sz w:val="21"/>
                <w:szCs w:val="21"/>
              </w:rPr>
            </w:pPr>
            <w:r>
              <w:rPr>
                <w:rFonts w:ascii="Times New Roman" w:hAnsi="Times New Roman"/>
                <w:w w:val="66"/>
                <w:sz w:val="21"/>
                <w:szCs w:val="21"/>
              </w:rPr>
              <w:t>2号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419" w:type="pct"/>
            <w:noWrap/>
            <w:vAlign w:val="center"/>
          </w:tcPr>
          <w:p w14:paraId="7ECBC1FE">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0BFC2DA4">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646F92F1">
            <w:pPr>
              <w:pStyle w:val="121"/>
              <w:rPr>
                <w:rFonts w:ascii="Times New Roman" w:hAnsi="Times New Roman"/>
                <w:w w:val="66"/>
                <w:sz w:val="21"/>
                <w:szCs w:val="21"/>
              </w:rPr>
            </w:pPr>
            <w:r>
              <w:rPr>
                <w:rFonts w:hint="eastAsia" w:ascii="Times New Roman" w:hAnsi="Times New Roman"/>
                <w:w w:val="66"/>
                <w:sz w:val="21"/>
                <w:szCs w:val="21"/>
              </w:rPr>
              <w:t>77.2</w:t>
            </w:r>
          </w:p>
        </w:tc>
        <w:tc>
          <w:tcPr>
            <w:tcW w:w="458" w:type="pct"/>
            <w:noWrap/>
            <w:vAlign w:val="center"/>
          </w:tcPr>
          <w:p w14:paraId="27650164">
            <w:pPr>
              <w:pStyle w:val="121"/>
              <w:rPr>
                <w:rFonts w:ascii="Times New Roman" w:hAnsi="Times New Roman"/>
                <w:w w:val="66"/>
                <w:sz w:val="21"/>
                <w:szCs w:val="21"/>
              </w:rPr>
            </w:pPr>
            <w:r>
              <w:rPr>
                <w:rFonts w:hint="eastAsia" w:ascii="Times New Roman" w:hAnsi="Times New Roman"/>
                <w:w w:val="66"/>
                <w:sz w:val="21"/>
                <w:szCs w:val="21"/>
              </w:rPr>
              <w:t>-250.7</w:t>
            </w:r>
          </w:p>
        </w:tc>
        <w:tc>
          <w:tcPr>
            <w:tcW w:w="458" w:type="pct"/>
            <w:noWrap/>
            <w:vAlign w:val="center"/>
          </w:tcPr>
          <w:p w14:paraId="68F32AFF">
            <w:pPr>
              <w:pStyle w:val="121"/>
              <w:rPr>
                <w:rFonts w:ascii="Times New Roman" w:hAnsi="Times New Roman"/>
                <w:w w:val="66"/>
                <w:sz w:val="21"/>
                <w:szCs w:val="21"/>
              </w:rPr>
            </w:pPr>
            <w:r>
              <w:rPr>
                <w:rFonts w:hint="eastAsia" w:ascii="Times New Roman" w:hAnsi="Times New Roman"/>
                <w:w w:val="66"/>
                <w:sz w:val="21"/>
                <w:szCs w:val="21"/>
              </w:rPr>
              <w:t>8.0</w:t>
            </w:r>
          </w:p>
        </w:tc>
        <w:tc>
          <w:tcPr>
            <w:tcW w:w="521" w:type="pct"/>
            <w:noWrap/>
            <w:vAlign w:val="center"/>
          </w:tcPr>
          <w:p w14:paraId="53C57863">
            <w:pPr>
              <w:pStyle w:val="121"/>
              <w:rPr>
                <w:rFonts w:ascii="Times New Roman" w:hAnsi="Times New Roman"/>
                <w:w w:val="66"/>
                <w:sz w:val="21"/>
                <w:szCs w:val="21"/>
              </w:rPr>
            </w:pPr>
            <w:r>
              <w:rPr>
                <w:rFonts w:hint="eastAsia" w:ascii="Times New Roman" w:hAnsi="Times New Roman"/>
                <w:w w:val="66"/>
                <w:sz w:val="21"/>
                <w:szCs w:val="21"/>
              </w:rPr>
              <w:t>20</w:t>
            </w:r>
          </w:p>
        </w:tc>
      </w:tr>
      <w:tr w14:paraId="38428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BD9AD57">
            <w:pPr>
              <w:pStyle w:val="121"/>
              <w:rPr>
                <w:rFonts w:ascii="Times New Roman" w:hAnsi="Times New Roman"/>
                <w:w w:val="66"/>
                <w:sz w:val="21"/>
                <w:szCs w:val="21"/>
              </w:rPr>
            </w:pPr>
            <w:r>
              <w:rPr>
                <w:rFonts w:hint="eastAsia" w:ascii="Times New Roman" w:hAnsi="Times New Roman"/>
                <w:w w:val="66"/>
                <w:sz w:val="21"/>
                <w:szCs w:val="21"/>
              </w:rPr>
              <w:t>12</w:t>
            </w:r>
          </w:p>
        </w:tc>
        <w:tc>
          <w:tcPr>
            <w:tcW w:w="1714" w:type="pct"/>
            <w:noWrap/>
            <w:vAlign w:val="center"/>
          </w:tcPr>
          <w:p w14:paraId="58DBAE95">
            <w:pPr>
              <w:pStyle w:val="121"/>
              <w:rPr>
                <w:rFonts w:ascii="Times New Roman" w:hAnsi="Times New Roman"/>
                <w:w w:val="66"/>
                <w:sz w:val="21"/>
                <w:szCs w:val="21"/>
              </w:rPr>
            </w:pPr>
            <w:r>
              <w:rPr>
                <w:rFonts w:ascii="Times New Roman" w:hAnsi="Times New Roman"/>
                <w:w w:val="66"/>
                <w:sz w:val="21"/>
                <w:szCs w:val="21"/>
              </w:rPr>
              <w:t>3号采区回风天井</w:t>
            </w:r>
          </w:p>
        </w:tc>
        <w:tc>
          <w:tcPr>
            <w:tcW w:w="419" w:type="pct"/>
            <w:noWrap/>
            <w:vAlign w:val="center"/>
          </w:tcPr>
          <w:p w14:paraId="76A7269B">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418F6294">
            <w:pPr>
              <w:adjustRightInd w:val="0"/>
              <w:snapToGrid w:val="0"/>
              <w:spacing w:line="240" w:lineRule="auto"/>
              <w:ind w:firstLine="0" w:firstLineChars="0"/>
              <w:jc w:val="center"/>
              <w:rPr>
                <w:w w:val="66"/>
                <w:sz w:val="21"/>
                <w:szCs w:val="21"/>
              </w:rPr>
            </w:pPr>
            <w:r>
              <w:rPr>
                <w:w w:val="66"/>
                <w:sz w:val="21"/>
                <w:szCs w:val="21"/>
              </w:rPr>
              <w:t>0.005</w:t>
            </w:r>
          </w:p>
        </w:tc>
        <w:tc>
          <w:tcPr>
            <w:tcW w:w="494" w:type="pct"/>
            <w:noWrap/>
            <w:vAlign w:val="center"/>
          </w:tcPr>
          <w:p w14:paraId="34C5A8B9">
            <w:pPr>
              <w:pStyle w:val="121"/>
              <w:rPr>
                <w:rFonts w:ascii="Times New Roman" w:hAnsi="Times New Roman"/>
                <w:w w:val="66"/>
                <w:sz w:val="21"/>
                <w:szCs w:val="21"/>
              </w:rPr>
            </w:pPr>
            <w:r>
              <w:rPr>
                <w:rFonts w:hint="eastAsia" w:ascii="Times New Roman" w:hAnsi="Times New Roman"/>
                <w:w w:val="66"/>
                <w:sz w:val="21"/>
                <w:szCs w:val="21"/>
              </w:rPr>
              <w:t>90.3</w:t>
            </w:r>
          </w:p>
        </w:tc>
        <w:tc>
          <w:tcPr>
            <w:tcW w:w="458" w:type="pct"/>
            <w:noWrap/>
            <w:vAlign w:val="center"/>
          </w:tcPr>
          <w:p w14:paraId="1DE69CB2">
            <w:pPr>
              <w:pStyle w:val="121"/>
              <w:rPr>
                <w:rFonts w:ascii="Times New Roman" w:hAnsi="Times New Roman"/>
                <w:w w:val="66"/>
                <w:sz w:val="21"/>
                <w:szCs w:val="21"/>
              </w:rPr>
            </w:pPr>
            <w:r>
              <w:rPr>
                <w:rFonts w:hint="eastAsia" w:ascii="Times New Roman" w:hAnsi="Times New Roman"/>
                <w:w w:val="66"/>
                <w:sz w:val="21"/>
                <w:szCs w:val="21"/>
              </w:rPr>
              <w:t>-115.2</w:t>
            </w:r>
          </w:p>
        </w:tc>
        <w:tc>
          <w:tcPr>
            <w:tcW w:w="458" w:type="pct"/>
            <w:noWrap/>
            <w:vAlign w:val="center"/>
          </w:tcPr>
          <w:p w14:paraId="33162A30">
            <w:pPr>
              <w:pStyle w:val="121"/>
              <w:rPr>
                <w:rFonts w:ascii="Times New Roman" w:hAnsi="Times New Roman"/>
                <w:w w:val="66"/>
                <w:sz w:val="21"/>
                <w:szCs w:val="21"/>
              </w:rPr>
            </w:pPr>
            <w:r>
              <w:rPr>
                <w:rFonts w:hint="eastAsia" w:ascii="Times New Roman" w:hAnsi="Times New Roman"/>
                <w:w w:val="66"/>
                <w:sz w:val="21"/>
                <w:szCs w:val="21"/>
              </w:rPr>
              <w:t>9.4</w:t>
            </w:r>
          </w:p>
        </w:tc>
        <w:tc>
          <w:tcPr>
            <w:tcW w:w="521" w:type="pct"/>
            <w:noWrap/>
            <w:vAlign w:val="center"/>
          </w:tcPr>
          <w:p w14:paraId="745D3EE3">
            <w:pPr>
              <w:pStyle w:val="121"/>
              <w:rPr>
                <w:rFonts w:ascii="Times New Roman" w:hAnsi="Times New Roman"/>
                <w:w w:val="66"/>
                <w:sz w:val="21"/>
                <w:szCs w:val="21"/>
              </w:rPr>
            </w:pPr>
            <w:r>
              <w:rPr>
                <w:rFonts w:hint="eastAsia" w:ascii="Times New Roman" w:hAnsi="Times New Roman"/>
                <w:w w:val="66"/>
                <w:sz w:val="21"/>
                <w:szCs w:val="21"/>
              </w:rPr>
              <w:t>20</w:t>
            </w:r>
          </w:p>
        </w:tc>
      </w:tr>
      <w:tr w14:paraId="7B0D6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B4D39C3">
            <w:pPr>
              <w:pStyle w:val="121"/>
              <w:rPr>
                <w:rFonts w:ascii="Times New Roman" w:hAnsi="Times New Roman"/>
                <w:w w:val="66"/>
                <w:sz w:val="21"/>
                <w:szCs w:val="21"/>
              </w:rPr>
            </w:pPr>
            <w:r>
              <w:rPr>
                <w:rFonts w:hint="eastAsia" w:ascii="Times New Roman" w:hAnsi="Times New Roman"/>
                <w:w w:val="66"/>
                <w:sz w:val="21"/>
                <w:szCs w:val="21"/>
              </w:rPr>
              <w:t>13</w:t>
            </w:r>
          </w:p>
        </w:tc>
        <w:tc>
          <w:tcPr>
            <w:tcW w:w="1714" w:type="pct"/>
            <w:noWrap/>
            <w:vAlign w:val="center"/>
          </w:tcPr>
          <w:p w14:paraId="0CADCECD">
            <w:pPr>
              <w:pStyle w:val="121"/>
              <w:rPr>
                <w:rFonts w:ascii="Times New Roman" w:hAnsi="Times New Roman"/>
                <w:w w:val="66"/>
                <w:sz w:val="21"/>
                <w:szCs w:val="21"/>
              </w:rPr>
            </w:pPr>
            <w:r>
              <w:rPr>
                <w:rFonts w:ascii="Times New Roman" w:hAnsi="Times New Roman"/>
                <w:w w:val="66"/>
                <w:sz w:val="21"/>
                <w:szCs w:val="21"/>
              </w:rPr>
              <w:t>3号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419" w:type="pct"/>
            <w:noWrap/>
            <w:vAlign w:val="center"/>
          </w:tcPr>
          <w:p w14:paraId="63AAD5D8">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7E93F936">
            <w:pPr>
              <w:adjustRightInd w:val="0"/>
              <w:snapToGrid w:val="0"/>
              <w:spacing w:line="240" w:lineRule="auto"/>
              <w:ind w:firstLine="0" w:firstLineChars="0"/>
              <w:jc w:val="center"/>
              <w:rPr>
                <w:w w:val="66"/>
                <w:sz w:val="21"/>
                <w:szCs w:val="21"/>
              </w:rPr>
            </w:pPr>
            <w:r>
              <w:rPr>
                <w:w w:val="66"/>
                <w:sz w:val="21"/>
                <w:szCs w:val="21"/>
              </w:rPr>
              <w:t>0.005</w:t>
            </w:r>
          </w:p>
        </w:tc>
        <w:tc>
          <w:tcPr>
            <w:tcW w:w="494" w:type="pct"/>
            <w:noWrap/>
            <w:vAlign w:val="center"/>
          </w:tcPr>
          <w:p w14:paraId="0DCC943E">
            <w:pPr>
              <w:pStyle w:val="121"/>
              <w:rPr>
                <w:rFonts w:ascii="Times New Roman" w:hAnsi="Times New Roman"/>
                <w:w w:val="66"/>
                <w:sz w:val="21"/>
                <w:szCs w:val="21"/>
              </w:rPr>
            </w:pPr>
            <w:r>
              <w:rPr>
                <w:rFonts w:hint="eastAsia" w:ascii="Times New Roman" w:hAnsi="Times New Roman"/>
                <w:w w:val="66"/>
                <w:sz w:val="21"/>
                <w:szCs w:val="21"/>
              </w:rPr>
              <w:t>96.3</w:t>
            </w:r>
          </w:p>
        </w:tc>
        <w:tc>
          <w:tcPr>
            <w:tcW w:w="458" w:type="pct"/>
            <w:noWrap/>
            <w:vAlign w:val="center"/>
          </w:tcPr>
          <w:p w14:paraId="7C5FB94E">
            <w:pPr>
              <w:pStyle w:val="121"/>
              <w:rPr>
                <w:rFonts w:ascii="Times New Roman" w:hAnsi="Times New Roman"/>
                <w:w w:val="66"/>
                <w:sz w:val="21"/>
                <w:szCs w:val="21"/>
              </w:rPr>
            </w:pPr>
            <w:r>
              <w:rPr>
                <w:rFonts w:hint="eastAsia" w:ascii="Times New Roman" w:hAnsi="Times New Roman"/>
                <w:w w:val="66"/>
                <w:sz w:val="21"/>
                <w:szCs w:val="21"/>
              </w:rPr>
              <w:t>-284.8</w:t>
            </w:r>
          </w:p>
        </w:tc>
        <w:tc>
          <w:tcPr>
            <w:tcW w:w="458" w:type="pct"/>
            <w:noWrap/>
            <w:vAlign w:val="center"/>
          </w:tcPr>
          <w:p w14:paraId="7F54DAAC">
            <w:pPr>
              <w:pStyle w:val="121"/>
              <w:rPr>
                <w:rFonts w:ascii="Times New Roman" w:hAnsi="Times New Roman"/>
                <w:w w:val="66"/>
                <w:sz w:val="21"/>
                <w:szCs w:val="21"/>
              </w:rPr>
            </w:pPr>
            <w:r>
              <w:rPr>
                <w:rFonts w:hint="eastAsia" w:ascii="Times New Roman" w:hAnsi="Times New Roman"/>
                <w:w w:val="66"/>
                <w:sz w:val="21"/>
                <w:szCs w:val="21"/>
              </w:rPr>
              <w:t>10.0</w:t>
            </w:r>
          </w:p>
        </w:tc>
        <w:tc>
          <w:tcPr>
            <w:tcW w:w="521" w:type="pct"/>
            <w:noWrap/>
            <w:vAlign w:val="center"/>
          </w:tcPr>
          <w:p w14:paraId="7555E3B4">
            <w:pPr>
              <w:pStyle w:val="121"/>
              <w:rPr>
                <w:rFonts w:ascii="Times New Roman" w:hAnsi="Times New Roman"/>
                <w:w w:val="66"/>
                <w:sz w:val="21"/>
                <w:szCs w:val="21"/>
              </w:rPr>
            </w:pPr>
            <w:r>
              <w:rPr>
                <w:rFonts w:hint="eastAsia" w:ascii="Times New Roman" w:hAnsi="Times New Roman"/>
                <w:w w:val="66"/>
                <w:sz w:val="21"/>
                <w:szCs w:val="21"/>
              </w:rPr>
              <w:t>20</w:t>
            </w:r>
          </w:p>
        </w:tc>
      </w:tr>
      <w:tr w14:paraId="749B0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D3DCD9F">
            <w:pPr>
              <w:pStyle w:val="121"/>
              <w:rPr>
                <w:rFonts w:ascii="Times New Roman" w:hAnsi="Times New Roman"/>
                <w:w w:val="66"/>
                <w:sz w:val="21"/>
                <w:szCs w:val="21"/>
              </w:rPr>
            </w:pPr>
            <w:r>
              <w:rPr>
                <w:rFonts w:hint="eastAsia" w:ascii="Times New Roman" w:hAnsi="Times New Roman"/>
                <w:w w:val="66"/>
                <w:sz w:val="21"/>
                <w:szCs w:val="21"/>
              </w:rPr>
              <w:t>14</w:t>
            </w:r>
          </w:p>
        </w:tc>
        <w:tc>
          <w:tcPr>
            <w:tcW w:w="1714" w:type="pct"/>
            <w:noWrap/>
            <w:vAlign w:val="center"/>
          </w:tcPr>
          <w:p w14:paraId="57062819">
            <w:pPr>
              <w:pStyle w:val="121"/>
              <w:rPr>
                <w:rFonts w:ascii="Times New Roman" w:hAnsi="Times New Roman"/>
                <w:w w:val="66"/>
                <w:sz w:val="21"/>
                <w:szCs w:val="21"/>
              </w:rPr>
            </w:pPr>
            <w:r>
              <w:rPr>
                <w:rFonts w:ascii="Times New Roman" w:hAnsi="Times New Roman"/>
                <w:w w:val="66"/>
                <w:sz w:val="21"/>
                <w:szCs w:val="21"/>
              </w:rPr>
              <w:t>4号采区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208ED39A">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616" w:type="pct"/>
            <w:noWrap/>
            <w:vAlign w:val="center"/>
          </w:tcPr>
          <w:p w14:paraId="3AB29BCE">
            <w:pPr>
              <w:adjustRightInd w:val="0"/>
              <w:snapToGrid w:val="0"/>
              <w:spacing w:line="240" w:lineRule="auto"/>
              <w:ind w:firstLine="0" w:firstLineChars="0"/>
              <w:jc w:val="center"/>
              <w:rPr>
                <w:w w:val="66"/>
                <w:sz w:val="21"/>
                <w:szCs w:val="21"/>
              </w:rPr>
            </w:pPr>
            <w:r>
              <w:rPr>
                <w:rFonts w:hint="eastAsia"/>
                <w:w w:val="66"/>
                <w:sz w:val="21"/>
                <w:szCs w:val="21"/>
              </w:rPr>
              <w:t>0.014</w:t>
            </w:r>
          </w:p>
        </w:tc>
        <w:tc>
          <w:tcPr>
            <w:tcW w:w="494" w:type="pct"/>
            <w:noWrap/>
            <w:vAlign w:val="center"/>
          </w:tcPr>
          <w:p w14:paraId="711003B3">
            <w:pPr>
              <w:pStyle w:val="121"/>
              <w:rPr>
                <w:rFonts w:ascii="Times New Roman" w:hAnsi="Times New Roman"/>
                <w:w w:val="66"/>
                <w:sz w:val="21"/>
                <w:szCs w:val="21"/>
              </w:rPr>
            </w:pPr>
            <w:r>
              <w:rPr>
                <w:rFonts w:hint="eastAsia" w:ascii="Times New Roman" w:hAnsi="Times New Roman"/>
                <w:w w:val="66"/>
                <w:sz w:val="21"/>
                <w:szCs w:val="21"/>
              </w:rPr>
              <w:t>100.5</w:t>
            </w:r>
          </w:p>
        </w:tc>
        <w:tc>
          <w:tcPr>
            <w:tcW w:w="458" w:type="pct"/>
            <w:noWrap/>
            <w:vAlign w:val="center"/>
          </w:tcPr>
          <w:p w14:paraId="0E6AF061">
            <w:pPr>
              <w:pStyle w:val="121"/>
              <w:rPr>
                <w:rFonts w:ascii="Times New Roman" w:hAnsi="Times New Roman"/>
                <w:w w:val="66"/>
                <w:sz w:val="21"/>
                <w:szCs w:val="21"/>
              </w:rPr>
            </w:pPr>
            <w:r>
              <w:rPr>
                <w:rFonts w:hint="eastAsia" w:ascii="Times New Roman" w:hAnsi="Times New Roman"/>
                <w:w w:val="66"/>
                <w:sz w:val="21"/>
                <w:szCs w:val="21"/>
              </w:rPr>
              <w:t>-110.1</w:t>
            </w:r>
          </w:p>
        </w:tc>
        <w:tc>
          <w:tcPr>
            <w:tcW w:w="458" w:type="pct"/>
            <w:noWrap/>
            <w:vAlign w:val="center"/>
          </w:tcPr>
          <w:p w14:paraId="37946094">
            <w:pPr>
              <w:pStyle w:val="121"/>
              <w:rPr>
                <w:rFonts w:ascii="Times New Roman" w:hAnsi="Times New Roman"/>
                <w:w w:val="66"/>
                <w:sz w:val="21"/>
                <w:szCs w:val="21"/>
              </w:rPr>
            </w:pPr>
            <w:r>
              <w:rPr>
                <w:rFonts w:hint="eastAsia" w:ascii="Times New Roman" w:hAnsi="Times New Roman"/>
                <w:w w:val="66"/>
                <w:sz w:val="21"/>
                <w:szCs w:val="21"/>
              </w:rPr>
              <w:t>8.0</w:t>
            </w:r>
          </w:p>
        </w:tc>
        <w:tc>
          <w:tcPr>
            <w:tcW w:w="521" w:type="pct"/>
            <w:noWrap/>
            <w:vAlign w:val="center"/>
          </w:tcPr>
          <w:p w14:paraId="5249CF1A">
            <w:pPr>
              <w:pStyle w:val="121"/>
              <w:rPr>
                <w:rFonts w:ascii="Times New Roman" w:hAnsi="Times New Roman"/>
                <w:w w:val="66"/>
                <w:sz w:val="21"/>
                <w:szCs w:val="21"/>
              </w:rPr>
            </w:pPr>
            <w:r>
              <w:rPr>
                <w:rFonts w:hint="eastAsia" w:ascii="Times New Roman" w:hAnsi="Times New Roman"/>
                <w:w w:val="66"/>
                <w:sz w:val="21"/>
                <w:szCs w:val="21"/>
              </w:rPr>
              <w:t>20</w:t>
            </w:r>
          </w:p>
        </w:tc>
      </w:tr>
      <w:tr w14:paraId="6D0CF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98C9253">
            <w:pPr>
              <w:pStyle w:val="121"/>
              <w:rPr>
                <w:rFonts w:ascii="Times New Roman" w:hAnsi="Times New Roman"/>
                <w:w w:val="66"/>
                <w:sz w:val="21"/>
                <w:szCs w:val="21"/>
              </w:rPr>
            </w:pPr>
            <w:r>
              <w:rPr>
                <w:rFonts w:hint="eastAsia" w:ascii="Times New Roman" w:hAnsi="Times New Roman"/>
                <w:w w:val="66"/>
                <w:sz w:val="21"/>
                <w:szCs w:val="21"/>
              </w:rPr>
              <w:t>15</w:t>
            </w:r>
          </w:p>
        </w:tc>
        <w:tc>
          <w:tcPr>
            <w:tcW w:w="1714" w:type="pct"/>
            <w:noWrap/>
            <w:vAlign w:val="center"/>
          </w:tcPr>
          <w:p w14:paraId="20D6677A">
            <w:pPr>
              <w:pStyle w:val="121"/>
              <w:rPr>
                <w:rFonts w:ascii="Times New Roman" w:hAnsi="Times New Roman"/>
                <w:w w:val="66"/>
                <w:sz w:val="21"/>
                <w:szCs w:val="21"/>
              </w:rPr>
            </w:pPr>
            <w:r>
              <w:rPr>
                <w:rFonts w:ascii="Times New Roman" w:hAnsi="Times New Roman"/>
                <w:w w:val="66"/>
                <w:sz w:val="21"/>
                <w:szCs w:val="21"/>
              </w:rPr>
              <w:t>4号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7A2770BE">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616" w:type="pct"/>
            <w:noWrap/>
            <w:vAlign w:val="center"/>
          </w:tcPr>
          <w:p w14:paraId="38811F48">
            <w:pPr>
              <w:adjustRightInd w:val="0"/>
              <w:snapToGrid w:val="0"/>
              <w:spacing w:line="240" w:lineRule="auto"/>
              <w:ind w:firstLine="0" w:firstLineChars="0"/>
              <w:jc w:val="center"/>
              <w:rPr>
                <w:w w:val="66"/>
                <w:sz w:val="21"/>
                <w:szCs w:val="21"/>
              </w:rPr>
            </w:pPr>
            <w:r>
              <w:rPr>
                <w:rFonts w:hint="eastAsia"/>
                <w:w w:val="66"/>
                <w:sz w:val="21"/>
                <w:szCs w:val="21"/>
              </w:rPr>
              <w:t>0.014</w:t>
            </w:r>
          </w:p>
        </w:tc>
        <w:tc>
          <w:tcPr>
            <w:tcW w:w="494" w:type="pct"/>
            <w:noWrap/>
            <w:vAlign w:val="center"/>
          </w:tcPr>
          <w:p w14:paraId="4C99EA11">
            <w:pPr>
              <w:pStyle w:val="121"/>
              <w:rPr>
                <w:rFonts w:ascii="Times New Roman" w:hAnsi="Times New Roman"/>
                <w:w w:val="66"/>
                <w:sz w:val="21"/>
                <w:szCs w:val="21"/>
              </w:rPr>
            </w:pPr>
            <w:r>
              <w:rPr>
                <w:rFonts w:hint="eastAsia" w:ascii="Times New Roman" w:hAnsi="Times New Roman"/>
                <w:w w:val="66"/>
                <w:sz w:val="21"/>
                <w:szCs w:val="21"/>
              </w:rPr>
              <w:t>106.5</w:t>
            </w:r>
          </w:p>
        </w:tc>
        <w:tc>
          <w:tcPr>
            <w:tcW w:w="458" w:type="pct"/>
            <w:noWrap/>
            <w:vAlign w:val="center"/>
          </w:tcPr>
          <w:p w14:paraId="47B57102">
            <w:pPr>
              <w:pStyle w:val="121"/>
              <w:rPr>
                <w:rFonts w:ascii="Times New Roman" w:hAnsi="Times New Roman"/>
                <w:w w:val="66"/>
                <w:sz w:val="21"/>
                <w:szCs w:val="21"/>
              </w:rPr>
            </w:pPr>
            <w:r>
              <w:rPr>
                <w:rFonts w:hint="eastAsia" w:ascii="Times New Roman" w:hAnsi="Times New Roman"/>
                <w:w w:val="66"/>
                <w:sz w:val="21"/>
                <w:szCs w:val="21"/>
              </w:rPr>
              <w:t>-266.9</w:t>
            </w:r>
          </w:p>
        </w:tc>
        <w:tc>
          <w:tcPr>
            <w:tcW w:w="458" w:type="pct"/>
            <w:noWrap/>
            <w:vAlign w:val="center"/>
          </w:tcPr>
          <w:p w14:paraId="16BD239C">
            <w:pPr>
              <w:pStyle w:val="121"/>
              <w:rPr>
                <w:rFonts w:ascii="Times New Roman" w:hAnsi="Times New Roman"/>
                <w:w w:val="66"/>
                <w:sz w:val="21"/>
                <w:szCs w:val="21"/>
              </w:rPr>
            </w:pPr>
            <w:r>
              <w:rPr>
                <w:rFonts w:hint="eastAsia" w:ascii="Times New Roman" w:hAnsi="Times New Roman"/>
                <w:w w:val="66"/>
                <w:sz w:val="21"/>
                <w:szCs w:val="21"/>
              </w:rPr>
              <w:t>8.5</w:t>
            </w:r>
          </w:p>
        </w:tc>
        <w:tc>
          <w:tcPr>
            <w:tcW w:w="521" w:type="pct"/>
            <w:noWrap/>
            <w:vAlign w:val="center"/>
          </w:tcPr>
          <w:p w14:paraId="710BCEE4">
            <w:pPr>
              <w:pStyle w:val="121"/>
              <w:rPr>
                <w:rFonts w:ascii="Times New Roman" w:hAnsi="Times New Roman"/>
                <w:w w:val="66"/>
                <w:sz w:val="21"/>
                <w:szCs w:val="21"/>
              </w:rPr>
            </w:pPr>
            <w:r>
              <w:rPr>
                <w:rFonts w:hint="eastAsia" w:ascii="Times New Roman" w:hAnsi="Times New Roman"/>
                <w:w w:val="66"/>
                <w:sz w:val="21"/>
                <w:szCs w:val="21"/>
              </w:rPr>
              <w:t>20</w:t>
            </w:r>
          </w:p>
        </w:tc>
      </w:tr>
      <w:tr w14:paraId="6A48D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62CCA3F">
            <w:pPr>
              <w:pStyle w:val="121"/>
              <w:rPr>
                <w:rFonts w:ascii="Times New Roman" w:hAnsi="Times New Roman"/>
                <w:w w:val="66"/>
                <w:sz w:val="21"/>
                <w:szCs w:val="21"/>
              </w:rPr>
            </w:pPr>
            <w:r>
              <w:rPr>
                <w:rFonts w:hint="eastAsia" w:ascii="Times New Roman" w:hAnsi="Times New Roman"/>
                <w:w w:val="66"/>
                <w:sz w:val="21"/>
                <w:szCs w:val="21"/>
              </w:rPr>
              <w:t>16</w:t>
            </w:r>
          </w:p>
        </w:tc>
        <w:tc>
          <w:tcPr>
            <w:tcW w:w="1714" w:type="pct"/>
            <w:noWrap/>
            <w:vAlign w:val="center"/>
          </w:tcPr>
          <w:p w14:paraId="1F578D8F">
            <w:pPr>
              <w:pStyle w:val="121"/>
              <w:rPr>
                <w:rFonts w:ascii="Times New Roman" w:hAnsi="Times New Roman"/>
                <w:w w:val="66"/>
                <w:sz w:val="21"/>
                <w:szCs w:val="21"/>
              </w:rPr>
            </w:pPr>
            <w:r>
              <w:rPr>
                <w:rFonts w:ascii="Times New Roman" w:hAnsi="Times New Roman"/>
                <w:w w:val="66"/>
                <w:sz w:val="21"/>
                <w:szCs w:val="21"/>
              </w:rPr>
              <w:t>5号采区回风天井</w:t>
            </w:r>
          </w:p>
        </w:tc>
        <w:tc>
          <w:tcPr>
            <w:tcW w:w="419" w:type="pct"/>
            <w:noWrap/>
            <w:vAlign w:val="center"/>
          </w:tcPr>
          <w:p w14:paraId="7A8A6A65">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1C4C0EFF">
            <w:pPr>
              <w:adjustRightInd w:val="0"/>
              <w:snapToGrid w:val="0"/>
              <w:spacing w:line="240" w:lineRule="auto"/>
              <w:ind w:firstLine="0" w:firstLineChars="0"/>
              <w:jc w:val="center"/>
              <w:rPr>
                <w:w w:val="66"/>
                <w:sz w:val="21"/>
                <w:szCs w:val="21"/>
              </w:rPr>
            </w:pPr>
            <w:r>
              <w:rPr>
                <w:w w:val="66"/>
                <w:sz w:val="21"/>
                <w:szCs w:val="21"/>
              </w:rPr>
              <w:t>0.005</w:t>
            </w:r>
          </w:p>
        </w:tc>
        <w:tc>
          <w:tcPr>
            <w:tcW w:w="494" w:type="pct"/>
            <w:noWrap/>
            <w:vAlign w:val="center"/>
          </w:tcPr>
          <w:p w14:paraId="2CE805E2">
            <w:pPr>
              <w:pStyle w:val="121"/>
              <w:rPr>
                <w:rFonts w:ascii="Times New Roman" w:hAnsi="Times New Roman"/>
                <w:w w:val="66"/>
                <w:sz w:val="21"/>
                <w:szCs w:val="21"/>
              </w:rPr>
            </w:pPr>
            <w:r>
              <w:rPr>
                <w:rFonts w:hint="eastAsia" w:ascii="Times New Roman" w:hAnsi="Times New Roman"/>
                <w:w w:val="66"/>
                <w:sz w:val="21"/>
                <w:szCs w:val="21"/>
              </w:rPr>
              <w:t>97.2</w:t>
            </w:r>
          </w:p>
        </w:tc>
        <w:tc>
          <w:tcPr>
            <w:tcW w:w="458" w:type="pct"/>
            <w:noWrap/>
            <w:vAlign w:val="center"/>
          </w:tcPr>
          <w:p w14:paraId="5C36803F">
            <w:pPr>
              <w:pStyle w:val="121"/>
              <w:rPr>
                <w:rFonts w:ascii="Times New Roman" w:hAnsi="Times New Roman"/>
                <w:w w:val="66"/>
                <w:sz w:val="21"/>
                <w:szCs w:val="21"/>
              </w:rPr>
            </w:pPr>
            <w:r>
              <w:rPr>
                <w:rFonts w:hint="eastAsia" w:ascii="Times New Roman" w:hAnsi="Times New Roman"/>
                <w:w w:val="66"/>
                <w:sz w:val="21"/>
                <w:szCs w:val="21"/>
              </w:rPr>
              <w:t>-121.0</w:t>
            </w:r>
          </w:p>
        </w:tc>
        <w:tc>
          <w:tcPr>
            <w:tcW w:w="458" w:type="pct"/>
            <w:noWrap/>
            <w:vAlign w:val="center"/>
          </w:tcPr>
          <w:p w14:paraId="31E2E63A">
            <w:pPr>
              <w:pStyle w:val="121"/>
              <w:rPr>
                <w:rFonts w:ascii="Times New Roman" w:hAnsi="Times New Roman"/>
                <w:w w:val="66"/>
                <w:sz w:val="21"/>
                <w:szCs w:val="21"/>
              </w:rPr>
            </w:pPr>
            <w:r>
              <w:rPr>
                <w:rFonts w:hint="eastAsia" w:ascii="Times New Roman" w:hAnsi="Times New Roman"/>
                <w:w w:val="66"/>
                <w:sz w:val="21"/>
                <w:szCs w:val="21"/>
              </w:rPr>
              <w:t>10.1</w:t>
            </w:r>
          </w:p>
        </w:tc>
        <w:tc>
          <w:tcPr>
            <w:tcW w:w="521" w:type="pct"/>
            <w:noWrap/>
            <w:vAlign w:val="center"/>
          </w:tcPr>
          <w:p w14:paraId="68A703C7">
            <w:pPr>
              <w:pStyle w:val="121"/>
              <w:rPr>
                <w:rFonts w:ascii="Times New Roman" w:hAnsi="Times New Roman"/>
                <w:w w:val="66"/>
                <w:sz w:val="21"/>
                <w:szCs w:val="21"/>
              </w:rPr>
            </w:pPr>
            <w:r>
              <w:rPr>
                <w:rFonts w:hint="eastAsia" w:ascii="Times New Roman" w:hAnsi="Times New Roman"/>
                <w:w w:val="66"/>
                <w:sz w:val="21"/>
                <w:szCs w:val="21"/>
              </w:rPr>
              <w:t>20</w:t>
            </w:r>
          </w:p>
        </w:tc>
      </w:tr>
      <w:tr w14:paraId="460D7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7B17BA7">
            <w:pPr>
              <w:pStyle w:val="121"/>
              <w:rPr>
                <w:rFonts w:ascii="Times New Roman" w:hAnsi="Times New Roman"/>
                <w:w w:val="66"/>
                <w:sz w:val="21"/>
                <w:szCs w:val="21"/>
              </w:rPr>
            </w:pPr>
            <w:r>
              <w:rPr>
                <w:rFonts w:hint="eastAsia" w:ascii="Times New Roman" w:hAnsi="Times New Roman"/>
                <w:w w:val="66"/>
                <w:sz w:val="21"/>
                <w:szCs w:val="21"/>
              </w:rPr>
              <w:t>17</w:t>
            </w:r>
          </w:p>
        </w:tc>
        <w:tc>
          <w:tcPr>
            <w:tcW w:w="1714" w:type="pct"/>
            <w:noWrap/>
            <w:vAlign w:val="center"/>
          </w:tcPr>
          <w:p w14:paraId="3EE166F9">
            <w:pPr>
              <w:pStyle w:val="121"/>
              <w:rPr>
                <w:rFonts w:ascii="Times New Roman" w:hAnsi="Times New Roman"/>
                <w:w w:val="66"/>
                <w:sz w:val="21"/>
                <w:szCs w:val="21"/>
              </w:rPr>
            </w:pPr>
            <w:r>
              <w:rPr>
                <w:rFonts w:ascii="Times New Roman" w:hAnsi="Times New Roman"/>
                <w:w w:val="66"/>
                <w:sz w:val="21"/>
                <w:szCs w:val="21"/>
              </w:rPr>
              <w:t>5号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419" w:type="pct"/>
            <w:noWrap/>
            <w:vAlign w:val="center"/>
          </w:tcPr>
          <w:p w14:paraId="4D116D18">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1690A335">
            <w:pPr>
              <w:adjustRightInd w:val="0"/>
              <w:snapToGrid w:val="0"/>
              <w:spacing w:line="240" w:lineRule="auto"/>
              <w:ind w:firstLine="0" w:firstLineChars="0"/>
              <w:jc w:val="center"/>
              <w:rPr>
                <w:w w:val="66"/>
                <w:sz w:val="21"/>
                <w:szCs w:val="21"/>
              </w:rPr>
            </w:pPr>
            <w:r>
              <w:rPr>
                <w:w w:val="66"/>
                <w:sz w:val="21"/>
                <w:szCs w:val="21"/>
              </w:rPr>
              <w:t>0.005</w:t>
            </w:r>
          </w:p>
        </w:tc>
        <w:tc>
          <w:tcPr>
            <w:tcW w:w="494" w:type="pct"/>
            <w:noWrap/>
            <w:vAlign w:val="center"/>
          </w:tcPr>
          <w:p w14:paraId="45D1E3F9">
            <w:pPr>
              <w:pStyle w:val="121"/>
              <w:rPr>
                <w:rFonts w:ascii="Times New Roman" w:hAnsi="Times New Roman"/>
                <w:w w:val="66"/>
                <w:sz w:val="21"/>
                <w:szCs w:val="21"/>
              </w:rPr>
            </w:pPr>
            <w:r>
              <w:rPr>
                <w:rFonts w:hint="eastAsia" w:ascii="Times New Roman" w:hAnsi="Times New Roman"/>
                <w:w w:val="66"/>
                <w:sz w:val="21"/>
                <w:szCs w:val="21"/>
              </w:rPr>
              <w:t>103.2</w:t>
            </w:r>
          </w:p>
        </w:tc>
        <w:tc>
          <w:tcPr>
            <w:tcW w:w="458" w:type="pct"/>
            <w:noWrap/>
            <w:vAlign w:val="center"/>
          </w:tcPr>
          <w:p w14:paraId="20239862">
            <w:pPr>
              <w:pStyle w:val="121"/>
              <w:rPr>
                <w:rFonts w:ascii="Times New Roman" w:hAnsi="Times New Roman"/>
                <w:w w:val="66"/>
                <w:sz w:val="21"/>
                <w:szCs w:val="21"/>
              </w:rPr>
            </w:pPr>
            <w:r>
              <w:rPr>
                <w:rFonts w:hint="eastAsia" w:ascii="Times New Roman" w:hAnsi="Times New Roman"/>
                <w:w w:val="66"/>
                <w:sz w:val="21"/>
                <w:szCs w:val="21"/>
              </w:rPr>
              <w:t>-272.7</w:t>
            </w:r>
          </w:p>
        </w:tc>
        <w:tc>
          <w:tcPr>
            <w:tcW w:w="458" w:type="pct"/>
            <w:noWrap/>
            <w:vAlign w:val="center"/>
          </w:tcPr>
          <w:p w14:paraId="1099A1AD">
            <w:pPr>
              <w:pStyle w:val="121"/>
              <w:rPr>
                <w:rFonts w:ascii="Times New Roman" w:hAnsi="Times New Roman"/>
                <w:w w:val="66"/>
                <w:sz w:val="21"/>
                <w:szCs w:val="21"/>
              </w:rPr>
            </w:pPr>
            <w:r>
              <w:rPr>
                <w:rFonts w:hint="eastAsia" w:ascii="Times New Roman" w:hAnsi="Times New Roman"/>
                <w:w w:val="66"/>
                <w:sz w:val="21"/>
                <w:szCs w:val="21"/>
              </w:rPr>
              <w:t>10.7</w:t>
            </w:r>
          </w:p>
        </w:tc>
        <w:tc>
          <w:tcPr>
            <w:tcW w:w="521" w:type="pct"/>
            <w:noWrap/>
            <w:vAlign w:val="center"/>
          </w:tcPr>
          <w:p w14:paraId="70DC148E">
            <w:pPr>
              <w:pStyle w:val="121"/>
              <w:rPr>
                <w:rFonts w:ascii="Times New Roman" w:hAnsi="Times New Roman"/>
                <w:w w:val="66"/>
                <w:sz w:val="21"/>
                <w:szCs w:val="21"/>
              </w:rPr>
            </w:pPr>
            <w:r>
              <w:rPr>
                <w:rFonts w:hint="eastAsia" w:ascii="Times New Roman" w:hAnsi="Times New Roman"/>
                <w:w w:val="66"/>
                <w:sz w:val="21"/>
                <w:szCs w:val="21"/>
              </w:rPr>
              <w:t>20</w:t>
            </w:r>
          </w:p>
        </w:tc>
      </w:tr>
      <w:tr w14:paraId="1023E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E0C74EA">
            <w:pPr>
              <w:pStyle w:val="121"/>
              <w:rPr>
                <w:rFonts w:ascii="Times New Roman" w:hAnsi="Times New Roman"/>
                <w:w w:val="66"/>
                <w:sz w:val="21"/>
                <w:szCs w:val="21"/>
              </w:rPr>
            </w:pPr>
            <w:r>
              <w:rPr>
                <w:rFonts w:hint="eastAsia" w:ascii="Times New Roman" w:hAnsi="Times New Roman"/>
                <w:w w:val="66"/>
                <w:sz w:val="21"/>
                <w:szCs w:val="21"/>
              </w:rPr>
              <w:t>18</w:t>
            </w:r>
          </w:p>
        </w:tc>
        <w:tc>
          <w:tcPr>
            <w:tcW w:w="1714" w:type="pct"/>
            <w:noWrap/>
            <w:vAlign w:val="center"/>
          </w:tcPr>
          <w:p w14:paraId="0EEDDE5F">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号采区回风天井</w:t>
            </w:r>
          </w:p>
        </w:tc>
        <w:tc>
          <w:tcPr>
            <w:tcW w:w="419" w:type="pct"/>
            <w:noWrap/>
            <w:vAlign w:val="center"/>
          </w:tcPr>
          <w:p w14:paraId="6CA5CAFE">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77C76D31">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38B4D74E">
            <w:pPr>
              <w:pStyle w:val="121"/>
              <w:rPr>
                <w:rFonts w:ascii="Times New Roman" w:hAnsi="Times New Roman"/>
                <w:w w:val="66"/>
                <w:sz w:val="21"/>
                <w:szCs w:val="21"/>
              </w:rPr>
            </w:pPr>
            <w:r>
              <w:rPr>
                <w:rFonts w:hint="eastAsia" w:ascii="Times New Roman" w:hAnsi="Times New Roman"/>
                <w:w w:val="66"/>
                <w:sz w:val="21"/>
                <w:szCs w:val="21"/>
              </w:rPr>
              <w:t>105.6</w:t>
            </w:r>
          </w:p>
        </w:tc>
        <w:tc>
          <w:tcPr>
            <w:tcW w:w="458" w:type="pct"/>
            <w:noWrap/>
            <w:vAlign w:val="center"/>
          </w:tcPr>
          <w:p w14:paraId="0CB49166">
            <w:pPr>
              <w:pStyle w:val="121"/>
              <w:rPr>
                <w:rFonts w:ascii="Times New Roman" w:hAnsi="Times New Roman"/>
                <w:w w:val="66"/>
                <w:sz w:val="21"/>
                <w:szCs w:val="21"/>
              </w:rPr>
            </w:pPr>
            <w:r>
              <w:rPr>
                <w:rFonts w:hint="eastAsia" w:ascii="Times New Roman" w:hAnsi="Times New Roman"/>
                <w:w w:val="66"/>
                <w:sz w:val="21"/>
                <w:szCs w:val="21"/>
              </w:rPr>
              <w:t>-132.3</w:t>
            </w:r>
          </w:p>
        </w:tc>
        <w:tc>
          <w:tcPr>
            <w:tcW w:w="458" w:type="pct"/>
            <w:noWrap/>
            <w:vAlign w:val="center"/>
          </w:tcPr>
          <w:p w14:paraId="063AA32A">
            <w:pPr>
              <w:pStyle w:val="121"/>
              <w:rPr>
                <w:rFonts w:ascii="Times New Roman" w:hAnsi="Times New Roman"/>
                <w:w w:val="66"/>
                <w:sz w:val="21"/>
                <w:szCs w:val="21"/>
              </w:rPr>
            </w:pPr>
            <w:r>
              <w:rPr>
                <w:rFonts w:hint="eastAsia" w:ascii="Times New Roman" w:hAnsi="Times New Roman"/>
                <w:w w:val="66"/>
                <w:sz w:val="21"/>
                <w:szCs w:val="21"/>
              </w:rPr>
              <w:t>11.0</w:t>
            </w:r>
          </w:p>
        </w:tc>
        <w:tc>
          <w:tcPr>
            <w:tcW w:w="521" w:type="pct"/>
            <w:noWrap/>
            <w:vAlign w:val="center"/>
          </w:tcPr>
          <w:p w14:paraId="12924313">
            <w:pPr>
              <w:pStyle w:val="121"/>
              <w:rPr>
                <w:rFonts w:ascii="Times New Roman" w:hAnsi="Times New Roman"/>
                <w:w w:val="66"/>
                <w:sz w:val="21"/>
                <w:szCs w:val="21"/>
              </w:rPr>
            </w:pPr>
            <w:r>
              <w:rPr>
                <w:rFonts w:hint="eastAsia" w:ascii="Times New Roman" w:hAnsi="Times New Roman"/>
                <w:w w:val="66"/>
                <w:sz w:val="21"/>
                <w:szCs w:val="21"/>
              </w:rPr>
              <w:t>20</w:t>
            </w:r>
          </w:p>
        </w:tc>
      </w:tr>
      <w:tr w14:paraId="20955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C862A05">
            <w:pPr>
              <w:pStyle w:val="121"/>
              <w:rPr>
                <w:rFonts w:ascii="Times New Roman" w:hAnsi="Times New Roman"/>
                <w:w w:val="66"/>
                <w:sz w:val="21"/>
                <w:szCs w:val="21"/>
              </w:rPr>
            </w:pPr>
            <w:r>
              <w:rPr>
                <w:rFonts w:hint="eastAsia" w:ascii="Times New Roman" w:hAnsi="Times New Roman"/>
                <w:w w:val="66"/>
                <w:sz w:val="21"/>
                <w:szCs w:val="21"/>
              </w:rPr>
              <w:t>19</w:t>
            </w:r>
          </w:p>
        </w:tc>
        <w:tc>
          <w:tcPr>
            <w:tcW w:w="1714" w:type="pct"/>
            <w:noWrap/>
            <w:vAlign w:val="center"/>
          </w:tcPr>
          <w:p w14:paraId="5206EC5D">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419" w:type="pct"/>
            <w:noWrap/>
            <w:vAlign w:val="center"/>
          </w:tcPr>
          <w:p w14:paraId="07104967">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616" w:type="pct"/>
            <w:noWrap/>
            <w:vAlign w:val="center"/>
          </w:tcPr>
          <w:p w14:paraId="2969D624">
            <w:pPr>
              <w:pStyle w:val="121"/>
              <w:rPr>
                <w:rFonts w:ascii="Times New Roman" w:hAnsi="Times New Roman"/>
                <w:w w:val="66"/>
                <w:sz w:val="21"/>
                <w:szCs w:val="21"/>
              </w:rPr>
            </w:pPr>
            <w:r>
              <w:rPr>
                <w:rFonts w:ascii="Times New Roman" w:hAnsi="Times New Roman"/>
                <w:w w:val="66"/>
                <w:sz w:val="21"/>
                <w:szCs w:val="21"/>
              </w:rPr>
              <w:t>0.005</w:t>
            </w:r>
          </w:p>
        </w:tc>
        <w:tc>
          <w:tcPr>
            <w:tcW w:w="494" w:type="pct"/>
            <w:noWrap/>
            <w:vAlign w:val="center"/>
          </w:tcPr>
          <w:p w14:paraId="5C48F7AC">
            <w:pPr>
              <w:pStyle w:val="121"/>
              <w:rPr>
                <w:rFonts w:ascii="Times New Roman" w:hAnsi="Times New Roman"/>
                <w:w w:val="66"/>
                <w:sz w:val="21"/>
                <w:szCs w:val="21"/>
              </w:rPr>
            </w:pPr>
            <w:r>
              <w:rPr>
                <w:rFonts w:hint="eastAsia" w:ascii="Times New Roman" w:hAnsi="Times New Roman"/>
                <w:w w:val="66"/>
                <w:sz w:val="21"/>
                <w:szCs w:val="21"/>
              </w:rPr>
              <w:t>111.6</w:t>
            </w:r>
          </w:p>
        </w:tc>
        <w:tc>
          <w:tcPr>
            <w:tcW w:w="458" w:type="pct"/>
            <w:noWrap/>
            <w:vAlign w:val="center"/>
          </w:tcPr>
          <w:p w14:paraId="76525E18">
            <w:pPr>
              <w:pStyle w:val="121"/>
              <w:rPr>
                <w:rFonts w:ascii="Times New Roman" w:hAnsi="Times New Roman"/>
                <w:w w:val="66"/>
                <w:sz w:val="21"/>
                <w:szCs w:val="21"/>
              </w:rPr>
            </w:pPr>
            <w:r>
              <w:rPr>
                <w:rFonts w:hint="eastAsia" w:ascii="Times New Roman" w:hAnsi="Times New Roman"/>
                <w:w w:val="66"/>
                <w:sz w:val="21"/>
                <w:szCs w:val="21"/>
              </w:rPr>
              <w:t>-310.4</w:t>
            </w:r>
          </w:p>
        </w:tc>
        <w:tc>
          <w:tcPr>
            <w:tcW w:w="458" w:type="pct"/>
            <w:noWrap/>
            <w:vAlign w:val="center"/>
          </w:tcPr>
          <w:p w14:paraId="50F0AC0A">
            <w:pPr>
              <w:pStyle w:val="121"/>
              <w:rPr>
                <w:rFonts w:ascii="Times New Roman" w:hAnsi="Times New Roman"/>
                <w:w w:val="66"/>
                <w:sz w:val="21"/>
                <w:szCs w:val="21"/>
              </w:rPr>
            </w:pPr>
            <w:r>
              <w:rPr>
                <w:rFonts w:hint="eastAsia" w:ascii="Times New Roman" w:hAnsi="Times New Roman"/>
                <w:w w:val="66"/>
                <w:sz w:val="21"/>
                <w:szCs w:val="21"/>
              </w:rPr>
              <w:t>11.6</w:t>
            </w:r>
          </w:p>
        </w:tc>
        <w:tc>
          <w:tcPr>
            <w:tcW w:w="521" w:type="pct"/>
            <w:noWrap/>
            <w:vAlign w:val="center"/>
          </w:tcPr>
          <w:p w14:paraId="3C04D612">
            <w:pPr>
              <w:pStyle w:val="121"/>
              <w:rPr>
                <w:rFonts w:ascii="Times New Roman" w:hAnsi="Times New Roman"/>
                <w:w w:val="66"/>
                <w:sz w:val="21"/>
                <w:szCs w:val="21"/>
              </w:rPr>
            </w:pPr>
            <w:r>
              <w:rPr>
                <w:rFonts w:hint="eastAsia" w:ascii="Times New Roman" w:hAnsi="Times New Roman"/>
                <w:w w:val="66"/>
                <w:sz w:val="21"/>
                <w:szCs w:val="21"/>
              </w:rPr>
              <w:t>20</w:t>
            </w:r>
          </w:p>
        </w:tc>
      </w:tr>
      <w:tr w14:paraId="26075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BB4CD01">
            <w:pPr>
              <w:pStyle w:val="121"/>
              <w:rPr>
                <w:rFonts w:ascii="Times New Roman" w:hAnsi="Times New Roman"/>
                <w:w w:val="66"/>
                <w:sz w:val="21"/>
                <w:szCs w:val="21"/>
              </w:rPr>
            </w:pPr>
            <w:r>
              <w:rPr>
                <w:rFonts w:hint="eastAsia" w:ascii="Times New Roman" w:hAnsi="Times New Roman"/>
                <w:w w:val="66"/>
                <w:sz w:val="21"/>
                <w:szCs w:val="21"/>
              </w:rPr>
              <w:t>20</w:t>
            </w:r>
          </w:p>
        </w:tc>
        <w:tc>
          <w:tcPr>
            <w:tcW w:w="1714" w:type="pct"/>
            <w:noWrap/>
            <w:vAlign w:val="center"/>
          </w:tcPr>
          <w:p w14:paraId="02297097">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0F0A8948">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616" w:type="pct"/>
            <w:noWrap/>
            <w:vAlign w:val="center"/>
          </w:tcPr>
          <w:p w14:paraId="3DA58B0A">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12D3D717">
            <w:pPr>
              <w:pStyle w:val="121"/>
              <w:rPr>
                <w:rFonts w:ascii="Times New Roman" w:hAnsi="Times New Roman"/>
                <w:w w:val="66"/>
                <w:sz w:val="21"/>
                <w:szCs w:val="21"/>
              </w:rPr>
            </w:pPr>
            <w:r>
              <w:rPr>
                <w:rFonts w:hint="eastAsia" w:ascii="Times New Roman" w:hAnsi="Times New Roman"/>
                <w:w w:val="66"/>
                <w:sz w:val="21"/>
                <w:szCs w:val="21"/>
              </w:rPr>
              <w:t>105.3</w:t>
            </w:r>
          </w:p>
        </w:tc>
        <w:tc>
          <w:tcPr>
            <w:tcW w:w="458" w:type="pct"/>
            <w:noWrap/>
            <w:vAlign w:val="center"/>
          </w:tcPr>
          <w:p w14:paraId="63EF3E0F">
            <w:pPr>
              <w:pStyle w:val="121"/>
              <w:rPr>
                <w:rFonts w:ascii="Times New Roman" w:hAnsi="Times New Roman"/>
                <w:w w:val="66"/>
                <w:sz w:val="21"/>
                <w:szCs w:val="21"/>
              </w:rPr>
            </w:pPr>
            <w:r>
              <w:rPr>
                <w:rFonts w:hint="eastAsia" w:ascii="Times New Roman" w:hAnsi="Times New Roman"/>
                <w:w w:val="66"/>
                <w:sz w:val="21"/>
                <w:szCs w:val="21"/>
              </w:rPr>
              <w:t>-121.9</w:t>
            </w:r>
          </w:p>
        </w:tc>
        <w:tc>
          <w:tcPr>
            <w:tcW w:w="458" w:type="pct"/>
            <w:noWrap/>
            <w:vAlign w:val="center"/>
          </w:tcPr>
          <w:p w14:paraId="6C2CA1D5">
            <w:pPr>
              <w:pStyle w:val="121"/>
              <w:rPr>
                <w:rFonts w:ascii="Times New Roman" w:hAnsi="Times New Roman"/>
                <w:w w:val="66"/>
                <w:sz w:val="21"/>
                <w:szCs w:val="21"/>
              </w:rPr>
            </w:pPr>
            <w:r>
              <w:rPr>
                <w:rFonts w:hint="eastAsia" w:ascii="Times New Roman" w:hAnsi="Times New Roman"/>
                <w:w w:val="66"/>
                <w:sz w:val="21"/>
                <w:szCs w:val="21"/>
              </w:rPr>
              <w:t>8.4</w:t>
            </w:r>
          </w:p>
        </w:tc>
        <w:tc>
          <w:tcPr>
            <w:tcW w:w="521" w:type="pct"/>
            <w:noWrap/>
            <w:vAlign w:val="center"/>
          </w:tcPr>
          <w:p w14:paraId="07496729">
            <w:pPr>
              <w:pStyle w:val="121"/>
              <w:rPr>
                <w:rFonts w:ascii="Times New Roman" w:hAnsi="Times New Roman"/>
                <w:w w:val="66"/>
                <w:sz w:val="21"/>
                <w:szCs w:val="21"/>
              </w:rPr>
            </w:pPr>
            <w:r>
              <w:rPr>
                <w:rFonts w:hint="eastAsia" w:ascii="Times New Roman" w:hAnsi="Times New Roman"/>
                <w:w w:val="66"/>
                <w:sz w:val="21"/>
                <w:szCs w:val="21"/>
              </w:rPr>
              <w:t>20</w:t>
            </w:r>
          </w:p>
        </w:tc>
      </w:tr>
      <w:tr w14:paraId="14DD5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19ECEF2">
            <w:pPr>
              <w:pStyle w:val="121"/>
              <w:rPr>
                <w:rFonts w:ascii="Times New Roman" w:hAnsi="Times New Roman"/>
                <w:w w:val="66"/>
                <w:sz w:val="21"/>
                <w:szCs w:val="21"/>
              </w:rPr>
            </w:pPr>
            <w:r>
              <w:rPr>
                <w:rFonts w:hint="eastAsia" w:ascii="Times New Roman" w:hAnsi="Times New Roman"/>
                <w:w w:val="66"/>
                <w:sz w:val="21"/>
                <w:szCs w:val="21"/>
              </w:rPr>
              <w:t>21</w:t>
            </w:r>
          </w:p>
        </w:tc>
        <w:tc>
          <w:tcPr>
            <w:tcW w:w="1714" w:type="pct"/>
            <w:noWrap/>
            <w:vAlign w:val="center"/>
          </w:tcPr>
          <w:p w14:paraId="4475BAA8">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419" w:type="pct"/>
            <w:noWrap/>
            <w:vAlign w:val="center"/>
          </w:tcPr>
          <w:p w14:paraId="0FCE4731">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616" w:type="pct"/>
            <w:noWrap/>
            <w:vAlign w:val="center"/>
          </w:tcPr>
          <w:p w14:paraId="17A7305D">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03F72326">
            <w:pPr>
              <w:pStyle w:val="121"/>
              <w:rPr>
                <w:rFonts w:ascii="Times New Roman" w:hAnsi="Times New Roman"/>
                <w:w w:val="66"/>
                <w:sz w:val="21"/>
                <w:szCs w:val="21"/>
              </w:rPr>
            </w:pPr>
            <w:r>
              <w:rPr>
                <w:rFonts w:hint="eastAsia" w:ascii="Times New Roman" w:hAnsi="Times New Roman"/>
                <w:w w:val="66"/>
                <w:sz w:val="21"/>
                <w:szCs w:val="21"/>
              </w:rPr>
              <w:t>111.3</w:t>
            </w:r>
          </w:p>
        </w:tc>
        <w:tc>
          <w:tcPr>
            <w:tcW w:w="458" w:type="pct"/>
            <w:noWrap/>
            <w:vAlign w:val="center"/>
          </w:tcPr>
          <w:p w14:paraId="3B0C2798">
            <w:pPr>
              <w:pStyle w:val="121"/>
              <w:rPr>
                <w:rFonts w:ascii="Times New Roman" w:hAnsi="Times New Roman"/>
                <w:w w:val="66"/>
                <w:sz w:val="21"/>
                <w:szCs w:val="21"/>
              </w:rPr>
            </w:pPr>
            <w:r>
              <w:rPr>
                <w:rFonts w:hint="eastAsia" w:ascii="Times New Roman" w:hAnsi="Times New Roman"/>
                <w:w w:val="66"/>
                <w:sz w:val="21"/>
                <w:szCs w:val="21"/>
              </w:rPr>
              <w:t>-230.6</w:t>
            </w:r>
          </w:p>
        </w:tc>
        <w:tc>
          <w:tcPr>
            <w:tcW w:w="458" w:type="pct"/>
            <w:noWrap/>
            <w:vAlign w:val="center"/>
          </w:tcPr>
          <w:p w14:paraId="5C57D44C">
            <w:pPr>
              <w:pStyle w:val="121"/>
              <w:rPr>
                <w:rFonts w:ascii="Times New Roman" w:hAnsi="Times New Roman"/>
                <w:w w:val="66"/>
                <w:sz w:val="21"/>
                <w:szCs w:val="21"/>
              </w:rPr>
            </w:pPr>
            <w:r>
              <w:rPr>
                <w:rFonts w:hint="eastAsia" w:ascii="Times New Roman" w:hAnsi="Times New Roman"/>
                <w:w w:val="66"/>
                <w:sz w:val="21"/>
                <w:szCs w:val="21"/>
              </w:rPr>
              <w:t>8.9</w:t>
            </w:r>
          </w:p>
        </w:tc>
        <w:tc>
          <w:tcPr>
            <w:tcW w:w="521" w:type="pct"/>
            <w:noWrap/>
            <w:vAlign w:val="center"/>
          </w:tcPr>
          <w:p w14:paraId="30785EE6">
            <w:pPr>
              <w:pStyle w:val="121"/>
              <w:rPr>
                <w:rFonts w:ascii="Times New Roman" w:hAnsi="Times New Roman"/>
                <w:w w:val="66"/>
                <w:sz w:val="21"/>
                <w:szCs w:val="21"/>
              </w:rPr>
            </w:pPr>
            <w:r>
              <w:rPr>
                <w:rFonts w:hint="eastAsia" w:ascii="Times New Roman" w:hAnsi="Times New Roman"/>
                <w:w w:val="66"/>
                <w:sz w:val="21"/>
                <w:szCs w:val="21"/>
              </w:rPr>
              <w:t>20</w:t>
            </w:r>
          </w:p>
        </w:tc>
      </w:tr>
      <w:tr w14:paraId="0A395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A776633">
            <w:pPr>
              <w:pStyle w:val="121"/>
              <w:rPr>
                <w:rFonts w:ascii="Times New Roman" w:hAnsi="Times New Roman"/>
                <w:w w:val="66"/>
                <w:sz w:val="21"/>
                <w:szCs w:val="21"/>
              </w:rPr>
            </w:pPr>
            <w:r>
              <w:rPr>
                <w:rFonts w:hint="eastAsia" w:ascii="Times New Roman" w:hAnsi="Times New Roman"/>
                <w:w w:val="66"/>
                <w:sz w:val="21"/>
                <w:szCs w:val="21"/>
              </w:rPr>
              <w:t>22</w:t>
            </w:r>
          </w:p>
        </w:tc>
        <w:tc>
          <w:tcPr>
            <w:tcW w:w="1714" w:type="pct"/>
            <w:noWrap/>
            <w:vAlign w:val="center"/>
          </w:tcPr>
          <w:p w14:paraId="21987A89">
            <w:pPr>
              <w:pStyle w:val="121"/>
              <w:rPr>
                <w:rFonts w:ascii="Times New Roman" w:hAnsi="Times New Roman"/>
                <w:w w:val="66"/>
                <w:sz w:val="21"/>
                <w:szCs w:val="21"/>
              </w:rPr>
            </w:pPr>
            <w:r>
              <w:rPr>
                <w:rFonts w:ascii="Times New Roman" w:hAnsi="Times New Roman"/>
                <w:w w:val="66"/>
                <w:sz w:val="21"/>
                <w:szCs w:val="21"/>
              </w:rPr>
              <w:t>溜破系统人行回风天井</w:t>
            </w:r>
          </w:p>
        </w:tc>
        <w:tc>
          <w:tcPr>
            <w:tcW w:w="419" w:type="pct"/>
            <w:noWrap/>
            <w:vAlign w:val="center"/>
          </w:tcPr>
          <w:p w14:paraId="60E7B6B3">
            <w:pPr>
              <w:pStyle w:val="121"/>
              <w:rPr>
                <w:rFonts w:ascii="Times New Roman" w:hAnsi="Times New Roman"/>
                <w:w w:val="66"/>
                <w:sz w:val="21"/>
                <w:szCs w:val="21"/>
              </w:rPr>
            </w:pPr>
            <w:r>
              <w:rPr>
                <w:rFonts w:hint="eastAsia" w:ascii="Times New Roman" w:hAnsi="Times New Roman"/>
                <w:w w:val="66"/>
                <w:sz w:val="21"/>
                <w:szCs w:val="21"/>
              </w:rPr>
              <w:t>9.62</w:t>
            </w:r>
          </w:p>
        </w:tc>
        <w:tc>
          <w:tcPr>
            <w:tcW w:w="616" w:type="pct"/>
            <w:noWrap/>
            <w:vAlign w:val="center"/>
          </w:tcPr>
          <w:p w14:paraId="4F935F7D">
            <w:pPr>
              <w:pStyle w:val="121"/>
              <w:rPr>
                <w:rFonts w:ascii="Times New Roman" w:hAnsi="Times New Roman"/>
                <w:w w:val="66"/>
                <w:sz w:val="21"/>
                <w:szCs w:val="21"/>
              </w:rPr>
            </w:pPr>
            <w:r>
              <w:rPr>
                <w:rFonts w:hint="eastAsia" w:ascii="Times New Roman" w:hAnsi="Times New Roman"/>
                <w:w w:val="66"/>
                <w:sz w:val="21"/>
                <w:szCs w:val="21"/>
              </w:rPr>
              <w:t>0.014</w:t>
            </w:r>
          </w:p>
        </w:tc>
        <w:tc>
          <w:tcPr>
            <w:tcW w:w="494" w:type="pct"/>
            <w:noWrap/>
            <w:vAlign w:val="center"/>
          </w:tcPr>
          <w:p w14:paraId="63C3262F">
            <w:pPr>
              <w:pStyle w:val="121"/>
              <w:rPr>
                <w:rFonts w:ascii="Times New Roman" w:hAnsi="Times New Roman"/>
                <w:w w:val="66"/>
                <w:sz w:val="21"/>
                <w:szCs w:val="21"/>
              </w:rPr>
            </w:pPr>
            <w:r>
              <w:rPr>
                <w:rFonts w:hint="eastAsia" w:ascii="Times New Roman" w:hAnsi="Times New Roman"/>
                <w:w w:val="66"/>
                <w:sz w:val="21"/>
                <w:szCs w:val="21"/>
              </w:rPr>
              <w:t>30</w:t>
            </w:r>
          </w:p>
        </w:tc>
        <w:tc>
          <w:tcPr>
            <w:tcW w:w="458" w:type="pct"/>
            <w:noWrap/>
            <w:vAlign w:val="center"/>
          </w:tcPr>
          <w:p w14:paraId="509CC8DE">
            <w:pPr>
              <w:pStyle w:val="121"/>
              <w:rPr>
                <w:rFonts w:ascii="Times New Roman" w:hAnsi="Times New Roman"/>
                <w:w w:val="66"/>
                <w:sz w:val="21"/>
                <w:szCs w:val="21"/>
              </w:rPr>
            </w:pPr>
            <w:r>
              <w:rPr>
                <w:rFonts w:hint="eastAsia" w:ascii="Times New Roman" w:hAnsi="Times New Roman"/>
                <w:w w:val="66"/>
                <w:sz w:val="21"/>
                <w:szCs w:val="21"/>
              </w:rPr>
              <w:t>-26.6</w:t>
            </w:r>
          </w:p>
        </w:tc>
        <w:tc>
          <w:tcPr>
            <w:tcW w:w="458" w:type="pct"/>
            <w:noWrap/>
            <w:vAlign w:val="center"/>
          </w:tcPr>
          <w:p w14:paraId="29D2C6CA">
            <w:pPr>
              <w:pStyle w:val="121"/>
              <w:rPr>
                <w:rFonts w:ascii="Times New Roman" w:hAnsi="Times New Roman"/>
                <w:w w:val="66"/>
                <w:sz w:val="21"/>
                <w:szCs w:val="21"/>
              </w:rPr>
            </w:pPr>
            <w:r>
              <w:rPr>
                <w:rFonts w:hint="eastAsia" w:ascii="Times New Roman" w:hAnsi="Times New Roman"/>
                <w:w w:val="66"/>
                <w:sz w:val="21"/>
                <w:szCs w:val="21"/>
              </w:rPr>
              <w:t>3.1</w:t>
            </w:r>
          </w:p>
        </w:tc>
        <w:tc>
          <w:tcPr>
            <w:tcW w:w="521" w:type="pct"/>
            <w:noWrap/>
            <w:vAlign w:val="center"/>
          </w:tcPr>
          <w:p w14:paraId="1620FA91">
            <w:pPr>
              <w:pStyle w:val="121"/>
              <w:rPr>
                <w:rFonts w:ascii="Times New Roman" w:hAnsi="Times New Roman"/>
                <w:w w:val="66"/>
                <w:sz w:val="21"/>
                <w:szCs w:val="21"/>
              </w:rPr>
            </w:pPr>
            <w:r>
              <w:rPr>
                <w:rFonts w:hint="eastAsia" w:ascii="Times New Roman" w:hAnsi="Times New Roman"/>
                <w:w w:val="66"/>
                <w:sz w:val="21"/>
                <w:szCs w:val="21"/>
              </w:rPr>
              <w:t>20</w:t>
            </w:r>
          </w:p>
        </w:tc>
      </w:tr>
      <w:tr w14:paraId="204D0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49504DA">
            <w:pPr>
              <w:pStyle w:val="121"/>
              <w:rPr>
                <w:rFonts w:ascii="Times New Roman" w:hAnsi="Times New Roman"/>
                <w:w w:val="66"/>
                <w:sz w:val="21"/>
                <w:szCs w:val="21"/>
              </w:rPr>
            </w:pPr>
            <w:r>
              <w:rPr>
                <w:rFonts w:hint="eastAsia" w:ascii="Times New Roman" w:hAnsi="Times New Roman"/>
                <w:w w:val="66"/>
                <w:sz w:val="21"/>
                <w:szCs w:val="21"/>
              </w:rPr>
              <w:t>三</w:t>
            </w:r>
          </w:p>
        </w:tc>
        <w:tc>
          <w:tcPr>
            <w:tcW w:w="1714" w:type="pct"/>
            <w:noWrap/>
            <w:vAlign w:val="center"/>
          </w:tcPr>
          <w:p w14:paraId="73E80339">
            <w:pPr>
              <w:pStyle w:val="121"/>
              <w:rPr>
                <w:rFonts w:ascii="Times New Roman" w:hAnsi="Times New Roman"/>
                <w:w w:val="66"/>
                <w:sz w:val="21"/>
                <w:szCs w:val="21"/>
              </w:rPr>
            </w:pPr>
            <w:r>
              <w:rPr>
                <w:rFonts w:ascii="Times New Roman" w:hAnsi="Times New Roman"/>
                <w:w w:val="66"/>
                <w:sz w:val="21"/>
                <w:szCs w:val="21"/>
              </w:rPr>
              <w:t>-250m回风水平</w:t>
            </w:r>
          </w:p>
        </w:tc>
        <w:tc>
          <w:tcPr>
            <w:tcW w:w="419" w:type="pct"/>
            <w:noWrap/>
            <w:vAlign w:val="center"/>
          </w:tcPr>
          <w:p w14:paraId="29F1FB39">
            <w:pPr>
              <w:pStyle w:val="121"/>
              <w:rPr>
                <w:rFonts w:ascii="Times New Roman" w:hAnsi="Times New Roman"/>
                <w:w w:val="66"/>
                <w:sz w:val="21"/>
                <w:szCs w:val="21"/>
              </w:rPr>
            </w:pPr>
          </w:p>
        </w:tc>
        <w:tc>
          <w:tcPr>
            <w:tcW w:w="616" w:type="pct"/>
            <w:noWrap/>
            <w:vAlign w:val="center"/>
          </w:tcPr>
          <w:p w14:paraId="75887C02">
            <w:pPr>
              <w:pStyle w:val="121"/>
              <w:rPr>
                <w:rFonts w:ascii="Times New Roman" w:hAnsi="Times New Roman"/>
                <w:w w:val="66"/>
                <w:sz w:val="21"/>
                <w:szCs w:val="21"/>
              </w:rPr>
            </w:pPr>
          </w:p>
        </w:tc>
        <w:tc>
          <w:tcPr>
            <w:tcW w:w="494" w:type="pct"/>
            <w:noWrap/>
            <w:vAlign w:val="center"/>
          </w:tcPr>
          <w:p w14:paraId="100A4A05">
            <w:pPr>
              <w:pStyle w:val="121"/>
              <w:rPr>
                <w:rFonts w:ascii="Times New Roman" w:hAnsi="Times New Roman"/>
                <w:w w:val="66"/>
                <w:sz w:val="21"/>
                <w:szCs w:val="21"/>
              </w:rPr>
            </w:pPr>
          </w:p>
        </w:tc>
        <w:tc>
          <w:tcPr>
            <w:tcW w:w="458" w:type="pct"/>
            <w:noWrap/>
            <w:vAlign w:val="center"/>
          </w:tcPr>
          <w:p w14:paraId="75C66DDE">
            <w:pPr>
              <w:pStyle w:val="121"/>
              <w:rPr>
                <w:rFonts w:ascii="Times New Roman" w:hAnsi="Times New Roman"/>
                <w:w w:val="66"/>
                <w:sz w:val="21"/>
                <w:szCs w:val="21"/>
              </w:rPr>
            </w:pPr>
          </w:p>
        </w:tc>
        <w:tc>
          <w:tcPr>
            <w:tcW w:w="458" w:type="pct"/>
            <w:noWrap/>
            <w:vAlign w:val="center"/>
          </w:tcPr>
          <w:p w14:paraId="5871C57F">
            <w:pPr>
              <w:pStyle w:val="121"/>
              <w:rPr>
                <w:rFonts w:ascii="Times New Roman" w:hAnsi="Times New Roman"/>
                <w:w w:val="66"/>
                <w:sz w:val="21"/>
                <w:szCs w:val="21"/>
              </w:rPr>
            </w:pPr>
          </w:p>
        </w:tc>
        <w:tc>
          <w:tcPr>
            <w:tcW w:w="521" w:type="pct"/>
            <w:noWrap/>
            <w:vAlign w:val="center"/>
          </w:tcPr>
          <w:p w14:paraId="1FB2900D">
            <w:pPr>
              <w:pStyle w:val="121"/>
              <w:rPr>
                <w:rFonts w:ascii="Times New Roman" w:hAnsi="Times New Roman"/>
                <w:w w:val="66"/>
                <w:sz w:val="21"/>
                <w:szCs w:val="21"/>
              </w:rPr>
            </w:pPr>
          </w:p>
        </w:tc>
      </w:tr>
      <w:tr w14:paraId="0BCAA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511E2BD">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5A345928">
            <w:pPr>
              <w:pStyle w:val="121"/>
              <w:rPr>
                <w:rFonts w:ascii="Times New Roman" w:hAnsi="Times New Roman"/>
                <w:w w:val="66"/>
                <w:sz w:val="21"/>
                <w:szCs w:val="21"/>
              </w:rPr>
            </w:pPr>
            <w:r>
              <w:rPr>
                <w:rFonts w:ascii="Times New Roman" w:hAnsi="Times New Roman"/>
                <w:w w:val="66"/>
                <w:sz w:val="21"/>
                <w:szCs w:val="21"/>
              </w:rPr>
              <w:t>1号回风井北石门</w:t>
            </w:r>
          </w:p>
        </w:tc>
        <w:tc>
          <w:tcPr>
            <w:tcW w:w="419" w:type="pct"/>
            <w:noWrap/>
            <w:vAlign w:val="center"/>
          </w:tcPr>
          <w:p w14:paraId="1CE96627">
            <w:pPr>
              <w:pStyle w:val="121"/>
              <w:rPr>
                <w:rFonts w:ascii="Times New Roman" w:hAnsi="Times New Roman"/>
                <w:w w:val="66"/>
                <w:sz w:val="21"/>
                <w:szCs w:val="21"/>
              </w:rPr>
            </w:pPr>
            <w:r>
              <w:rPr>
                <w:rFonts w:hint="eastAsia" w:ascii="Times New Roman" w:hAnsi="Times New Roman"/>
                <w:w w:val="66"/>
                <w:sz w:val="21"/>
                <w:szCs w:val="21"/>
              </w:rPr>
              <w:t>18.4</w:t>
            </w:r>
          </w:p>
        </w:tc>
        <w:tc>
          <w:tcPr>
            <w:tcW w:w="616" w:type="pct"/>
            <w:noWrap/>
            <w:vAlign w:val="center"/>
          </w:tcPr>
          <w:p w14:paraId="4FD0D814">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19FE4D36">
            <w:pPr>
              <w:pStyle w:val="121"/>
              <w:rPr>
                <w:rFonts w:ascii="Times New Roman" w:hAnsi="Times New Roman"/>
                <w:w w:val="66"/>
                <w:sz w:val="21"/>
                <w:szCs w:val="21"/>
              </w:rPr>
            </w:pPr>
            <w:r>
              <w:rPr>
                <w:rFonts w:hint="eastAsia" w:ascii="Times New Roman" w:hAnsi="Times New Roman"/>
                <w:w w:val="66"/>
                <w:sz w:val="21"/>
                <w:szCs w:val="21"/>
              </w:rPr>
              <w:t>180</w:t>
            </w:r>
          </w:p>
        </w:tc>
        <w:tc>
          <w:tcPr>
            <w:tcW w:w="458" w:type="pct"/>
            <w:noWrap/>
            <w:vAlign w:val="center"/>
          </w:tcPr>
          <w:p w14:paraId="4BE4D134">
            <w:pPr>
              <w:pStyle w:val="121"/>
              <w:rPr>
                <w:rFonts w:ascii="Times New Roman" w:hAnsi="Times New Roman"/>
                <w:w w:val="66"/>
                <w:sz w:val="21"/>
                <w:szCs w:val="21"/>
              </w:rPr>
            </w:pPr>
            <w:r>
              <w:rPr>
                <w:rFonts w:hint="eastAsia" w:ascii="Times New Roman" w:hAnsi="Times New Roman"/>
                <w:w w:val="66"/>
                <w:sz w:val="21"/>
                <w:szCs w:val="21"/>
              </w:rPr>
              <w:t>-365.5</w:t>
            </w:r>
          </w:p>
        </w:tc>
        <w:tc>
          <w:tcPr>
            <w:tcW w:w="458" w:type="pct"/>
            <w:noWrap/>
            <w:vAlign w:val="center"/>
          </w:tcPr>
          <w:p w14:paraId="243AA7C3">
            <w:pPr>
              <w:pStyle w:val="121"/>
              <w:rPr>
                <w:rFonts w:ascii="Times New Roman" w:hAnsi="Times New Roman"/>
                <w:w w:val="66"/>
                <w:sz w:val="21"/>
                <w:szCs w:val="21"/>
              </w:rPr>
            </w:pPr>
            <w:r>
              <w:rPr>
                <w:rFonts w:hint="eastAsia" w:ascii="Times New Roman" w:hAnsi="Times New Roman"/>
                <w:w w:val="66"/>
                <w:sz w:val="21"/>
                <w:szCs w:val="21"/>
              </w:rPr>
              <w:t>11.4</w:t>
            </w:r>
          </w:p>
        </w:tc>
        <w:tc>
          <w:tcPr>
            <w:tcW w:w="521" w:type="pct"/>
            <w:noWrap/>
            <w:vAlign w:val="center"/>
          </w:tcPr>
          <w:p w14:paraId="79429E95">
            <w:pPr>
              <w:pStyle w:val="121"/>
              <w:rPr>
                <w:rFonts w:ascii="Times New Roman" w:hAnsi="Times New Roman"/>
                <w:w w:val="66"/>
                <w:sz w:val="21"/>
                <w:szCs w:val="21"/>
              </w:rPr>
            </w:pPr>
            <w:r>
              <w:rPr>
                <w:rFonts w:ascii="Times New Roman" w:hAnsi="Times New Roman"/>
                <w:w w:val="66"/>
                <w:sz w:val="21"/>
                <w:szCs w:val="21"/>
              </w:rPr>
              <w:t>20</w:t>
            </w:r>
          </w:p>
        </w:tc>
      </w:tr>
      <w:tr w14:paraId="5CF6C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7F147F0">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7E61BBB8">
            <w:pPr>
              <w:pStyle w:val="121"/>
              <w:rPr>
                <w:rFonts w:ascii="Times New Roman" w:hAnsi="Times New Roman"/>
                <w:w w:val="66"/>
                <w:sz w:val="21"/>
                <w:szCs w:val="21"/>
              </w:rPr>
            </w:pPr>
            <w:r>
              <w:rPr>
                <w:rFonts w:ascii="Times New Roman" w:hAnsi="Times New Roman"/>
                <w:w w:val="66"/>
                <w:sz w:val="21"/>
                <w:szCs w:val="21"/>
              </w:rPr>
              <w:t>1号回风井南石门</w:t>
            </w:r>
          </w:p>
        </w:tc>
        <w:tc>
          <w:tcPr>
            <w:tcW w:w="419" w:type="pct"/>
            <w:noWrap/>
            <w:vAlign w:val="center"/>
          </w:tcPr>
          <w:p w14:paraId="6340F0EF">
            <w:pPr>
              <w:pStyle w:val="121"/>
              <w:rPr>
                <w:rFonts w:ascii="Times New Roman" w:hAnsi="Times New Roman"/>
                <w:w w:val="66"/>
                <w:sz w:val="21"/>
                <w:szCs w:val="21"/>
              </w:rPr>
            </w:pPr>
            <w:r>
              <w:rPr>
                <w:rFonts w:hint="eastAsia" w:ascii="Times New Roman" w:hAnsi="Times New Roman"/>
                <w:w w:val="66"/>
                <w:sz w:val="21"/>
                <w:szCs w:val="21"/>
              </w:rPr>
              <w:t>18.4</w:t>
            </w:r>
          </w:p>
        </w:tc>
        <w:tc>
          <w:tcPr>
            <w:tcW w:w="616" w:type="pct"/>
            <w:noWrap/>
            <w:vAlign w:val="center"/>
          </w:tcPr>
          <w:p w14:paraId="28CE68CC">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119717DA">
            <w:pPr>
              <w:pStyle w:val="121"/>
              <w:rPr>
                <w:rFonts w:ascii="Times New Roman" w:hAnsi="Times New Roman"/>
                <w:w w:val="66"/>
                <w:sz w:val="21"/>
                <w:szCs w:val="21"/>
              </w:rPr>
            </w:pPr>
            <w:r>
              <w:rPr>
                <w:rFonts w:hint="eastAsia" w:ascii="Times New Roman" w:hAnsi="Times New Roman"/>
                <w:w w:val="66"/>
                <w:sz w:val="21"/>
                <w:szCs w:val="21"/>
              </w:rPr>
              <w:t>180</w:t>
            </w:r>
          </w:p>
        </w:tc>
        <w:tc>
          <w:tcPr>
            <w:tcW w:w="458" w:type="pct"/>
            <w:noWrap/>
            <w:vAlign w:val="center"/>
          </w:tcPr>
          <w:p w14:paraId="6C7AD372">
            <w:pPr>
              <w:pStyle w:val="121"/>
              <w:rPr>
                <w:rFonts w:ascii="Times New Roman" w:hAnsi="Times New Roman"/>
                <w:w w:val="66"/>
                <w:sz w:val="21"/>
                <w:szCs w:val="21"/>
              </w:rPr>
            </w:pPr>
            <w:r>
              <w:rPr>
                <w:rFonts w:hint="eastAsia" w:ascii="Times New Roman" w:hAnsi="Times New Roman"/>
                <w:w w:val="66"/>
                <w:sz w:val="21"/>
                <w:szCs w:val="21"/>
              </w:rPr>
              <w:t>-383.3</w:t>
            </w:r>
          </w:p>
        </w:tc>
        <w:tc>
          <w:tcPr>
            <w:tcW w:w="458" w:type="pct"/>
            <w:noWrap/>
            <w:vAlign w:val="center"/>
          </w:tcPr>
          <w:p w14:paraId="3F0EA0AB">
            <w:pPr>
              <w:pStyle w:val="121"/>
              <w:rPr>
                <w:rFonts w:ascii="Times New Roman" w:hAnsi="Times New Roman"/>
                <w:w w:val="66"/>
                <w:sz w:val="21"/>
                <w:szCs w:val="21"/>
              </w:rPr>
            </w:pPr>
            <w:r>
              <w:rPr>
                <w:rFonts w:hint="eastAsia" w:ascii="Times New Roman" w:hAnsi="Times New Roman"/>
                <w:w w:val="66"/>
                <w:sz w:val="21"/>
                <w:szCs w:val="21"/>
              </w:rPr>
              <w:t>11.4</w:t>
            </w:r>
          </w:p>
        </w:tc>
        <w:tc>
          <w:tcPr>
            <w:tcW w:w="521" w:type="pct"/>
            <w:noWrap/>
            <w:vAlign w:val="center"/>
          </w:tcPr>
          <w:p w14:paraId="2F369B76">
            <w:pPr>
              <w:pStyle w:val="121"/>
              <w:rPr>
                <w:rFonts w:ascii="Times New Roman" w:hAnsi="Times New Roman"/>
                <w:w w:val="66"/>
                <w:sz w:val="21"/>
                <w:szCs w:val="21"/>
              </w:rPr>
            </w:pPr>
            <w:r>
              <w:rPr>
                <w:rFonts w:ascii="Times New Roman" w:hAnsi="Times New Roman"/>
                <w:w w:val="66"/>
                <w:sz w:val="21"/>
                <w:szCs w:val="21"/>
              </w:rPr>
              <w:t>20</w:t>
            </w:r>
          </w:p>
        </w:tc>
      </w:tr>
      <w:tr w14:paraId="78581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16852D7">
            <w:pPr>
              <w:pStyle w:val="121"/>
              <w:rPr>
                <w:rFonts w:ascii="Times New Roman" w:hAnsi="Times New Roman"/>
                <w:w w:val="66"/>
                <w:sz w:val="21"/>
                <w:szCs w:val="21"/>
              </w:rPr>
            </w:pPr>
            <w:r>
              <w:rPr>
                <w:rFonts w:hint="eastAsia" w:ascii="Times New Roman" w:hAnsi="Times New Roman"/>
                <w:w w:val="66"/>
                <w:sz w:val="21"/>
                <w:szCs w:val="21"/>
              </w:rPr>
              <w:t>3</w:t>
            </w:r>
          </w:p>
        </w:tc>
        <w:tc>
          <w:tcPr>
            <w:tcW w:w="1714" w:type="pct"/>
            <w:noWrap/>
            <w:vAlign w:val="center"/>
          </w:tcPr>
          <w:p w14:paraId="1A3EB176">
            <w:pPr>
              <w:pStyle w:val="121"/>
              <w:rPr>
                <w:rFonts w:ascii="Times New Roman" w:hAnsi="Times New Roman"/>
                <w:w w:val="66"/>
                <w:sz w:val="21"/>
                <w:szCs w:val="21"/>
              </w:rPr>
            </w:pPr>
            <w:r>
              <w:rPr>
                <w:rFonts w:hint="eastAsia" w:ascii="Times New Roman" w:hAnsi="Times New Roman"/>
                <w:w w:val="66"/>
                <w:sz w:val="21"/>
                <w:szCs w:val="21"/>
              </w:rPr>
              <w:t>2</w:t>
            </w:r>
            <w:r>
              <w:rPr>
                <w:rFonts w:ascii="Times New Roman" w:hAnsi="Times New Roman"/>
                <w:w w:val="66"/>
                <w:sz w:val="21"/>
                <w:szCs w:val="21"/>
              </w:rPr>
              <w:t>号回风井北石门</w:t>
            </w:r>
          </w:p>
        </w:tc>
        <w:tc>
          <w:tcPr>
            <w:tcW w:w="419" w:type="pct"/>
            <w:noWrap/>
            <w:vAlign w:val="center"/>
          </w:tcPr>
          <w:p w14:paraId="6F2A6B60">
            <w:pPr>
              <w:pStyle w:val="121"/>
              <w:rPr>
                <w:rFonts w:ascii="Times New Roman" w:hAnsi="Times New Roman"/>
                <w:w w:val="66"/>
                <w:sz w:val="21"/>
                <w:szCs w:val="21"/>
              </w:rPr>
            </w:pPr>
            <w:r>
              <w:rPr>
                <w:rFonts w:hint="eastAsia" w:ascii="Times New Roman" w:hAnsi="Times New Roman"/>
                <w:w w:val="66"/>
                <w:sz w:val="21"/>
                <w:szCs w:val="21"/>
              </w:rPr>
              <w:t>10.8</w:t>
            </w:r>
          </w:p>
        </w:tc>
        <w:tc>
          <w:tcPr>
            <w:tcW w:w="616" w:type="pct"/>
            <w:noWrap/>
            <w:vAlign w:val="center"/>
          </w:tcPr>
          <w:p w14:paraId="70612946">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5A794808">
            <w:pPr>
              <w:pStyle w:val="121"/>
              <w:rPr>
                <w:rFonts w:ascii="Times New Roman" w:hAnsi="Times New Roman"/>
                <w:w w:val="66"/>
                <w:sz w:val="21"/>
                <w:szCs w:val="21"/>
              </w:rPr>
            </w:pPr>
            <w:r>
              <w:rPr>
                <w:rFonts w:hint="eastAsia" w:ascii="Times New Roman" w:hAnsi="Times New Roman"/>
                <w:w w:val="66"/>
                <w:sz w:val="21"/>
                <w:szCs w:val="21"/>
              </w:rPr>
              <w:t>155</w:t>
            </w:r>
          </w:p>
        </w:tc>
        <w:tc>
          <w:tcPr>
            <w:tcW w:w="458" w:type="pct"/>
            <w:noWrap/>
            <w:vAlign w:val="center"/>
          </w:tcPr>
          <w:p w14:paraId="79CD406E">
            <w:pPr>
              <w:pStyle w:val="121"/>
              <w:rPr>
                <w:rFonts w:ascii="Times New Roman" w:hAnsi="Times New Roman"/>
                <w:w w:val="66"/>
                <w:sz w:val="21"/>
                <w:szCs w:val="21"/>
              </w:rPr>
            </w:pPr>
            <w:r>
              <w:rPr>
                <w:rFonts w:hint="eastAsia" w:ascii="Times New Roman" w:hAnsi="Times New Roman"/>
                <w:w w:val="66"/>
                <w:sz w:val="21"/>
                <w:szCs w:val="21"/>
              </w:rPr>
              <w:t>-406</w:t>
            </w:r>
          </w:p>
        </w:tc>
        <w:tc>
          <w:tcPr>
            <w:tcW w:w="458" w:type="pct"/>
            <w:noWrap/>
            <w:vAlign w:val="center"/>
          </w:tcPr>
          <w:p w14:paraId="522DC0E2">
            <w:pPr>
              <w:pStyle w:val="121"/>
              <w:rPr>
                <w:rFonts w:ascii="Times New Roman" w:hAnsi="Times New Roman"/>
                <w:w w:val="66"/>
                <w:sz w:val="21"/>
                <w:szCs w:val="21"/>
              </w:rPr>
            </w:pPr>
            <w:r>
              <w:rPr>
                <w:rFonts w:hint="eastAsia" w:ascii="Times New Roman" w:hAnsi="Times New Roman"/>
                <w:w w:val="66"/>
                <w:sz w:val="21"/>
                <w:szCs w:val="21"/>
              </w:rPr>
              <w:t>12.1</w:t>
            </w:r>
          </w:p>
        </w:tc>
        <w:tc>
          <w:tcPr>
            <w:tcW w:w="521" w:type="pct"/>
            <w:noWrap/>
            <w:vAlign w:val="center"/>
          </w:tcPr>
          <w:p w14:paraId="404D80EF">
            <w:pPr>
              <w:pStyle w:val="121"/>
              <w:rPr>
                <w:rFonts w:ascii="Times New Roman" w:hAnsi="Times New Roman"/>
                <w:w w:val="66"/>
                <w:sz w:val="21"/>
                <w:szCs w:val="21"/>
              </w:rPr>
            </w:pPr>
            <w:r>
              <w:rPr>
                <w:rFonts w:ascii="Times New Roman" w:hAnsi="Times New Roman"/>
                <w:w w:val="66"/>
                <w:sz w:val="21"/>
                <w:szCs w:val="21"/>
              </w:rPr>
              <w:t>20</w:t>
            </w:r>
          </w:p>
        </w:tc>
      </w:tr>
      <w:tr w14:paraId="3AC54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70548F9">
            <w:pPr>
              <w:pStyle w:val="121"/>
              <w:rPr>
                <w:rFonts w:ascii="Times New Roman" w:hAnsi="Times New Roman"/>
                <w:w w:val="66"/>
                <w:sz w:val="21"/>
                <w:szCs w:val="21"/>
              </w:rPr>
            </w:pPr>
            <w:r>
              <w:rPr>
                <w:rFonts w:hint="eastAsia" w:ascii="Times New Roman" w:hAnsi="Times New Roman"/>
                <w:w w:val="66"/>
                <w:sz w:val="21"/>
                <w:szCs w:val="21"/>
              </w:rPr>
              <w:t>4</w:t>
            </w:r>
          </w:p>
        </w:tc>
        <w:tc>
          <w:tcPr>
            <w:tcW w:w="1714" w:type="pct"/>
            <w:noWrap/>
            <w:vAlign w:val="center"/>
          </w:tcPr>
          <w:p w14:paraId="50CD73B7">
            <w:pPr>
              <w:pStyle w:val="121"/>
              <w:rPr>
                <w:rFonts w:ascii="Times New Roman" w:hAnsi="Times New Roman"/>
                <w:w w:val="66"/>
                <w:sz w:val="21"/>
                <w:szCs w:val="21"/>
              </w:rPr>
            </w:pPr>
            <w:r>
              <w:rPr>
                <w:rFonts w:hint="eastAsia" w:ascii="Times New Roman" w:hAnsi="Times New Roman"/>
                <w:w w:val="66"/>
                <w:sz w:val="21"/>
                <w:szCs w:val="21"/>
              </w:rPr>
              <w:t>2</w:t>
            </w:r>
            <w:r>
              <w:rPr>
                <w:rFonts w:ascii="Times New Roman" w:hAnsi="Times New Roman"/>
                <w:w w:val="66"/>
                <w:sz w:val="21"/>
                <w:szCs w:val="21"/>
              </w:rPr>
              <w:t>号回风井南石门</w:t>
            </w:r>
          </w:p>
        </w:tc>
        <w:tc>
          <w:tcPr>
            <w:tcW w:w="419" w:type="pct"/>
            <w:noWrap/>
            <w:vAlign w:val="center"/>
          </w:tcPr>
          <w:p w14:paraId="5E2CC1C8">
            <w:pPr>
              <w:pStyle w:val="121"/>
              <w:rPr>
                <w:rFonts w:ascii="Times New Roman" w:hAnsi="Times New Roman"/>
                <w:w w:val="66"/>
                <w:sz w:val="21"/>
                <w:szCs w:val="21"/>
              </w:rPr>
            </w:pPr>
            <w:r>
              <w:rPr>
                <w:rFonts w:hint="eastAsia" w:ascii="Times New Roman" w:hAnsi="Times New Roman"/>
                <w:w w:val="66"/>
                <w:sz w:val="21"/>
                <w:szCs w:val="21"/>
              </w:rPr>
              <w:t>10.8</w:t>
            </w:r>
          </w:p>
        </w:tc>
        <w:tc>
          <w:tcPr>
            <w:tcW w:w="616" w:type="pct"/>
            <w:noWrap/>
            <w:vAlign w:val="center"/>
          </w:tcPr>
          <w:p w14:paraId="4FCB2930">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3FF7EFAD">
            <w:pPr>
              <w:pStyle w:val="121"/>
              <w:rPr>
                <w:rFonts w:ascii="Times New Roman" w:hAnsi="Times New Roman"/>
                <w:w w:val="66"/>
                <w:sz w:val="21"/>
                <w:szCs w:val="21"/>
              </w:rPr>
            </w:pPr>
            <w:r>
              <w:rPr>
                <w:rFonts w:hint="eastAsia" w:ascii="Times New Roman" w:hAnsi="Times New Roman"/>
                <w:w w:val="66"/>
                <w:sz w:val="21"/>
                <w:szCs w:val="21"/>
              </w:rPr>
              <w:t>155</w:t>
            </w:r>
          </w:p>
        </w:tc>
        <w:tc>
          <w:tcPr>
            <w:tcW w:w="458" w:type="pct"/>
            <w:noWrap/>
            <w:vAlign w:val="center"/>
          </w:tcPr>
          <w:p w14:paraId="25B2A680">
            <w:pPr>
              <w:pStyle w:val="121"/>
              <w:rPr>
                <w:rFonts w:ascii="Times New Roman" w:hAnsi="Times New Roman"/>
                <w:w w:val="66"/>
                <w:sz w:val="21"/>
                <w:szCs w:val="21"/>
              </w:rPr>
            </w:pPr>
            <w:r>
              <w:rPr>
                <w:rFonts w:hint="eastAsia" w:ascii="Times New Roman" w:hAnsi="Times New Roman"/>
                <w:w w:val="66"/>
                <w:sz w:val="21"/>
                <w:szCs w:val="21"/>
              </w:rPr>
              <w:t>-399.9</w:t>
            </w:r>
          </w:p>
        </w:tc>
        <w:tc>
          <w:tcPr>
            <w:tcW w:w="458" w:type="pct"/>
            <w:noWrap/>
            <w:vAlign w:val="center"/>
          </w:tcPr>
          <w:p w14:paraId="51AA507E">
            <w:pPr>
              <w:pStyle w:val="121"/>
              <w:rPr>
                <w:rFonts w:ascii="Times New Roman" w:hAnsi="Times New Roman"/>
                <w:w w:val="66"/>
                <w:sz w:val="21"/>
                <w:szCs w:val="21"/>
              </w:rPr>
            </w:pPr>
            <w:r>
              <w:rPr>
                <w:rFonts w:hint="eastAsia" w:ascii="Times New Roman" w:hAnsi="Times New Roman"/>
                <w:w w:val="66"/>
                <w:sz w:val="21"/>
                <w:szCs w:val="21"/>
              </w:rPr>
              <w:t>12.1</w:t>
            </w:r>
          </w:p>
        </w:tc>
        <w:tc>
          <w:tcPr>
            <w:tcW w:w="521" w:type="pct"/>
            <w:noWrap/>
            <w:vAlign w:val="center"/>
          </w:tcPr>
          <w:p w14:paraId="0DDEE35E">
            <w:pPr>
              <w:pStyle w:val="121"/>
              <w:rPr>
                <w:rFonts w:ascii="Times New Roman" w:hAnsi="Times New Roman"/>
                <w:w w:val="66"/>
                <w:sz w:val="21"/>
                <w:szCs w:val="21"/>
              </w:rPr>
            </w:pPr>
            <w:r>
              <w:rPr>
                <w:rFonts w:ascii="Times New Roman" w:hAnsi="Times New Roman"/>
                <w:w w:val="66"/>
                <w:sz w:val="21"/>
                <w:szCs w:val="21"/>
              </w:rPr>
              <w:t>20</w:t>
            </w:r>
          </w:p>
        </w:tc>
      </w:tr>
      <w:tr w14:paraId="2FB5C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E69737C">
            <w:pPr>
              <w:pStyle w:val="121"/>
              <w:rPr>
                <w:rFonts w:ascii="Times New Roman" w:hAnsi="Times New Roman"/>
                <w:w w:val="66"/>
                <w:sz w:val="21"/>
                <w:szCs w:val="21"/>
              </w:rPr>
            </w:pPr>
            <w:r>
              <w:rPr>
                <w:rFonts w:hint="eastAsia" w:ascii="Times New Roman" w:hAnsi="Times New Roman"/>
                <w:w w:val="66"/>
                <w:sz w:val="21"/>
                <w:szCs w:val="21"/>
              </w:rPr>
              <w:t>5</w:t>
            </w:r>
          </w:p>
        </w:tc>
        <w:tc>
          <w:tcPr>
            <w:tcW w:w="1714" w:type="pct"/>
            <w:noWrap/>
            <w:vAlign w:val="center"/>
          </w:tcPr>
          <w:p w14:paraId="6E802DF1">
            <w:pPr>
              <w:pStyle w:val="121"/>
              <w:rPr>
                <w:rFonts w:ascii="Times New Roman" w:hAnsi="Times New Roman"/>
                <w:w w:val="66"/>
                <w:sz w:val="21"/>
                <w:szCs w:val="21"/>
              </w:rPr>
            </w:pPr>
            <w:r>
              <w:rPr>
                <w:rFonts w:ascii="Times New Roman" w:hAnsi="Times New Roman"/>
                <w:w w:val="66"/>
                <w:sz w:val="21"/>
                <w:szCs w:val="21"/>
              </w:rPr>
              <w:t>采区回风天井联络巷</w:t>
            </w:r>
          </w:p>
        </w:tc>
        <w:tc>
          <w:tcPr>
            <w:tcW w:w="419" w:type="pct"/>
            <w:noWrap/>
            <w:vAlign w:val="center"/>
          </w:tcPr>
          <w:p w14:paraId="3A7C9AB2">
            <w:pPr>
              <w:pStyle w:val="121"/>
              <w:rPr>
                <w:rFonts w:ascii="Times New Roman" w:hAnsi="Times New Roman"/>
                <w:w w:val="66"/>
                <w:sz w:val="21"/>
                <w:szCs w:val="21"/>
              </w:rPr>
            </w:pPr>
            <w:r>
              <w:rPr>
                <w:rFonts w:hint="eastAsia" w:ascii="Times New Roman" w:hAnsi="Times New Roman"/>
                <w:w w:val="66"/>
                <w:sz w:val="21"/>
                <w:szCs w:val="21"/>
              </w:rPr>
              <w:t>12.7</w:t>
            </w:r>
          </w:p>
        </w:tc>
        <w:tc>
          <w:tcPr>
            <w:tcW w:w="616" w:type="pct"/>
            <w:noWrap/>
            <w:vAlign w:val="center"/>
          </w:tcPr>
          <w:p w14:paraId="23F574E9">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1A92D814">
            <w:pPr>
              <w:pStyle w:val="121"/>
              <w:rPr>
                <w:rFonts w:ascii="Times New Roman" w:hAnsi="Times New Roman"/>
                <w:w w:val="66"/>
                <w:sz w:val="21"/>
                <w:szCs w:val="21"/>
              </w:rPr>
            </w:pPr>
            <w:r>
              <w:rPr>
                <w:rFonts w:hint="eastAsia" w:ascii="Times New Roman" w:hAnsi="Times New Roman"/>
                <w:w w:val="66"/>
                <w:sz w:val="21"/>
                <w:szCs w:val="21"/>
              </w:rPr>
              <w:t>111.6</w:t>
            </w:r>
          </w:p>
        </w:tc>
        <w:tc>
          <w:tcPr>
            <w:tcW w:w="458" w:type="pct"/>
            <w:noWrap/>
            <w:vAlign w:val="center"/>
          </w:tcPr>
          <w:p w14:paraId="0E782B0B">
            <w:pPr>
              <w:pStyle w:val="121"/>
              <w:rPr>
                <w:rFonts w:ascii="Times New Roman" w:hAnsi="Times New Roman"/>
                <w:w w:val="66"/>
                <w:sz w:val="21"/>
                <w:szCs w:val="21"/>
              </w:rPr>
            </w:pPr>
            <w:r>
              <w:rPr>
                <w:rFonts w:hint="eastAsia" w:ascii="Times New Roman" w:hAnsi="Times New Roman"/>
                <w:w w:val="66"/>
                <w:sz w:val="21"/>
                <w:szCs w:val="21"/>
              </w:rPr>
              <w:t>-390.2</w:t>
            </w:r>
          </w:p>
        </w:tc>
        <w:tc>
          <w:tcPr>
            <w:tcW w:w="458" w:type="pct"/>
            <w:noWrap/>
            <w:vAlign w:val="center"/>
          </w:tcPr>
          <w:p w14:paraId="33180C2E">
            <w:pPr>
              <w:pStyle w:val="121"/>
              <w:rPr>
                <w:rFonts w:ascii="Times New Roman" w:hAnsi="Times New Roman"/>
                <w:w w:val="66"/>
                <w:sz w:val="21"/>
                <w:szCs w:val="21"/>
              </w:rPr>
            </w:pPr>
            <w:r>
              <w:rPr>
                <w:rFonts w:hint="eastAsia" w:ascii="Times New Roman" w:hAnsi="Times New Roman"/>
                <w:w w:val="66"/>
                <w:sz w:val="21"/>
                <w:szCs w:val="21"/>
              </w:rPr>
              <w:t>8.8</w:t>
            </w:r>
          </w:p>
        </w:tc>
        <w:tc>
          <w:tcPr>
            <w:tcW w:w="521" w:type="pct"/>
            <w:noWrap/>
            <w:vAlign w:val="center"/>
          </w:tcPr>
          <w:p w14:paraId="3C98099E">
            <w:pPr>
              <w:pStyle w:val="121"/>
              <w:rPr>
                <w:rFonts w:ascii="Times New Roman" w:hAnsi="Times New Roman"/>
                <w:w w:val="66"/>
                <w:sz w:val="21"/>
                <w:szCs w:val="21"/>
              </w:rPr>
            </w:pPr>
            <w:r>
              <w:rPr>
                <w:rFonts w:hint="eastAsia" w:ascii="Times New Roman" w:hAnsi="Times New Roman"/>
                <w:w w:val="66"/>
                <w:sz w:val="21"/>
                <w:szCs w:val="21"/>
              </w:rPr>
              <w:t>20</w:t>
            </w:r>
          </w:p>
        </w:tc>
      </w:tr>
      <w:tr w14:paraId="5987A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AE5034A">
            <w:pPr>
              <w:pStyle w:val="121"/>
              <w:rPr>
                <w:rFonts w:ascii="Times New Roman" w:hAnsi="Times New Roman"/>
                <w:w w:val="66"/>
                <w:sz w:val="21"/>
                <w:szCs w:val="21"/>
              </w:rPr>
            </w:pPr>
            <w:r>
              <w:rPr>
                <w:rFonts w:hint="eastAsia" w:ascii="Times New Roman" w:hAnsi="Times New Roman"/>
                <w:w w:val="66"/>
                <w:sz w:val="21"/>
                <w:szCs w:val="21"/>
              </w:rPr>
              <w:t>6</w:t>
            </w:r>
          </w:p>
        </w:tc>
        <w:tc>
          <w:tcPr>
            <w:tcW w:w="1714" w:type="pct"/>
            <w:noWrap/>
            <w:vAlign w:val="center"/>
          </w:tcPr>
          <w:p w14:paraId="6EBC1A87">
            <w:pPr>
              <w:pStyle w:val="121"/>
              <w:rPr>
                <w:rFonts w:ascii="Times New Roman" w:hAnsi="Times New Roman"/>
                <w:w w:val="66"/>
                <w:sz w:val="21"/>
                <w:szCs w:val="21"/>
              </w:rPr>
            </w:pPr>
            <w:r>
              <w:rPr>
                <w:rFonts w:ascii="Times New Roman" w:hAnsi="Times New Roman"/>
                <w:w w:val="66"/>
                <w:sz w:val="21"/>
                <w:szCs w:val="21"/>
              </w:rPr>
              <w:t>下盘回风联络巷</w:t>
            </w:r>
          </w:p>
        </w:tc>
        <w:tc>
          <w:tcPr>
            <w:tcW w:w="419" w:type="pct"/>
            <w:noWrap/>
            <w:vAlign w:val="center"/>
          </w:tcPr>
          <w:p w14:paraId="1840C481">
            <w:pPr>
              <w:pStyle w:val="121"/>
              <w:rPr>
                <w:rFonts w:ascii="Times New Roman" w:hAnsi="Times New Roman"/>
                <w:w w:val="66"/>
                <w:sz w:val="21"/>
                <w:szCs w:val="21"/>
              </w:rPr>
            </w:pPr>
            <w:r>
              <w:rPr>
                <w:rFonts w:hint="eastAsia" w:ascii="Times New Roman" w:hAnsi="Times New Roman"/>
                <w:w w:val="66"/>
                <w:sz w:val="21"/>
                <w:szCs w:val="21"/>
              </w:rPr>
              <w:t>18.6</w:t>
            </w:r>
          </w:p>
        </w:tc>
        <w:tc>
          <w:tcPr>
            <w:tcW w:w="616" w:type="pct"/>
            <w:noWrap/>
            <w:vAlign w:val="center"/>
          </w:tcPr>
          <w:p w14:paraId="4F243FA5">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3CAA8FBB">
            <w:pPr>
              <w:pStyle w:val="121"/>
              <w:rPr>
                <w:rFonts w:ascii="Times New Roman" w:hAnsi="Times New Roman"/>
                <w:w w:val="66"/>
                <w:sz w:val="21"/>
                <w:szCs w:val="21"/>
              </w:rPr>
            </w:pPr>
            <w:r>
              <w:rPr>
                <w:rFonts w:hint="eastAsia" w:ascii="Times New Roman" w:hAnsi="Times New Roman"/>
                <w:w w:val="66"/>
                <w:sz w:val="21"/>
                <w:szCs w:val="21"/>
              </w:rPr>
              <w:t>141</w:t>
            </w:r>
          </w:p>
        </w:tc>
        <w:tc>
          <w:tcPr>
            <w:tcW w:w="458" w:type="pct"/>
            <w:noWrap/>
            <w:vAlign w:val="center"/>
          </w:tcPr>
          <w:p w14:paraId="7658DD42">
            <w:pPr>
              <w:pStyle w:val="121"/>
              <w:rPr>
                <w:rFonts w:ascii="Times New Roman" w:hAnsi="Times New Roman"/>
                <w:w w:val="66"/>
                <w:sz w:val="21"/>
                <w:szCs w:val="21"/>
              </w:rPr>
            </w:pPr>
            <w:r>
              <w:rPr>
                <w:rFonts w:hint="eastAsia" w:ascii="Times New Roman" w:hAnsi="Times New Roman"/>
                <w:w w:val="66"/>
                <w:sz w:val="21"/>
                <w:szCs w:val="21"/>
              </w:rPr>
              <w:t>-365.5</w:t>
            </w:r>
          </w:p>
        </w:tc>
        <w:tc>
          <w:tcPr>
            <w:tcW w:w="458" w:type="pct"/>
            <w:noWrap/>
            <w:vAlign w:val="center"/>
          </w:tcPr>
          <w:p w14:paraId="4A2D357F">
            <w:pPr>
              <w:pStyle w:val="121"/>
              <w:rPr>
                <w:rFonts w:ascii="Times New Roman" w:hAnsi="Times New Roman"/>
                <w:w w:val="66"/>
                <w:sz w:val="21"/>
                <w:szCs w:val="21"/>
              </w:rPr>
            </w:pPr>
            <w:r>
              <w:rPr>
                <w:rFonts w:hint="eastAsia" w:ascii="Times New Roman" w:hAnsi="Times New Roman"/>
                <w:w w:val="66"/>
                <w:sz w:val="21"/>
                <w:szCs w:val="21"/>
              </w:rPr>
              <w:t>7.6</w:t>
            </w:r>
          </w:p>
        </w:tc>
        <w:tc>
          <w:tcPr>
            <w:tcW w:w="521" w:type="pct"/>
            <w:noWrap/>
            <w:vAlign w:val="center"/>
          </w:tcPr>
          <w:p w14:paraId="436A212D">
            <w:pPr>
              <w:pStyle w:val="121"/>
              <w:rPr>
                <w:rFonts w:ascii="Times New Roman" w:hAnsi="Times New Roman"/>
                <w:w w:val="66"/>
                <w:sz w:val="21"/>
                <w:szCs w:val="21"/>
              </w:rPr>
            </w:pPr>
            <w:r>
              <w:rPr>
                <w:rFonts w:ascii="Times New Roman" w:hAnsi="Times New Roman"/>
                <w:w w:val="66"/>
                <w:sz w:val="21"/>
                <w:szCs w:val="21"/>
              </w:rPr>
              <w:t>20</w:t>
            </w:r>
          </w:p>
        </w:tc>
      </w:tr>
      <w:tr w14:paraId="53BE4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3E8A7C9">
            <w:pPr>
              <w:pStyle w:val="121"/>
              <w:rPr>
                <w:rFonts w:ascii="Times New Roman" w:hAnsi="Times New Roman"/>
                <w:w w:val="66"/>
                <w:sz w:val="21"/>
                <w:szCs w:val="21"/>
              </w:rPr>
            </w:pPr>
            <w:r>
              <w:rPr>
                <w:rFonts w:hint="eastAsia" w:ascii="Times New Roman" w:hAnsi="Times New Roman"/>
                <w:w w:val="66"/>
                <w:sz w:val="21"/>
                <w:szCs w:val="21"/>
              </w:rPr>
              <w:t>四</w:t>
            </w:r>
          </w:p>
        </w:tc>
        <w:tc>
          <w:tcPr>
            <w:tcW w:w="1714" w:type="pct"/>
            <w:noWrap/>
            <w:vAlign w:val="center"/>
          </w:tcPr>
          <w:p w14:paraId="4F79B59E">
            <w:pPr>
              <w:pStyle w:val="121"/>
              <w:rPr>
                <w:rFonts w:ascii="Times New Roman" w:hAnsi="Times New Roman"/>
                <w:w w:val="66"/>
                <w:sz w:val="21"/>
                <w:szCs w:val="21"/>
              </w:rPr>
            </w:pPr>
            <w:r>
              <w:rPr>
                <w:rFonts w:ascii="Times New Roman" w:hAnsi="Times New Roman"/>
                <w:w w:val="66"/>
                <w:sz w:val="21"/>
                <w:szCs w:val="21"/>
              </w:rPr>
              <w:t>-400m充填水平</w:t>
            </w:r>
          </w:p>
        </w:tc>
        <w:tc>
          <w:tcPr>
            <w:tcW w:w="419" w:type="pct"/>
            <w:noWrap/>
            <w:vAlign w:val="center"/>
          </w:tcPr>
          <w:p w14:paraId="2EA3A8B2">
            <w:pPr>
              <w:pStyle w:val="121"/>
              <w:rPr>
                <w:rFonts w:ascii="Times New Roman" w:hAnsi="Times New Roman"/>
                <w:w w:val="66"/>
                <w:sz w:val="21"/>
                <w:szCs w:val="21"/>
              </w:rPr>
            </w:pPr>
          </w:p>
        </w:tc>
        <w:tc>
          <w:tcPr>
            <w:tcW w:w="616" w:type="pct"/>
            <w:noWrap/>
            <w:vAlign w:val="center"/>
          </w:tcPr>
          <w:p w14:paraId="1FF7FBC3">
            <w:pPr>
              <w:pStyle w:val="121"/>
              <w:rPr>
                <w:rFonts w:ascii="Times New Roman" w:hAnsi="Times New Roman"/>
                <w:w w:val="66"/>
                <w:sz w:val="21"/>
                <w:szCs w:val="21"/>
              </w:rPr>
            </w:pPr>
          </w:p>
        </w:tc>
        <w:tc>
          <w:tcPr>
            <w:tcW w:w="494" w:type="pct"/>
            <w:noWrap/>
            <w:vAlign w:val="center"/>
          </w:tcPr>
          <w:p w14:paraId="07822882">
            <w:pPr>
              <w:pStyle w:val="121"/>
              <w:rPr>
                <w:rFonts w:ascii="Times New Roman" w:hAnsi="Times New Roman"/>
                <w:w w:val="66"/>
                <w:sz w:val="21"/>
                <w:szCs w:val="21"/>
              </w:rPr>
            </w:pPr>
          </w:p>
        </w:tc>
        <w:tc>
          <w:tcPr>
            <w:tcW w:w="458" w:type="pct"/>
            <w:noWrap/>
            <w:vAlign w:val="center"/>
          </w:tcPr>
          <w:p w14:paraId="2758AD57">
            <w:pPr>
              <w:pStyle w:val="121"/>
              <w:rPr>
                <w:rFonts w:ascii="Times New Roman" w:hAnsi="Times New Roman"/>
                <w:w w:val="66"/>
                <w:sz w:val="21"/>
                <w:szCs w:val="21"/>
              </w:rPr>
            </w:pPr>
          </w:p>
        </w:tc>
        <w:tc>
          <w:tcPr>
            <w:tcW w:w="458" w:type="pct"/>
            <w:noWrap/>
            <w:vAlign w:val="center"/>
          </w:tcPr>
          <w:p w14:paraId="0FFE993B">
            <w:pPr>
              <w:pStyle w:val="121"/>
              <w:rPr>
                <w:rFonts w:ascii="Times New Roman" w:hAnsi="Times New Roman"/>
                <w:w w:val="66"/>
                <w:sz w:val="21"/>
                <w:szCs w:val="21"/>
              </w:rPr>
            </w:pPr>
          </w:p>
        </w:tc>
        <w:tc>
          <w:tcPr>
            <w:tcW w:w="521" w:type="pct"/>
            <w:noWrap/>
            <w:vAlign w:val="center"/>
          </w:tcPr>
          <w:p w14:paraId="35492FDF">
            <w:pPr>
              <w:pStyle w:val="121"/>
              <w:rPr>
                <w:rFonts w:ascii="Times New Roman" w:hAnsi="Times New Roman"/>
                <w:w w:val="66"/>
                <w:sz w:val="21"/>
                <w:szCs w:val="21"/>
              </w:rPr>
            </w:pPr>
          </w:p>
        </w:tc>
      </w:tr>
      <w:tr w14:paraId="64834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53ABA87">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79129E56">
            <w:pPr>
              <w:pStyle w:val="121"/>
              <w:rPr>
                <w:rFonts w:ascii="Times New Roman" w:hAnsi="Times New Roman"/>
                <w:w w:val="66"/>
                <w:sz w:val="21"/>
                <w:szCs w:val="21"/>
              </w:rPr>
            </w:pPr>
            <w:r>
              <w:rPr>
                <w:rFonts w:ascii="Times New Roman" w:hAnsi="Times New Roman"/>
                <w:w w:val="66"/>
                <w:sz w:val="21"/>
                <w:szCs w:val="21"/>
              </w:rPr>
              <w:t>副井石门</w:t>
            </w:r>
          </w:p>
        </w:tc>
        <w:tc>
          <w:tcPr>
            <w:tcW w:w="419" w:type="pct"/>
            <w:noWrap/>
            <w:vAlign w:val="center"/>
          </w:tcPr>
          <w:p w14:paraId="7BF146C8">
            <w:pPr>
              <w:pStyle w:val="121"/>
              <w:rPr>
                <w:rFonts w:ascii="Times New Roman" w:hAnsi="Times New Roman"/>
                <w:w w:val="66"/>
                <w:sz w:val="21"/>
                <w:szCs w:val="21"/>
              </w:rPr>
            </w:pPr>
            <w:r>
              <w:rPr>
                <w:rFonts w:hint="eastAsia" w:ascii="Times New Roman" w:hAnsi="Times New Roman"/>
                <w:w w:val="66"/>
                <w:sz w:val="21"/>
                <w:szCs w:val="21"/>
              </w:rPr>
              <w:t>15.4</w:t>
            </w:r>
          </w:p>
        </w:tc>
        <w:tc>
          <w:tcPr>
            <w:tcW w:w="616" w:type="pct"/>
            <w:noWrap/>
            <w:vAlign w:val="center"/>
          </w:tcPr>
          <w:p w14:paraId="0353934B">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384660B7">
            <w:pPr>
              <w:pStyle w:val="121"/>
              <w:rPr>
                <w:rFonts w:ascii="Times New Roman" w:hAnsi="Times New Roman"/>
                <w:w w:val="66"/>
                <w:sz w:val="21"/>
                <w:szCs w:val="21"/>
              </w:rPr>
            </w:pPr>
            <w:r>
              <w:rPr>
                <w:rFonts w:hint="eastAsia" w:ascii="Times New Roman" w:hAnsi="Times New Roman"/>
                <w:w w:val="66"/>
                <w:sz w:val="21"/>
                <w:szCs w:val="21"/>
              </w:rPr>
              <w:t>50</w:t>
            </w:r>
          </w:p>
        </w:tc>
        <w:tc>
          <w:tcPr>
            <w:tcW w:w="458" w:type="pct"/>
            <w:noWrap/>
            <w:vAlign w:val="center"/>
          </w:tcPr>
          <w:p w14:paraId="7EF9165C">
            <w:pPr>
              <w:pStyle w:val="121"/>
              <w:rPr>
                <w:rFonts w:ascii="Times New Roman" w:hAnsi="Times New Roman"/>
                <w:w w:val="66"/>
                <w:sz w:val="21"/>
                <w:szCs w:val="21"/>
              </w:rPr>
            </w:pPr>
            <w:r>
              <w:rPr>
                <w:rFonts w:hint="eastAsia" w:ascii="Times New Roman" w:hAnsi="Times New Roman"/>
                <w:w w:val="66"/>
                <w:sz w:val="21"/>
                <w:szCs w:val="21"/>
              </w:rPr>
              <w:t>-62.5</w:t>
            </w:r>
          </w:p>
        </w:tc>
        <w:tc>
          <w:tcPr>
            <w:tcW w:w="458" w:type="pct"/>
            <w:noWrap/>
            <w:vAlign w:val="center"/>
          </w:tcPr>
          <w:p w14:paraId="34DBBC03">
            <w:pPr>
              <w:pStyle w:val="121"/>
              <w:rPr>
                <w:rFonts w:ascii="Times New Roman" w:hAnsi="Times New Roman"/>
                <w:w w:val="66"/>
                <w:sz w:val="21"/>
                <w:szCs w:val="21"/>
              </w:rPr>
            </w:pPr>
            <w:r>
              <w:rPr>
                <w:rFonts w:hint="eastAsia" w:ascii="Times New Roman" w:hAnsi="Times New Roman"/>
                <w:w w:val="66"/>
                <w:sz w:val="21"/>
                <w:szCs w:val="21"/>
              </w:rPr>
              <w:t>3.3</w:t>
            </w:r>
          </w:p>
        </w:tc>
        <w:tc>
          <w:tcPr>
            <w:tcW w:w="521" w:type="pct"/>
            <w:noWrap/>
            <w:vAlign w:val="center"/>
          </w:tcPr>
          <w:p w14:paraId="6CC88AD7">
            <w:pPr>
              <w:pStyle w:val="121"/>
              <w:rPr>
                <w:rFonts w:ascii="Times New Roman" w:hAnsi="Times New Roman"/>
                <w:w w:val="66"/>
                <w:sz w:val="21"/>
                <w:szCs w:val="21"/>
              </w:rPr>
            </w:pPr>
            <w:r>
              <w:rPr>
                <w:rFonts w:hint="eastAsia" w:ascii="Times New Roman" w:hAnsi="Times New Roman"/>
                <w:w w:val="66"/>
                <w:sz w:val="21"/>
                <w:szCs w:val="21"/>
              </w:rPr>
              <w:t>6</w:t>
            </w:r>
          </w:p>
        </w:tc>
      </w:tr>
      <w:tr w14:paraId="52CC2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C189273">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75B701DE">
            <w:pPr>
              <w:pStyle w:val="121"/>
              <w:rPr>
                <w:rFonts w:ascii="Times New Roman" w:hAnsi="Times New Roman"/>
                <w:w w:val="66"/>
                <w:sz w:val="21"/>
                <w:szCs w:val="21"/>
              </w:rPr>
            </w:pPr>
            <w:r>
              <w:rPr>
                <w:rFonts w:ascii="Times New Roman" w:hAnsi="Times New Roman"/>
                <w:w w:val="66"/>
                <w:sz w:val="21"/>
                <w:szCs w:val="21"/>
              </w:rPr>
              <w:t>下盘脉外联络巷</w:t>
            </w:r>
          </w:p>
        </w:tc>
        <w:tc>
          <w:tcPr>
            <w:tcW w:w="419" w:type="pct"/>
            <w:noWrap/>
            <w:vAlign w:val="center"/>
          </w:tcPr>
          <w:p w14:paraId="1EA3CF6A">
            <w:pPr>
              <w:pStyle w:val="121"/>
              <w:rPr>
                <w:rFonts w:ascii="Times New Roman" w:hAnsi="Times New Roman"/>
                <w:w w:val="66"/>
                <w:sz w:val="21"/>
                <w:szCs w:val="21"/>
              </w:rPr>
            </w:pPr>
            <w:r>
              <w:rPr>
                <w:rFonts w:hint="eastAsia" w:ascii="Times New Roman" w:hAnsi="Times New Roman"/>
                <w:w w:val="66"/>
                <w:sz w:val="21"/>
                <w:szCs w:val="21"/>
              </w:rPr>
              <w:t>18.6</w:t>
            </w:r>
          </w:p>
        </w:tc>
        <w:tc>
          <w:tcPr>
            <w:tcW w:w="616" w:type="pct"/>
            <w:noWrap/>
            <w:vAlign w:val="center"/>
          </w:tcPr>
          <w:p w14:paraId="22261D17">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B36D0A0">
            <w:pPr>
              <w:pStyle w:val="121"/>
              <w:rPr>
                <w:rFonts w:ascii="Times New Roman" w:hAnsi="Times New Roman"/>
                <w:w w:val="66"/>
                <w:sz w:val="21"/>
                <w:szCs w:val="21"/>
              </w:rPr>
            </w:pPr>
            <w:r>
              <w:rPr>
                <w:rFonts w:hint="eastAsia" w:ascii="Times New Roman" w:hAnsi="Times New Roman"/>
                <w:w w:val="66"/>
                <w:sz w:val="21"/>
                <w:szCs w:val="21"/>
              </w:rPr>
              <w:t>21.4</w:t>
            </w:r>
          </w:p>
        </w:tc>
        <w:tc>
          <w:tcPr>
            <w:tcW w:w="458" w:type="pct"/>
            <w:noWrap/>
            <w:vAlign w:val="center"/>
          </w:tcPr>
          <w:p w14:paraId="70EE58B9">
            <w:pPr>
              <w:pStyle w:val="121"/>
              <w:rPr>
                <w:rFonts w:ascii="Times New Roman" w:hAnsi="Times New Roman"/>
                <w:w w:val="66"/>
                <w:sz w:val="21"/>
                <w:szCs w:val="21"/>
              </w:rPr>
            </w:pPr>
            <w:r>
              <w:rPr>
                <w:rFonts w:hint="eastAsia" w:ascii="Times New Roman" w:hAnsi="Times New Roman"/>
                <w:w w:val="66"/>
                <w:sz w:val="21"/>
                <w:szCs w:val="21"/>
              </w:rPr>
              <w:t>-65.4</w:t>
            </w:r>
          </w:p>
        </w:tc>
        <w:tc>
          <w:tcPr>
            <w:tcW w:w="458" w:type="pct"/>
            <w:noWrap/>
            <w:vAlign w:val="center"/>
          </w:tcPr>
          <w:p w14:paraId="02CE9FCE">
            <w:pPr>
              <w:pStyle w:val="121"/>
              <w:rPr>
                <w:rFonts w:ascii="Times New Roman" w:hAnsi="Times New Roman"/>
                <w:w w:val="66"/>
                <w:sz w:val="21"/>
                <w:szCs w:val="21"/>
              </w:rPr>
            </w:pPr>
            <w:r>
              <w:rPr>
                <w:rFonts w:hint="eastAsia" w:ascii="Times New Roman" w:hAnsi="Times New Roman"/>
                <w:w w:val="66"/>
                <w:sz w:val="21"/>
                <w:szCs w:val="21"/>
              </w:rPr>
              <w:t>1.2</w:t>
            </w:r>
          </w:p>
        </w:tc>
        <w:tc>
          <w:tcPr>
            <w:tcW w:w="521" w:type="pct"/>
            <w:noWrap/>
            <w:vAlign w:val="center"/>
          </w:tcPr>
          <w:p w14:paraId="4BD55935">
            <w:pPr>
              <w:pStyle w:val="121"/>
              <w:rPr>
                <w:rFonts w:ascii="Times New Roman" w:hAnsi="Times New Roman"/>
                <w:w w:val="66"/>
                <w:sz w:val="21"/>
                <w:szCs w:val="21"/>
              </w:rPr>
            </w:pPr>
            <w:r>
              <w:rPr>
                <w:rFonts w:hint="eastAsia" w:ascii="Times New Roman" w:hAnsi="Times New Roman"/>
                <w:w w:val="66"/>
                <w:sz w:val="21"/>
                <w:szCs w:val="21"/>
              </w:rPr>
              <w:t>6</w:t>
            </w:r>
          </w:p>
        </w:tc>
      </w:tr>
      <w:tr w14:paraId="054CF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D4E3200">
            <w:pPr>
              <w:pStyle w:val="121"/>
              <w:rPr>
                <w:rFonts w:ascii="Times New Roman" w:hAnsi="Times New Roman"/>
                <w:w w:val="66"/>
                <w:sz w:val="21"/>
                <w:szCs w:val="21"/>
              </w:rPr>
            </w:pPr>
            <w:r>
              <w:rPr>
                <w:rFonts w:hint="eastAsia" w:ascii="Times New Roman" w:hAnsi="Times New Roman"/>
                <w:w w:val="66"/>
                <w:sz w:val="21"/>
                <w:szCs w:val="21"/>
              </w:rPr>
              <w:t>五</w:t>
            </w:r>
          </w:p>
        </w:tc>
        <w:tc>
          <w:tcPr>
            <w:tcW w:w="1714" w:type="pct"/>
            <w:noWrap/>
            <w:vAlign w:val="center"/>
          </w:tcPr>
          <w:p w14:paraId="3BE12901">
            <w:pPr>
              <w:pStyle w:val="121"/>
              <w:rPr>
                <w:rFonts w:ascii="Times New Roman" w:hAnsi="Times New Roman"/>
                <w:w w:val="66"/>
                <w:sz w:val="21"/>
                <w:szCs w:val="21"/>
              </w:rPr>
            </w:pPr>
            <w:r>
              <w:rPr>
                <w:rFonts w:ascii="Times New Roman" w:hAnsi="Times New Roman"/>
                <w:w w:val="66"/>
                <w:sz w:val="21"/>
                <w:szCs w:val="21"/>
              </w:rPr>
              <w:t>-425m、-450m凿岩水平</w:t>
            </w:r>
          </w:p>
        </w:tc>
        <w:tc>
          <w:tcPr>
            <w:tcW w:w="419" w:type="pct"/>
            <w:noWrap/>
            <w:vAlign w:val="center"/>
          </w:tcPr>
          <w:p w14:paraId="322F5553">
            <w:pPr>
              <w:pStyle w:val="121"/>
              <w:rPr>
                <w:rFonts w:ascii="Times New Roman" w:hAnsi="Times New Roman"/>
                <w:w w:val="66"/>
                <w:sz w:val="21"/>
                <w:szCs w:val="21"/>
              </w:rPr>
            </w:pPr>
          </w:p>
        </w:tc>
        <w:tc>
          <w:tcPr>
            <w:tcW w:w="616" w:type="pct"/>
            <w:noWrap/>
            <w:vAlign w:val="center"/>
          </w:tcPr>
          <w:p w14:paraId="74E18972">
            <w:pPr>
              <w:pStyle w:val="121"/>
              <w:rPr>
                <w:rFonts w:ascii="Times New Roman" w:hAnsi="Times New Roman"/>
                <w:w w:val="66"/>
                <w:sz w:val="21"/>
                <w:szCs w:val="21"/>
              </w:rPr>
            </w:pPr>
          </w:p>
        </w:tc>
        <w:tc>
          <w:tcPr>
            <w:tcW w:w="494" w:type="pct"/>
            <w:noWrap/>
            <w:vAlign w:val="center"/>
          </w:tcPr>
          <w:p w14:paraId="0B62E004">
            <w:pPr>
              <w:pStyle w:val="121"/>
              <w:rPr>
                <w:rFonts w:ascii="Times New Roman" w:hAnsi="Times New Roman"/>
                <w:w w:val="66"/>
                <w:sz w:val="21"/>
                <w:szCs w:val="21"/>
              </w:rPr>
            </w:pPr>
          </w:p>
        </w:tc>
        <w:tc>
          <w:tcPr>
            <w:tcW w:w="458" w:type="pct"/>
            <w:noWrap/>
            <w:vAlign w:val="center"/>
          </w:tcPr>
          <w:p w14:paraId="6B38A7D5">
            <w:pPr>
              <w:pStyle w:val="121"/>
              <w:rPr>
                <w:rFonts w:ascii="Times New Roman" w:hAnsi="Times New Roman"/>
                <w:w w:val="66"/>
                <w:sz w:val="21"/>
                <w:szCs w:val="21"/>
              </w:rPr>
            </w:pPr>
          </w:p>
        </w:tc>
        <w:tc>
          <w:tcPr>
            <w:tcW w:w="458" w:type="pct"/>
            <w:noWrap/>
            <w:vAlign w:val="center"/>
          </w:tcPr>
          <w:p w14:paraId="778B80ED">
            <w:pPr>
              <w:pStyle w:val="121"/>
              <w:rPr>
                <w:rFonts w:ascii="Times New Roman" w:hAnsi="Times New Roman"/>
                <w:w w:val="66"/>
                <w:sz w:val="21"/>
                <w:szCs w:val="21"/>
              </w:rPr>
            </w:pPr>
          </w:p>
        </w:tc>
        <w:tc>
          <w:tcPr>
            <w:tcW w:w="521" w:type="pct"/>
            <w:noWrap/>
            <w:vAlign w:val="center"/>
          </w:tcPr>
          <w:p w14:paraId="3DDDE954">
            <w:pPr>
              <w:pStyle w:val="121"/>
              <w:rPr>
                <w:rFonts w:ascii="Times New Roman" w:hAnsi="Times New Roman"/>
                <w:w w:val="66"/>
                <w:sz w:val="21"/>
                <w:szCs w:val="21"/>
              </w:rPr>
            </w:pPr>
          </w:p>
        </w:tc>
      </w:tr>
      <w:tr w14:paraId="6EFEB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5C3BD8F">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714C19FF">
            <w:pPr>
              <w:pStyle w:val="121"/>
              <w:rPr>
                <w:rFonts w:ascii="Times New Roman" w:hAnsi="Times New Roman"/>
                <w:w w:val="66"/>
                <w:sz w:val="21"/>
                <w:szCs w:val="21"/>
              </w:rPr>
            </w:pPr>
            <w:r>
              <w:rPr>
                <w:rFonts w:ascii="Times New Roman" w:hAnsi="Times New Roman"/>
                <w:w w:val="66"/>
                <w:sz w:val="21"/>
                <w:szCs w:val="21"/>
              </w:rPr>
              <w:t>-425m水平下盘脉外联络巷</w:t>
            </w:r>
          </w:p>
        </w:tc>
        <w:tc>
          <w:tcPr>
            <w:tcW w:w="419" w:type="pct"/>
            <w:noWrap/>
            <w:vAlign w:val="center"/>
          </w:tcPr>
          <w:p w14:paraId="5F3A1D49">
            <w:pPr>
              <w:pStyle w:val="121"/>
              <w:rPr>
                <w:rFonts w:ascii="Times New Roman" w:hAnsi="Times New Roman"/>
                <w:w w:val="66"/>
                <w:sz w:val="21"/>
                <w:szCs w:val="21"/>
              </w:rPr>
            </w:pPr>
            <w:r>
              <w:rPr>
                <w:rFonts w:hint="eastAsia" w:ascii="Times New Roman" w:hAnsi="Times New Roman"/>
                <w:w w:val="66"/>
                <w:sz w:val="21"/>
                <w:szCs w:val="21"/>
              </w:rPr>
              <w:t>18.6</w:t>
            </w:r>
          </w:p>
        </w:tc>
        <w:tc>
          <w:tcPr>
            <w:tcW w:w="616" w:type="pct"/>
            <w:noWrap/>
            <w:vAlign w:val="center"/>
          </w:tcPr>
          <w:p w14:paraId="4A9698A7">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0E6B1E21">
            <w:pPr>
              <w:pStyle w:val="121"/>
              <w:rPr>
                <w:rFonts w:ascii="Times New Roman" w:hAnsi="Times New Roman"/>
                <w:w w:val="66"/>
                <w:sz w:val="21"/>
                <w:szCs w:val="21"/>
              </w:rPr>
            </w:pPr>
            <w:r>
              <w:rPr>
                <w:rFonts w:hint="eastAsia" w:ascii="Times New Roman" w:hAnsi="Times New Roman"/>
                <w:w w:val="66"/>
                <w:sz w:val="21"/>
                <w:szCs w:val="21"/>
              </w:rPr>
              <w:t>25.3</w:t>
            </w:r>
          </w:p>
        </w:tc>
        <w:tc>
          <w:tcPr>
            <w:tcW w:w="458" w:type="pct"/>
            <w:noWrap/>
            <w:vAlign w:val="center"/>
          </w:tcPr>
          <w:p w14:paraId="3E6F9B33">
            <w:pPr>
              <w:pStyle w:val="121"/>
              <w:rPr>
                <w:rFonts w:ascii="Times New Roman" w:hAnsi="Times New Roman"/>
                <w:w w:val="66"/>
                <w:sz w:val="21"/>
                <w:szCs w:val="21"/>
              </w:rPr>
            </w:pPr>
            <w:r>
              <w:rPr>
                <w:rFonts w:hint="eastAsia" w:ascii="Times New Roman" w:hAnsi="Times New Roman"/>
                <w:w w:val="66"/>
                <w:sz w:val="21"/>
                <w:szCs w:val="21"/>
              </w:rPr>
              <w:t>-96.9</w:t>
            </w:r>
          </w:p>
        </w:tc>
        <w:tc>
          <w:tcPr>
            <w:tcW w:w="458" w:type="pct"/>
            <w:noWrap/>
            <w:vAlign w:val="center"/>
          </w:tcPr>
          <w:p w14:paraId="5AA1CABE">
            <w:pPr>
              <w:pStyle w:val="121"/>
              <w:rPr>
                <w:rFonts w:ascii="Times New Roman" w:hAnsi="Times New Roman"/>
                <w:w w:val="66"/>
                <w:sz w:val="21"/>
                <w:szCs w:val="21"/>
              </w:rPr>
            </w:pPr>
            <w:r>
              <w:rPr>
                <w:rFonts w:hint="eastAsia" w:ascii="Times New Roman" w:hAnsi="Times New Roman"/>
                <w:w w:val="66"/>
                <w:sz w:val="21"/>
                <w:szCs w:val="21"/>
              </w:rPr>
              <w:t>1.4</w:t>
            </w:r>
          </w:p>
        </w:tc>
        <w:tc>
          <w:tcPr>
            <w:tcW w:w="521" w:type="pct"/>
            <w:noWrap/>
            <w:vAlign w:val="center"/>
          </w:tcPr>
          <w:p w14:paraId="0BEBC55A">
            <w:pPr>
              <w:pStyle w:val="121"/>
              <w:rPr>
                <w:rFonts w:ascii="Times New Roman" w:hAnsi="Times New Roman"/>
                <w:w w:val="66"/>
                <w:sz w:val="21"/>
                <w:szCs w:val="21"/>
              </w:rPr>
            </w:pPr>
            <w:r>
              <w:rPr>
                <w:rFonts w:hint="eastAsia" w:ascii="Times New Roman" w:hAnsi="Times New Roman"/>
                <w:w w:val="66"/>
                <w:sz w:val="21"/>
                <w:szCs w:val="21"/>
              </w:rPr>
              <w:t>6</w:t>
            </w:r>
          </w:p>
        </w:tc>
      </w:tr>
      <w:tr w14:paraId="375DD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CD2B757">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7AD05899">
            <w:pPr>
              <w:pStyle w:val="121"/>
              <w:rPr>
                <w:rFonts w:ascii="Times New Roman" w:hAnsi="Times New Roman"/>
                <w:w w:val="66"/>
                <w:sz w:val="21"/>
                <w:szCs w:val="21"/>
              </w:rPr>
            </w:pPr>
            <w:r>
              <w:rPr>
                <w:rFonts w:ascii="Times New Roman" w:hAnsi="Times New Roman"/>
                <w:w w:val="66"/>
                <w:sz w:val="21"/>
                <w:szCs w:val="21"/>
              </w:rPr>
              <w:t>-450m水平下盘脉外联络巷</w:t>
            </w:r>
          </w:p>
        </w:tc>
        <w:tc>
          <w:tcPr>
            <w:tcW w:w="419" w:type="pct"/>
            <w:noWrap/>
            <w:vAlign w:val="center"/>
          </w:tcPr>
          <w:p w14:paraId="30C29AE9">
            <w:pPr>
              <w:pStyle w:val="121"/>
              <w:rPr>
                <w:rFonts w:ascii="Times New Roman" w:hAnsi="Times New Roman"/>
                <w:w w:val="66"/>
                <w:sz w:val="21"/>
                <w:szCs w:val="21"/>
              </w:rPr>
            </w:pPr>
            <w:r>
              <w:rPr>
                <w:rFonts w:hint="eastAsia" w:ascii="Times New Roman" w:hAnsi="Times New Roman"/>
                <w:w w:val="66"/>
                <w:sz w:val="21"/>
                <w:szCs w:val="21"/>
              </w:rPr>
              <w:t>18.6</w:t>
            </w:r>
          </w:p>
        </w:tc>
        <w:tc>
          <w:tcPr>
            <w:tcW w:w="616" w:type="pct"/>
            <w:noWrap/>
            <w:vAlign w:val="center"/>
          </w:tcPr>
          <w:p w14:paraId="6CAFA8FC">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9F2B9D8">
            <w:pPr>
              <w:pStyle w:val="121"/>
              <w:rPr>
                <w:rFonts w:ascii="Times New Roman" w:hAnsi="Times New Roman"/>
                <w:w w:val="66"/>
                <w:sz w:val="21"/>
                <w:szCs w:val="21"/>
              </w:rPr>
            </w:pPr>
            <w:r>
              <w:rPr>
                <w:rFonts w:hint="eastAsia" w:ascii="Times New Roman" w:hAnsi="Times New Roman"/>
                <w:w w:val="66"/>
                <w:sz w:val="21"/>
                <w:szCs w:val="21"/>
              </w:rPr>
              <w:t>21.6</w:t>
            </w:r>
          </w:p>
        </w:tc>
        <w:tc>
          <w:tcPr>
            <w:tcW w:w="458" w:type="pct"/>
            <w:noWrap/>
            <w:vAlign w:val="center"/>
          </w:tcPr>
          <w:p w14:paraId="5FD05554">
            <w:pPr>
              <w:pStyle w:val="121"/>
              <w:rPr>
                <w:rFonts w:ascii="Times New Roman" w:hAnsi="Times New Roman"/>
                <w:w w:val="66"/>
                <w:sz w:val="21"/>
                <w:szCs w:val="21"/>
              </w:rPr>
            </w:pPr>
            <w:r>
              <w:rPr>
                <w:rFonts w:hint="eastAsia" w:ascii="Times New Roman" w:hAnsi="Times New Roman"/>
                <w:w w:val="66"/>
                <w:sz w:val="21"/>
                <w:szCs w:val="21"/>
              </w:rPr>
              <w:t>-95.0</w:t>
            </w:r>
          </w:p>
        </w:tc>
        <w:tc>
          <w:tcPr>
            <w:tcW w:w="458" w:type="pct"/>
            <w:noWrap/>
            <w:vAlign w:val="center"/>
          </w:tcPr>
          <w:p w14:paraId="56666AC1">
            <w:pPr>
              <w:pStyle w:val="121"/>
              <w:rPr>
                <w:rFonts w:ascii="Times New Roman" w:hAnsi="Times New Roman"/>
                <w:w w:val="66"/>
                <w:sz w:val="21"/>
                <w:szCs w:val="21"/>
              </w:rPr>
            </w:pPr>
            <w:r>
              <w:rPr>
                <w:rFonts w:hint="eastAsia" w:ascii="Times New Roman" w:hAnsi="Times New Roman"/>
                <w:w w:val="66"/>
                <w:sz w:val="21"/>
                <w:szCs w:val="21"/>
              </w:rPr>
              <w:t>1.2</w:t>
            </w:r>
          </w:p>
        </w:tc>
        <w:tc>
          <w:tcPr>
            <w:tcW w:w="521" w:type="pct"/>
            <w:noWrap/>
            <w:vAlign w:val="center"/>
          </w:tcPr>
          <w:p w14:paraId="321A55E4">
            <w:pPr>
              <w:pStyle w:val="121"/>
              <w:rPr>
                <w:rFonts w:ascii="Times New Roman" w:hAnsi="Times New Roman"/>
                <w:w w:val="66"/>
                <w:sz w:val="21"/>
                <w:szCs w:val="21"/>
              </w:rPr>
            </w:pPr>
            <w:r>
              <w:rPr>
                <w:rFonts w:hint="eastAsia" w:ascii="Times New Roman" w:hAnsi="Times New Roman"/>
                <w:w w:val="66"/>
                <w:sz w:val="21"/>
                <w:szCs w:val="21"/>
              </w:rPr>
              <w:t>6</w:t>
            </w:r>
          </w:p>
        </w:tc>
      </w:tr>
      <w:tr w14:paraId="390AA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5CB1F1E">
            <w:pPr>
              <w:pStyle w:val="121"/>
              <w:rPr>
                <w:rFonts w:ascii="Times New Roman" w:hAnsi="Times New Roman"/>
                <w:w w:val="66"/>
                <w:sz w:val="21"/>
                <w:szCs w:val="21"/>
              </w:rPr>
            </w:pPr>
            <w:r>
              <w:rPr>
                <w:rFonts w:ascii="Times New Roman" w:hAnsi="Times New Roman"/>
                <w:w w:val="66"/>
                <w:sz w:val="21"/>
                <w:szCs w:val="21"/>
              </w:rPr>
              <w:t>六</w:t>
            </w:r>
          </w:p>
        </w:tc>
        <w:tc>
          <w:tcPr>
            <w:tcW w:w="1714" w:type="pct"/>
            <w:noWrap/>
            <w:vAlign w:val="center"/>
          </w:tcPr>
          <w:p w14:paraId="7C758914">
            <w:pPr>
              <w:pStyle w:val="121"/>
              <w:rPr>
                <w:rFonts w:ascii="Times New Roman" w:hAnsi="Times New Roman"/>
                <w:w w:val="66"/>
                <w:sz w:val="21"/>
                <w:szCs w:val="21"/>
              </w:rPr>
            </w:pPr>
            <w:r>
              <w:rPr>
                <w:rFonts w:ascii="Times New Roman" w:hAnsi="Times New Roman"/>
                <w:w w:val="66"/>
                <w:sz w:val="21"/>
                <w:szCs w:val="21"/>
              </w:rPr>
              <w:t>-475m进风出矿水平</w:t>
            </w:r>
          </w:p>
        </w:tc>
        <w:tc>
          <w:tcPr>
            <w:tcW w:w="419" w:type="pct"/>
            <w:noWrap/>
            <w:vAlign w:val="center"/>
          </w:tcPr>
          <w:p w14:paraId="02AC5E92">
            <w:pPr>
              <w:pStyle w:val="121"/>
              <w:rPr>
                <w:rFonts w:ascii="Times New Roman" w:hAnsi="Times New Roman"/>
                <w:w w:val="66"/>
                <w:sz w:val="21"/>
                <w:szCs w:val="21"/>
              </w:rPr>
            </w:pPr>
          </w:p>
        </w:tc>
        <w:tc>
          <w:tcPr>
            <w:tcW w:w="616" w:type="pct"/>
            <w:noWrap/>
            <w:vAlign w:val="center"/>
          </w:tcPr>
          <w:p w14:paraId="17F66E04">
            <w:pPr>
              <w:pStyle w:val="121"/>
              <w:rPr>
                <w:rFonts w:ascii="Times New Roman" w:hAnsi="Times New Roman"/>
                <w:w w:val="66"/>
                <w:sz w:val="21"/>
                <w:szCs w:val="21"/>
              </w:rPr>
            </w:pPr>
          </w:p>
        </w:tc>
        <w:tc>
          <w:tcPr>
            <w:tcW w:w="494" w:type="pct"/>
            <w:noWrap/>
            <w:vAlign w:val="center"/>
          </w:tcPr>
          <w:p w14:paraId="63E7427A">
            <w:pPr>
              <w:pStyle w:val="121"/>
              <w:rPr>
                <w:rFonts w:ascii="Times New Roman" w:hAnsi="Times New Roman"/>
                <w:w w:val="66"/>
                <w:sz w:val="21"/>
                <w:szCs w:val="21"/>
              </w:rPr>
            </w:pPr>
          </w:p>
        </w:tc>
        <w:tc>
          <w:tcPr>
            <w:tcW w:w="458" w:type="pct"/>
            <w:noWrap/>
            <w:vAlign w:val="center"/>
          </w:tcPr>
          <w:p w14:paraId="39EE36E9">
            <w:pPr>
              <w:pStyle w:val="121"/>
              <w:rPr>
                <w:rFonts w:ascii="Times New Roman" w:hAnsi="Times New Roman"/>
                <w:w w:val="66"/>
                <w:sz w:val="21"/>
                <w:szCs w:val="21"/>
              </w:rPr>
            </w:pPr>
          </w:p>
        </w:tc>
        <w:tc>
          <w:tcPr>
            <w:tcW w:w="458" w:type="pct"/>
            <w:noWrap/>
            <w:vAlign w:val="center"/>
          </w:tcPr>
          <w:p w14:paraId="02BD5467">
            <w:pPr>
              <w:pStyle w:val="121"/>
              <w:rPr>
                <w:rFonts w:ascii="Times New Roman" w:hAnsi="Times New Roman"/>
                <w:w w:val="66"/>
                <w:sz w:val="21"/>
                <w:szCs w:val="21"/>
              </w:rPr>
            </w:pPr>
          </w:p>
        </w:tc>
        <w:tc>
          <w:tcPr>
            <w:tcW w:w="521" w:type="pct"/>
            <w:noWrap/>
            <w:vAlign w:val="center"/>
          </w:tcPr>
          <w:p w14:paraId="345B9908">
            <w:pPr>
              <w:pStyle w:val="121"/>
              <w:rPr>
                <w:rFonts w:ascii="Times New Roman" w:hAnsi="Times New Roman"/>
                <w:w w:val="66"/>
                <w:sz w:val="21"/>
                <w:szCs w:val="21"/>
              </w:rPr>
            </w:pPr>
          </w:p>
        </w:tc>
      </w:tr>
      <w:tr w14:paraId="74750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8FA38E7">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6265E8DB">
            <w:pPr>
              <w:pStyle w:val="121"/>
              <w:rPr>
                <w:rFonts w:ascii="Times New Roman" w:hAnsi="Times New Roman"/>
                <w:w w:val="66"/>
                <w:sz w:val="21"/>
                <w:szCs w:val="21"/>
              </w:rPr>
            </w:pPr>
            <w:r>
              <w:rPr>
                <w:rFonts w:ascii="Times New Roman" w:hAnsi="Times New Roman"/>
                <w:w w:val="66"/>
                <w:sz w:val="21"/>
                <w:szCs w:val="21"/>
              </w:rPr>
              <w:t>副井石门</w:t>
            </w:r>
          </w:p>
        </w:tc>
        <w:tc>
          <w:tcPr>
            <w:tcW w:w="419" w:type="pct"/>
            <w:noWrap/>
            <w:vAlign w:val="center"/>
          </w:tcPr>
          <w:p w14:paraId="5C097791">
            <w:pPr>
              <w:pStyle w:val="121"/>
              <w:rPr>
                <w:rFonts w:ascii="Times New Roman" w:hAnsi="Times New Roman"/>
                <w:w w:val="66"/>
                <w:sz w:val="21"/>
                <w:szCs w:val="21"/>
              </w:rPr>
            </w:pPr>
            <w:r>
              <w:rPr>
                <w:rFonts w:hint="eastAsia" w:ascii="Times New Roman" w:hAnsi="Times New Roman"/>
                <w:w w:val="66"/>
                <w:sz w:val="21"/>
                <w:szCs w:val="21"/>
              </w:rPr>
              <w:t>15.4</w:t>
            </w:r>
          </w:p>
        </w:tc>
        <w:tc>
          <w:tcPr>
            <w:tcW w:w="616" w:type="pct"/>
            <w:noWrap/>
            <w:vAlign w:val="center"/>
          </w:tcPr>
          <w:p w14:paraId="21C3CEB2">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6FDD5169">
            <w:pPr>
              <w:pStyle w:val="121"/>
              <w:rPr>
                <w:rFonts w:ascii="Times New Roman" w:hAnsi="Times New Roman"/>
                <w:w w:val="66"/>
                <w:sz w:val="21"/>
                <w:szCs w:val="21"/>
              </w:rPr>
            </w:pPr>
            <w:r>
              <w:rPr>
                <w:rFonts w:hint="eastAsia" w:ascii="Times New Roman" w:hAnsi="Times New Roman"/>
                <w:w w:val="66"/>
                <w:sz w:val="21"/>
                <w:szCs w:val="21"/>
              </w:rPr>
              <w:t>60</w:t>
            </w:r>
          </w:p>
        </w:tc>
        <w:tc>
          <w:tcPr>
            <w:tcW w:w="458" w:type="pct"/>
            <w:noWrap/>
            <w:vAlign w:val="center"/>
          </w:tcPr>
          <w:p w14:paraId="188925AE">
            <w:pPr>
              <w:pStyle w:val="121"/>
              <w:rPr>
                <w:rFonts w:ascii="Times New Roman" w:hAnsi="Times New Roman"/>
                <w:w w:val="66"/>
                <w:sz w:val="21"/>
                <w:szCs w:val="21"/>
              </w:rPr>
            </w:pPr>
            <w:r>
              <w:rPr>
                <w:rFonts w:hint="eastAsia" w:ascii="Times New Roman" w:hAnsi="Times New Roman"/>
                <w:w w:val="66"/>
                <w:sz w:val="21"/>
                <w:szCs w:val="21"/>
              </w:rPr>
              <w:t>-91.0</w:t>
            </w:r>
          </w:p>
        </w:tc>
        <w:tc>
          <w:tcPr>
            <w:tcW w:w="458" w:type="pct"/>
            <w:noWrap/>
            <w:vAlign w:val="center"/>
          </w:tcPr>
          <w:p w14:paraId="6077337D">
            <w:pPr>
              <w:pStyle w:val="121"/>
              <w:rPr>
                <w:rFonts w:ascii="Times New Roman" w:hAnsi="Times New Roman"/>
                <w:w w:val="66"/>
                <w:sz w:val="21"/>
                <w:szCs w:val="21"/>
              </w:rPr>
            </w:pPr>
            <w:r>
              <w:rPr>
                <w:rFonts w:hint="eastAsia" w:ascii="Times New Roman" w:hAnsi="Times New Roman"/>
                <w:w w:val="66"/>
                <w:sz w:val="21"/>
                <w:szCs w:val="21"/>
              </w:rPr>
              <w:t>3.9</w:t>
            </w:r>
          </w:p>
        </w:tc>
        <w:tc>
          <w:tcPr>
            <w:tcW w:w="521" w:type="pct"/>
            <w:noWrap/>
            <w:vAlign w:val="center"/>
          </w:tcPr>
          <w:p w14:paraId="57FF33DA">
            <w:pPr>
              <w:pStyle w:val="121"/>
              <w:rPr>
                <w:rFonts w:ascii="Times New Roman" w:hAnsi="Times New Roman"/>
                <w:w w:val="66"/>
                <w:sz w:val="21"/>
                <w:szCs w:val="21"/>
              </w:rPr>
            </w:pPr>
            <w:r>
              <w:rPr>
                <w:rFonts w:hint="eastAsia" w:ascii="Times New Roman" w:hAnsi="Times New Roman"/>
                <w:w w:val="66"/>
                <w:sz w:val="21"/>
                <w:szCs w:val="21"/>
              </w:rPr>
              <w:t>6</w:t>
            </w:r>
          </w:p>
        </w:tc>
      </w:tr>
      <w:tr w14:paraId="5EC37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96146AF">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33E178B9">
            <w:pPr>
              <w:pStyle w:val="121"/>
              <w:rPr>
                <w:rFonts w:ascii="Times New Roman" w:hAnsi="Times New Roman"/>
                <w:w w:val="66"/>
                <w:sz w:val="21"/>
                <w:szCs w:val="21"/>
              </w:rPr>
            </w:pPr>
            <w:r>
              <w:rPr>
                <w:rFonts w:ascii="Times New Roman" w:hAnsi="Times New Roman"/>
                <w:w w:val="66"/>
                <w:sz w:val="21"/>
                <w:szCs w:val="21"/>
              </w:rPr>
              <w:t>进风井北石门</w:t>
            </w:r>
          </w:p>
        </w:tc>
        <w:tc>
          <w:tcPr>
            <w:tcW w:w="419" w:type="pct"/>
            <w:noWrap/>
            <w:vAlign w:val="center"/>
          </w:tcPr>
          <w:p w14:paraId="369C6FC9">
            <w:pPr>
              <w:pStyle w:val="121"/>
              <w:rPr>
                <w:rFonts w:ascii="Times New Roman" w:hAnsi="Times New Roman"/>
                <w:w w:val="66"/>
                <w:sz w:val="21"/>
                <w:szCs w:val="21"/>
              </w:rPr>
            </w:pPr>
            <w:r>
              <w:rPr>
                <w:rFonts w:hint="eastAsia" w:ascii="Times New Roman" w:hAnsi="Times New Roman"/>
                <w:w w:val="66"/>
                <w:sz w:val="21"/>
                <w:szCs w:val="21"/>
              </w:rPr>
              <w:t>21.1</w:t>
            </w:r>
          </w:p>
        </w:tc>
        <w:tc>
          <w:tcPr>
            <w:tcW w:w="616" w:type="pct"/>
            <w:noWrap/>
            <w:vAlign w:val="center"/>
          </w:tcPr>
          <w:p w14:paraId="07E1E54F">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0026B4E3">
            <w:pPr>
              <w:pStyle w:val="121"/>
              <w:rPr>
                <w:rFonts w:ascii="Times New Roman" w:hAnsi="Times New Roman"/>
                <w:w w:val="66"/>
                <w:sz w:val="21"/>
                <w:szCs w:val="21"/>
              </w:rPr>
            </w:pPr>
            <w:r>
              <w:rPr>
                <w:rFonts w:hint="eastAsia" w:ascii="Times New Roman" w:hAnsi="Times New Roman"/>
                <w:w w:val="66"/>
                <w:sz w:val="21"/>
                <w:szCs w:val="21"/>
              </w:rPr>
              <w:t>240</w:t>
            </w:r>
          </w:p>
        </w:tc>
        <w:tc>
          <w:tcPr>
            <w:tcW w:w="458" w:type="pct"/>
            <w:noWrap/>
            <w:vAlign w:val="center"/>
          </w:tcPr>
          <w:p w14:paraId="67F609E1">
            <w:pPr>
              <w:pStyle w:val="121"/>
              <w:rPr>
                <w:rFonts w:ascii="Times New Roman" w:hAnsi="Times New Roman"/>
                <w:w w:val="66"/>
                <w:sz w:val="21"/>
                <w:szCs w:val="21"/>
              </w:rPr>
            </w:pPr>
            <w:r>
              <w:rPr>
                <w:rFonts w:hint="eastAsia" w:ascii="Times New Roman" w:hAnsi="Times New Roman"/>
                <w:w w:val="66"/>
                <w:sz w:val="21"/>
                <w:szCs w:val="21"/>
              </w:rPr>
              <w:t>-261.4</w:t>
            </w:r>
          </w:p>
        </w:tc>
        <w:tc>
          <w:tcPr>
            <w:tcW w:w="458" w:type="pct"/>
            <w:noWrap/>
            <w:vAlign w:val="center"/>
          </w:tcPr>
          <w:p w14:paraId="64E5FD64">
            <w:pPr>
              <w:pStyle w:val="121"/>
              <w:rPr>
                <w:rFonts w:ascii="Times New Roman" w:hAnsi="Times New Roman"/>
                <w:w w:val="66"/>
                <w:sz w:val="21"/>
                <w:szCs w:val="21"/>
              </w:rPr>
            </w:pPr>
            <w:r>
              <w:rPr>
                <w:rFonts w:hint="eastAsia" w:ascii="Times New Roman" w:hAnsi="Times New Roman"/>
                <w:w w:val="66"/>
                <w:sz w:val="21"/>
                <w:szCs w:val="21"/>
              </w:rPr>
              <w:t>11.4</w:t>
            </w:r>
          </w:p>
        </w:tc>
        <w:tc>
          <w:tcPr>
            <w:tcW w:w="521" w:type="pct"/>
            <w:noWrap/>
            <w:vAlign w:val="center"/>
          </w:tcPr>
          <w:p w14:paraId="6636C8D5">
            <w:pPr>
              <w:pStyle w:val="121"/>
              <w:rPr>
                <w:rFonts w:ascii="Times New Roman" w:hAnsi="Times New Roman"/>
                <w:w w:val="66"/>
                <w:sz w:val="21"/>
                <w:szCs w:val="21"/>
              </w:rPr>
            </w:pPr>
            <w:r>
              <w:rPr>
                <w:rFonts w:hint="eastAsia" w:ascii="Times New Roman" w:hAnsi="Times New Roman"/>
                <w:w w:val="66"/>
                <w:sz w:val="21"/>
                <w:szCs w:val="21"/>
              </w:rPr>
              <w:t>20</w:t>
            </w:r>
          </w:p>
        </w:tc>
      </w:tr>
      <w:tr w14:paraId="5C41E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0B83C089">
            <w:pPr>
              <w:pStyle w:val="121"/>
              <w:rPr>
                <w:rFonts w:ascii="Times New Roman" w:hAnsi="Times New Roman"/>
                <w:w w:val="66"/>
                <w:sz w:val="21"/>
                <w:szCs w:val="21"/>
              </w:rPr>
            </w:pPr>
            <w:r>
              <w:rPr>
                <w:rFonts w:ascii="Times New Roman" w:hAnsi="Times New Roman"/>
                <w:w w:val="66"/>
                <w:sz w:val="21"/>
                <w:szCs w:val="21"/>
              </w:rPr>
              <w:t>3</w:t>
            </w:r>
          </w:p>
        </w:tc>
        <w:tc>
          <w:tcPr>
            <w:tcW w:w="1714" w:type="pct"/>
            <w:noWrap/>
            <w:vAlign w:val="center"/>
          </w:tcPr>
          <w:p w14:paraId="587DF998">
            <w:pPr>
              <w:pStyle w:val="121"/>
              <w:rPr>
                <w:rFonts w:ascii="Times New Roman" w:hAnsi="Times New Roman"/>
                <w:w w:val="66"/>
                <w:sz w:val="21"/>
                <w:szCs w:val="21"/>
              </w:rPr>
            </w:pPr>
            <w:r>
              <w:rPr>
                <w:rFonts w:ascii="Times New Roman" w:hAnsi="Times New Roman"/>
                <w:w w:val="66"/>
                <w:sz w:val="21"/>
                <w:szCs w:val="21"/>
              </w:rPr>
              <w:t>进风井南石门</w:t>
            </w:r>
          </w:p>
        </w:tc>
        <w:tc>
          <w:tcPr>
            <w:tcW w:w="419" w:type="pct"/>
            <w:noWrap/>
            <w:vAlign w:val="center"/>
          </w:tcPr>
          <w:p w14:paraId="08303ABF">
            <w:pPr>
              <w:pStyle w:val="121"/>
              <w:rPr>
                <w:rFonts w:ascii="Times New Roman" w:hAnsi="Times New Roman"/>
                <w:w w:val="66"/>
                <w:sz w:val="21"/>
                <w:szCs w:val="21"/>
              </w:rPr>
            </w:pPr>
            <w:r>
              <w:rPr>
                <w:rFonts w:hint="eastAsia" w:ascii="Times New Roman" w:hAnsi="Times New Roman"/>
                <w:w w:val="66"/>
                <w:sz w:val="21"/>
                <w:szCs w:val="21"/>
              </w:rPr>
              <w:t>21.1</w:t>
            </w:r>
          </w:p>
        </w:tc>
        <w:tc>
          <w:tcPr>
            <w:tcW w:w="616" w:type="pct"/>
            <w:noWrap/>
            <w:vAlign w:val="center"/>
          </w:tcPr>
          <w:p w14:paraId="6CD523E2">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47CE7C47">
            <w:pPr>
              <w:pStyle w:val="121"/>
              <w:rPr>
                <w:rFonts w:ascii="Times New Roman" w:hAnsi="Times New Roman"/>
                <w:w w:val="66"/>
                <w:sz w:val="21"/>
                <w:szCs w:val="21"/>
              </w:rPr>
            </w:pPr>
            <w:r>
              <w:rPr>
                <w:rFonts w:hint="eastAsia" w:ascii="Times New Roman" w:hAnsi="Times New Roman"/>
                <w:w w:val="66"/>
                <w:sz w:val="21"/>
                <w:szCs w:val="21"/>
              </w:rPr>
              <w:t>240</w:t>
            </w:r>
          </w:p>
        </w:tc>
        <w:tc>
          <w:tcPr>
            <w:tcW w:w="458" w:type="pct"/>
            <w:noWrap/>
            <w:vAlign w:val="center"/>
          </w:tcPr>
          <w:p w14:paraId="57828E47">
            <w:pPr>
              <w:pStyle w:val="121"/>
              <w:rPr>
                <w:rFonts w:ascii="Times New Roman" w:hAnsi="Times New Roman"/>
                <w:w w:val="66"/>
                <w:sz w:val="21"/>
                <w:szCs w:val="21"/>
              </w:rPr>
            </w:pPr>
            <w:r>
              <w:rPr>
                <w:rFonts w:hint="eastAsia" w:ascii="Times New Roman" w:hAnsi="Times New Roman"/>
                <w:w w:val="66"/>
                <w:sz w:val="21"/>
                <w:szCs w:val="21"/>
              </w:rPr>
              <w:t>-261.5</w:t>
            </w:r>
          </w:p>
        </w:tc>
        <w:tc>
          <w:tcPr>
            <w:tcW w:w="458" w:type="pct"/>
            <w:noWrap/>
            <w:vAlign w:val="center"/>
          </w:tcPr>
          <w:p w14:paraId="46991581">
            <w:pPr>
              <w:pStyle w:val="121"/>
              <w:rPr>
                <w:rFonts w:ascii="Times New Roman" w:hAnsi="Times New Roman"/>
                <w:w w:val="66"/>
                <w:sz w:val="21"/>
                <w:szCs w:val="21"/>
              </w:rPr>
            </w:pPr>
            <w:r>
              <w:rPr>
                <w:rFonts w:hint="eastAsia" w:ascii="Times New Roman" w:hAnsi="Times New Roman"/>
                <w:w w:val="66"/>
                <w:sz w:val="21"/>
                <w:szCs w:val="21"/>
              </w:rPr>
              <w:t>11.4</w:t>
            </w:r>
          </w:p>
        </w:tc>
        <w:tc>
          <w:tcPr>
            <w:tcW w:w="521" w:type="pct"/>
            <w:noWrap/>
            <w:vAlign w:val="center"/>
          </w:tcPr>
          <w:p w14:paraId="79DADC49">
            <w:pPr>
              <w:pStyle w:val="121"/>
              <w:rPr>
                <w:rFonts w:ascii="Times New Roman" w:hAnsi="Times New Roman"/>
                <w:w w:val="66"/>
                <w:sz w:val="21"/>
                <w:szCs w:val="21"/>
              </w:rPr>
            </w:pPr>
            <w:r>
              <w:rPr>
                <w:rFonts w:hint="eastAsia" w:ascii="Times New Roman" w:hAnsi="Times New Roman"/>
                <w:w w:val="66"/>
                <w:sz w:val="21"/>
                <w:szCs w:val="21"/>
              </w:rPr>
              <w:t>20</w:t>
            </w:r>
          </w:p>
        </w:tc>
      </w:tr>
      <w:tr w14:paraId="1CD54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77B02FB">
            <w:pPr>
              <w:pStyle w:val="121"/>
              <w:rPr>
                <w:rFonts w:ascii="Times New Roman" w:hAnsi="Times New Roman"/>
                <w:w w:val="66"/>
                <w:sz w:val="21"/>
                <w:szCs w:val="21"/>
              </w:rPr>
            </w:pPr>
            <w:r>
              <w:rPr>
                <w:rFonts w:hint="eastAsia" w:ascii="Times New Roman" w:hAnsi="Times New Roman"/>
                <w:w w:val="66"/>
                <w:sz w:val="21"/>
                <w:szCs w:val="21"/>
              </w:rPr>
              <w:t>4</w:t>
            </w:r>
          </w:p>
        </w:tc>
        <w:tc>
          <w:tcPr>
            <w:tcW w:w="1714" w:type="pct"/>
            <w:noWrap/>
            <w:vAlign w:val="center"/>
          </w:tcPr>
          <w:p w14:paraId="752E4BEB">
            <w:pPr>
              <w:pStyle w:val="121"/>
              <w:rPr>
                <w:rFonts w:ascii="Times New Roman" w:hAnsi="Times New Roman"/>
                <w:w w:val="66"/>
                <w:sz w:val="21"/>
                <w:szCs w:val="21"/>
              </w:rPr>
            </w:pPr>
            <w:r>
              <w:rPr>
                <w:rFonts w:ascii="Times New Roman" w:hAnsi="Times New Roman"/>
                <w:w w:val="66"/>
                <w:sz w:val="21"/>
                <w:szCs w:val="21"/>
              </w:rPr>
              <w:t>下盘脉外联络巷</w:t>
            </w:r>
          </w:p>
        </w:tc>
        <w:tc>
          <w:tcPr>
            <w:tcW w:w="419" w:type="pct"/>
            <w:noWrap/>
            <w:vAlign w:val="center"/>
          </w:tcPr>
          <w:p w14:paraId="4782F768">
            <w:pPr>
              <w:pStyle w:val="121"/>
              <w:rPr>
                <w:rFonts w:ascii="Times New Roman" w:hAnsi="Times New Roman"/>
                <w:w w:val="66"/>
                <w:sz w:val="21"/>
                <w:szCs w:val="21"/>
              </w:rPr>
            </w:pPr>
            <w:r>
              <w:rPr>
                <w:rFonts w:hint="eastAsia" w:ascii="Times New Roman" w:hAnsi="Times New Roman"/>
                <w:w w:val="66"/>
                <w:sz w:val="21"/>
                <w:szCs w:val="21"/>
              </w:rPr>
              <w:t>18.6</w:t>
            </w:r>
          </w:p>
        </w:tc>
        <w:tc>
          <w:tcPr>
            <w:tcW w:w="616" w:type="pct"/>
            <w:noWrap/>
            <w:vAlign w:val="center"/>
          </w:tcPr>
          <w:p w14:paraId="4E582DF5">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7E7E32D">
            <w:pPr>
              <w:pStyle w:val="121"/>
              <w:rPr>
                <w:rFonts w:ascii="Times New Roman" w:hAnsi="Times New Roman"/>
                <w:w w:val="66"/>
                <w:sz w:val="21"/>
                <w:szCs w:val="21"/>
              </w:rPr>
            </w:pPr>
            <w:r>
              <w:rPr>
                <w:rFonts w:hint="eastAsia" w:ascii="Times New Roman" w:hAnsi="Times New Roman"/>
                <w:w w:val="66"/>
                <w:sz w:val="21"/>
                <w:szCs w:val="21"/>
              </w:rPr>
              <w:t>100.2</w:t>
            </w:r>
          </w:p>
        </w:tc>
        <w:tc>
          <w:tcPr>
            <w:tcW w:w="458" w:type="pct"/>
            <w:noWrap/>
            <w:vAlign w:val="center"/>
          </w:tcPr>
          <w:p w14:paraId="060300A8">
            <w:pPr>
              <w:pStyle w:val="121"/>
              <w:rPr>
                <w:rFonts w:ascii="Times New Roman" w:hAnsi="Times New Roman"/>
                <w:w w:val="66"/>
                <w:sz w:val="21"/>
                <w:szCs w:val="21"/>
              </w:rPr>
            </w:pPr>
            <w:r>
              <w:rPr>
                <w:rFonts w:hint="eastAsia" w:ascii="Times New Roman" w:hAnsi="Times New Roman"/>
                <w:w w:val="66"/>
                <w:sz w:val="21"/>
                <w:szCs w:val="21"/>
              </w:rPr>
              <w:t>-53.8</w:t>
            </w:r>
          </w:p>
        </w:tc>
        <w:tc>
          <w:tcPr>
            <w:tcW w:w="458" w:type="pct"/>
            <w:noWrap/>
            <w:vAlign w:val="center"/>
          </w:tcPr>
          <w:p w14:paraId="3C3CCF33">
            <w:pPr>
              <w:pStyle w:val="121"/>
              <w:rPr>
                <w:rFonts w:ascii="Times New Roman" w:hAnsi="Times New Roman"/>
                <w:w w:val="66"/>
                <w:sz w:val="21"/>
                <w:szCs w:val="21"/>
              </w:rPr>
            </w:pPr>
            <w:r>
              <w:rPr>
                <w:rFonts w:hint="eastAsia" w:ascii="Times New Roman" w:hAnsi="Times New Roman"/>
                <w:w w:val="66"/>
                <w:sz w:val="21"/>
                <w:szCs w:val="21"/>
              </w:rPr>
              <w:t>5.4</w:t>
            </w:r>
          </w:p>
        </w:tc>
        <w:tc>
          <w:tcPr>
            <w:tcW w:w="521" w:type="pct"/>
            <w:noWrap/>
            <w:vAlign w:val="center"/>
          </w:tcPr>
          <w:p w14:paraId="03E5AAC7">
            <w:pPr>
              <w:pStyle w:val="121"/>
              <w:rPr>
                <w:rFonts w:ascii="Times New Roman" w:hAnsi="Times New Roman"/>
                <w:w w:val="66"/>
                <w:sz w:val="21"/>
                <w:szCs w:val="21"/>
              </w:rPr>
            </w:pPr>
            <w:r>
              <w:rPr>
                <w:rFonts w:hint="eastAsia" w:ascii="Times New Roman" w:hAnsi="Times New Roman"/>
                <w:w w:val="66"/>
                <w:sz w:val="21"/>
                <w:szCs w:val="21"/>
              </w:rPr>
              <w:t>6</w:t>
            </w:r>
          </w:p>
        </w:tc>
      </w:tr>
      <w:tr w14:paraId="6F017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C0CCF4D">
            <w:pPr>
              <w:pStyle w:val="121"/>
              <w:rPr>
                <w:rFonts w:ascii="Times New Roman" w:hAnsi="Times New Roman"/>
                <w:w w:val="66"/>
                <w:sz w:val="21"/>
                <w:szCs w:val="21"/>
              </w:rPr>
            </w:pPr>
            <w:r>
              <w:rPr>
                <w:rFonts w:hint="eastAsia" w:ascii="Times New Roman" w:hAnsi="Times New Roman"/>
                <w:w w:val="66"/>
                <w:sz w:val="21"/>
                <w:szCs w:val="21"/>
              </w:rPr>
              <w:t>5</w:t>
            </w:r>
          </w:p>
        </w:tc>
        <w:tc>
          <w:tcPr>
            <w:tcW w:w="1714" w:type="pct"/>
            <w:noWrap/>
            <w:vAlign w:val="center"/>
          </w:tcPr>
          <w:p w14:paraId="52799098">
            <w:pPr>
              <w:pStyle w:val="121"/>
              <w:rPr>
                <w:rFonts w:ascii="Times New Roman" w:hAnsi="Times New Roman"/>
                <w:w w:val="66"/>
                <w:sz w:val="21"/>
                <w:szCs w:val="21"/>
              </w:rPr>
            </w:pPr>
            <w:r>
              <w:rPr>
                <w:rFonts w:ascii="Times New Roman" w:hAnsi="Times New Roman"/>
                <w:w w:val="66"/>
                <w:sz w:val="21"/>
                <w:szCs w:val="21"/>
              </w:rPr>
              <w:t>采区进风天井联络巷</w:t>
            </w:r>
          </w:p>
        </w:tc>
        <w:tc>
          <w:tcPr>
            <w:tcW w:w="419" w:type="pct"/>
            <w:noWrap/>
            <w:vAlign w:val="center"/>
          </w:tcPr>
          <w:p w14:paraId="2FFF3143">
            <w:pPr>
              <w:pStyle w:val="121"/>
              <w:rPr>
                <w:rFonts w:ascii="Times New Roman" w:hAnsi="Times New Roman"/>
                <w:w w:val="66"/>
                <w:sz w:val="21"/>
                <w:szCs w:val="21"/>
              </w:rPr>
            </w:pPr>
            <w:r>
              <w:rPr>
                <w:rFonts w:hint="eastAsia" w:ascii="Times New Roman" w:hAnsi="Times New Roman"/>
                <w:w w:val="66"/>
                <w:sz w:val="21"/>
                <w:szCs w:val="21"/>
              </w:rPr>
              <w:t>12.7</w:t>
            </w:r>
          </w:p>
        </w:tc>
        <w:tc>
          <w:tcPr>
            <w:tcW w:w="616" w:type="pct"/>
            <w:noWrap/>
            <w:vAlign w:val="center"/>
          </w:tcPr>
          <w:p w14:paraId="7D204AE1">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5AE5A255">
            <w:pPr>
              <w:pStyle w:val="121"/>
              <w:rPr>
                <w:rFonts w:ascii="Times New Roman" w:hAnsi="Times New Roman"/>
                <w:w w:val="66"/>
                <w:sz w:val="21"/>
                <w:szCs w:val="21"/>
              </w:rPr>
            </w:pPr>
            <w:r>
              <w:rPr>
                <w:rFonts w:hint="eastAsia" w:ascii="Times New Roman" w:hAnsi="Times New Roman"/>
                <w:w w:val="66"/>
                <w:sz w:val="21"/>
                <w:szCs w:val="21"/>
              </w:rPr>
              <w:t>82.6</w:t>
            </w:r>
          </w:p>
        </w:tc>
        <w:tc>
          <w:tcPr>
            <w:tcW w:w="458" w:type="pct"/>
            <w:noWrap/>
            <w:vAlign w:val="center"/>
          </w:tcPr>
          <w:p w14:paraId="369175D0">
            <w:pPr>
              <w:pStyle w:val="121"/>
              <w:rPr>
                <w:rFonts w:ascii="Times New Roman" w:hAnsi="Times New Roman"/>
                <w:w w:val="66"/>
                <w:sz w:val="21"/>
                <w:szCs w:val="21"/>
              </w:rPr>
            </w:pPr>
            <w:r>
              <w:rPr>
                <w:rFonts w:hint="eastAsia" w:ascii="Times New Roman" w:hAnsi="Times New Roman"/>
                <w:w w:val="66"/>
                <w:sz w:val="21"/>
                <w:szCs w:val="21"/>
              </w:rPr>
              <w:t>-71.9</w:t>
            </w:r>
          </w:p>
        </w:tc>
        <w:tc>
          <w:tcPr>
            <w:tcW w:w="458" w:type="pct"/>
            <w:noWrap/>
            <w:vAlign w:val="center"/>
          </w:tcPr>
          <w:p w14:paraId="05618BBA">
            <w:pPr>
              <w:pStyle w:val="121"/>
              <w:rPr>
                <w:rFonts w:ascii="Times New Roman" w:hAnsi="Times New Roman"/>
                <w:w w:val="66"/>
                <w:sz w:val="21"/>
                <w:szCs w:val="21"/>
              </w:rPr>
            </w:pPr>
            <w:r>
              <w:rPr>
                <w:rFonts w:hint="eastAsia" w:ascii="Times New Roman" w:hAnsi="Times New Roman"/>
                <w:w w:val="66"/>
                <w:sz w:val="21"/>
                <w:szCs w:val="21"/>
              </w:rPr>
              <w:t>6.5</w:t>
            </w:r>
          </w:p>
        </w:tc>
        <w:tc>
          <w:tcPr>
            <w:tcW w:w="521" w:type="pct"/>
            <w:noWrap/>
            <w:vAlign w:val="center"/>
          </w:tcPr>
          <w:p w14:paraId="0A3A05E9">
            <w:pPr>
              <w:pStyle w:val="121"/>
              <w:rPr>
                <w:rFonts w:ascii="Times New Roman" w:hAnsi="Times New Roman"/>
                <w:w w:val="66"/>
                <w:sz w:val="21"/>
                <w:szCs w:val="21"/>
              </w:rPr>
            </w:pPr>
            <w:r>
              <w:rPr>
                <w:rFonts w:hint="eastAsia" w:ascii="Times New Roman" w:hAnsi="Times New Roman"/>
                <w:w w:val="66"/>
                <w:sz w:val="21"/>
                <w:szCs w:val="21"/>
              </w:rPr>
              <w:t>8</w:t>
            </w:r>
          </w:p>
        </w:tc>
      </w:tr>
      <w:tr w14:paraId="5ACE5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7249203">
            <w:pPr>
              <w:pStyle w:val="121"/>
              <w:rPr>
                <w:rFonts w:ascii="Times New Roman" w:hAnsi="Times New Roman"/>
                <w:w w:val="66"/>
                <w:sz w:val="21"/>
                <w:szCs w:val="21"/>
              </w:rPr>
            </w:pPr>
            <w:r>
              <w:rPr>
                <w:rFonts w:ascii="Times New Roman" w:hAnsi="Times New Roman"/>
                <w:w w:val="66"/>
                <w:sz w:val="21"/>
                <w:szCs w:val="21"/>
              </w:rPr>
              <w:t>七</w:t>
            </w:r>
          </w:p>
        </w:tc>
        <w:tc>
          <w:tcPr>
            <w:tcW w:w="1714" w:type="pct"/>
            <w:noWrap/>
            <w:vAlign w:val="center"/>
          </w:tcPr>
          <w:p w14:paraId="41023510">
            <w:pPr>
              <w:pStyle w:val="121"/>
              <w:rPr>
                <w:rFonts w:ascii="Times New Roman" w:hAnsi="Times New Roman"/>
                <w:w w:val="66"/>
                <w:sz w:val="21"/>
                <w:szCs w:val="21"/>
              </w:rPr>
            </w:pPr>
            <w:r>
              <w:rPr>
                <w:rFonts w:ascii="Times New Roman" w:hAnsi="Times New Roman"/>
                <w:w w:val="66"/>
                <w:sz w:val="21"/>
                <w:szCs w:val="21"/>
              </w:rPr>
              <w:t>-505m运输水平</w:t>
            </w:r>
          </w:p>
        </w:tc>
        <w:tc>
          <w:tcPr>
            <w:tcW w:w="419" w:type="pct"/>
            <w:noWrap/>
            <w:vAlign w:val="center"/>
          </w:tcPr>
          <w:p w14:paraId="68178D29">
            <w:pPr>
              <w:pStyle w:val="121"/>
              <w:rPr>
                <w:rFonts w:ascii="Times New Roman" w:hAnsi="Times New Roman"/>
                <w:w w:val="66"/>
                <w:sz w:val="21"/>
                <w:szCs w:val="21"/>
              </w:rPr>
            </w:pPr>
          </w:p>
        </w:tc>
        <w:tc>
          <w:tcPr>
            <w:tcW w:w="616" w:type="pct"/>
            <w:noWrap/>
            <w:vAlign w:val="center"/>
          </w:tcPr>
          <w:p w14:paraId="14FAC638">
            <w:pPr>
              <w:pStyle w:val="121"/>
              <w:rPr>
                <w:rFonts w:ascii="Times New Roman" w:hAnsi="Times New Roman"/>
                <w:w w:val="66"/>
                <w:sz w:val="21"/>
                <w:szCs w:val="21"/>
              </w:rPr>
            </w:pPr>
          </w:p>
        </w:tc>
        <w:tc>
          <w:tcPr>
            <w:tcW w:w="494" w:type="pct"/>
            <w:noWrap/>
            <w:vAlign w:val="center"/>
          </w:tcPr>
          <w:p w14:paraId="739315A0">
            <w:pPr>
              <w:pStyle w:val="121"/>
              <w:rPr>
                <w:rFonts w:ascii="Times New Roman" w:hAnsi="Times New Roman"/>
                <w:w w:val="66"/>
                <w:sz w:val="21"/>
                <w:szCs w:val="21"/>
              </w:rPr>
            </w:pPr>
          </w:p>
        </w:tc>
        <w:tc>
          <w:tcPr>
            <w:tcW w:w="458" w:type="pct"/>
            <w:noWrap/>
            <w:vAlign w:val="center"/>
          </w:tcPr>
          <w:p w14:paraId="6CB19FAC">
            <w:pPr>
              <w:pStyle w:val="121"/>
              <w:rPr>
                <w:rFonts w:ascii="Times New Roman" w:hAnsi="Times New Roman"/>
                <w:w w:val="66"/>
                <w:sz w:val="21"/>
                <w:szCs w:val="21"/>
              </w:rPr>
            </w:pPr>
          </w:p>
        </w:tc>
        <w:tc>
          <w:tcPr>
            <w:tcW w:w="458" w:type="pct"/>
            <w:noWrap/>
            <w:vAlign w:val="center"/>
          </w:tcPr>
          <w:p w14:paraId="75476FC2">
            <w:pPr>
              <w:pStyle w:val="121"/>
              <w:rPr>
                <w:rFonts w:ascii="Times New Roman" w:hAnsi="Times New Roman"/>
                <w:w w:val="66"/>
                <w:sz w:val="21"/>
                <w:szCs w:val="21"/>
              </w:rPr>
            </w:pPr>
          </w:p>
        </w:tc>
        <w:tc>
          <w:tcPr>
            <w:tcW w:w="521" w:type="pct"/>
            <w:noWrap/>
            <w:vAlign w:val="center"/>
          </w:tcPr>
          <w:p w14:paraId="5097636E">
            <w:pPr>
              <w:pStyle w:val="121"/>
              <w:rPr>
                <w:rFonts w:ascii="Times New Roman" w:hAnsi="Times New Roman"/>
                <w:w w:val="66"/>
                <w:sz w:val="21"/>
                <w:szCs w:val="21"/>
              </w:rPr>
            </w:pPr>
          </w:p>
        </w:tc>
      </w:tr>
      <w:tr w14:paraId="00D01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39594FA4">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32512BCF">
            <w:pPr>
              <w:pStyle w:val="121"/>
              <w:rPr>
                <w:rFonts w:ascii="Times New Roman" w:hAnsi="Times New Roman"/>
                <w:w w:val="66"/>
                <w:sz w:val="21"/>
                <w:szCs w:val="21"/>
              </w:rPr>
            </w:pPr>
            <w:r>
              <w:rPr>
                <w:rFonts w:ascii="Times New Roman" w:hAnsi="Times New Roman"/>
                <w:w w:val="66"/>
                <w:sz w:val="21"/>
                <w:szCs w:val="21"/>
              </w:rPr>
              <w:t>副井石门（东侧）</w:t>
            </w:r>
          </w:p>
        </w:tc>
        <w:tc>
          <w:tcPr>
            <w:tcW w:w="419" w:type="pct"/>
            <w:noWrap/>
            <w:vAlign w:val="center"/>
          </w:tcPr>
          <w:p w14:paraId="7D19DF43">
            <w:pPr>
              <w:pStyle w:val="121"/>
              <w:rPr>
                <w:rFonts w:ascii="Times New Roman" w:hAnsi="Times New Roman"/>
                <w:w w:val="66"/>
                <w:sz w:val="21"/>
                <w:szCs w:val="21"/>
              </w:rPr>
            </w:pPr>
            <w:r>
              <w:rPr>
                <w:rFonts w:hint="eastAsia" w:ascii="Times New Roman" w:hAnsi="Times New Roman"/>
                <w:w w:val="66"/>
                <w:sz w:val="21"/>
                <w:szCs w:val="21"/>
              </w:rPr>
              <w:t>13.1</w:t>
            </w:r>
          </w:p>
        </w:tc>
        <w:tc>
          <w:tcPr>
            <w:tcW w:w="616" w:type="pct"/>
            <w:noWrap/>
            <w:vAlign w:val="center"/>
          </w:tcPr>
          <w:p w14:paraId="12FD9317">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5008F9B">
            <w:pPr>
              <w:pStyle w:val="121"/>
              <w:rPr>
                <w:rFonts w:ascii="Times New Roman" w:hAnsi="Times New Roman"/>
                <w:w w:val="66"/>
                <w:sz w:val="21"/>
                <w:szCs w:val="21"/>
              </w:rPr>
            </w:pPr>
            <w:r>
              <w:rPr>
                <w:rFonts w:hint="eastAsia" w:ascii="Times New Roman" w:hAnsi="Times New Roman"/>
                <w:w w:val="66"/>
                <w:sz w:val="21"/>
                <w:szCs w:val="21"/>
              </w:rPr>
              <w:t>14.7</w:t>
            </w:r>
          </w:p>
        </w:tc>
        <w:tc>
          <w:tcPr>
            <w:tcW w:w="458" w:type="pct"/>
            <w:noWrap/>
            <w:vAlign w:val="center"/>
          </w:tcPr>
          <w:p w14:paraId="2191F445">
            <w:pPr>
              <w:pStyle w:val="121"/>
              <w:rPr>
                <w:rFonts w:ascii="Times New Roman" w:hAnsi="Times New Roman"/>
                <w:w w:val="66"/>
                <w:sz w:val="21"/>
                <w:szCs w:val="21"/>
              </w:rPr>
            </w:pPr>
            <w:r>
              <w:rPr>
                <w:rFonts w:hint="eastAsia" w:ascii="Times New Roman" w:hAnsi="Times New Roman"/>
                <w:w w:val="66"/>
                <w:sz w:val="21"/>
                <w:szCs w:val="21"/>
              </w:rPr>
              <w:t>-20.5</w:t>
            </w:r>
          </w:p>
        </w:tc>
        <w:tc>
          <w:tcPr>
            <w:tcW w:w="458" w:type="pct"/>
            <w:noWrap/>
            <w:vAlign w:val="center"/>
          </w:tcPr>
          <w:p w14:paraId="7754AF10">
            <w:pPr>
              <w:pStyle w:val="121"/>
              <w:rPr>
                <w:rFonts w:ascii="Times New Roman" w:hAnsi="Times New Roman"/>
                <w:w w:val="66"/>
                <w:sz w:val="21"/>
                <w:szCs w:val="21"/>
              </w:rPr>
            </w:pPr>
            <w:r>
              <w:rPr>
                <w:rFonts w:hint="eastAsia" w:ascii="Times New Roman" w:hAnsi="Times New Roman"/>
                <w:w w:val="66"/>
                <w:sz w:val="21"/>
                <w:szCs w:val="21"/>
              </w:rPr>
              <w:t>1.2</w:t>
            </w:r>
          </w:p>
        </w:tc>
        <w:tc>
          <w:tcPr>
            <w:tcW w:w="521" w:type="pct"/>
            <w:noWrap/>
            <w:vAlign w:val="center"/>
          </w:tcPr>
          <w:p w14:paraId="06CCFB44">
            <w:pPr>
              <w:pStyle w:val="121"/>
              <w:rPr>
                <w:rFonts w:ascii="Times New Roman" w:hAnsi="Times New Roman"/>
                <w:w w:val="66"/>
                <w:sz w:val="21"/>
                <w:szCs w:val="21"/>
              </w:rPr>
            </w:pPr>
            <w:r>
              <w:rPr>
                <w:rFonts w:ascii="Times New Roman" w:hAnsi="Times New Roman"/>
                <w:w w:val="66"/>
                <w:sz w:val="21"/>
                <w:szCs w:val="21"/>
              </w:rPr>
              <w:t>6</w:t>
            </w:r>
          </w:p>
        </w:tc>
      </w:tr>
      <w:tr w14:paraId="476F7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4ADB4D9B">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5A3D08A7">
            <w:pPr>
              <w:pStyle w:val="121"/>
              <w:rPr>
                <w:rFonts w:ascii="Times New Roman" w:hAnsi="Times New Roman"/>
                <w:w w:val="66"/>
                <w:sz w:val="21"/>
                <w:szCs w:val="21"/>
              </w:rPr>
            </w:pPr>
            <w:r>
              <w:rPr>
                <w:rFonts w:ascii="Times New Roman" w:hAnsi="Times New Roman"/>
                <w:w w:val="66"/>
                <w:sz w:val="21"/>
                <w:szCs w:val="21"/>
              </w:rPr>
              <w:t>副井石门（西侧）</w:t>
            </w:r>
          </w:p>
        </w:tc>
        <w:tc>
          <w:tcPr>
            <w:tcW w:w="419" w:type="pct"/>
            <w:noWrap/>
            <w:vAlign w:val="center"/>
          </w:tcPr>
          <w:p w14:paraId="7909E87B">
            <w:pPr>
              <w:pStyle w:val="121"/>
              <w:rPr>
                <w:rFonts w:ascii="Times New Roman" w:hAnsi="Times New Roman"/>
                <w:w w:val="66"/>
                <w:sz w:val="21"/>
                <w:szCs w:val="21"/>
              </w:rPr>
            </w:pPr>
            <w:r>
              <w:rPr>
                <w:rFonts w:hint="eastAsia" w:ascii="Times New Roman" w:hAnsi="Times New Roman"/>
                <w:w w:val="66"/>
                <w:sz w:val="21"/>
                <w:szCs w:val="21"/>
              </w:rPr>
              <w:t>13.1</w:t>
            </w:r>
          </w:p>
        </w:tc>
        <w:tc>
          <w:tcPr>
            <w:tcW w:w="616" w:type="pct"/>
            <w:noWrap/>
            <w:vAlign w:val="center"/>
          </w:tcPr>
          <w:p w14:paraId="0F25896D">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E15C5E8">
            <w:pPr>
              <w:pStyle w:val="121"/>
              <w:rPr>
                <w:rFonts w:ascii="Times New Roman" w:hAnsi="Times New Roman"/>
                <w:w w:val="66"/>
                <w:sz w:val="21"/>
                <w:szCs w:val="21"/>
              </w:rPr>
            </w:pPr>
            <w:r>
              <w:rPr>
                <w:rFonts w:hint="eastAsia" w:ascii="Times New Roman" w:hAnsi="Times New Roman"/>
                <w:w w:val="66"/>
                <w:sz w:val="21"/>
                <w:szCs w:val="21"/>
              </w:rPr>
              <w:t>19.7</w:t>
            </w:r>
          </w:p>
        </w:tc>
        <w:tc>
          <w:tcPr>
            <w:tcW w:w="458" w:type="pct"/>
            <w:noWrap/>
            <w:vAlign w:val="center"/>
          </w:tcPr>
          <w:p w14:paraId="14562EAC">
            <w:pPr>
              <w:pStyle w:val="121"/>
              <w:rPr>
                <w:rFonts w:ascii="Times New Roman" w:hAnsi="Times New Roman"/>
                <w:w w:val="66"/>
                <w:sz w:val="21"/>
                <w:szCs w:val="21"/>
              </w:rPr>
            </w:pPr>
            <w:r>
              <w:rPr>
                <w:rFonts w:hint="eastAsia" w:ascii="Times New Roman" w:hAnsi="Times New Roman"/>
                <w:w w:val="66"/>
                <w:sz w:val="21"/>
                <w:szCs w:val="21"/>
              </w:rPr>
              <w:t>-20.5</w:t>
            </w:r>
          </w:p>
        </w:tc>
        <w:tc>
          <w:tcPr>
            <w:tcW w:w="458" w:type="pct"/>
            <w:noWrap/>
            <w:vAlign w:val="center"/>
          </w:tcPr>
          <w:p w14:paraId="49494AB6">
            <w:pPr>
              <w:pStyle w:val="121"/>
              <w:rPr>
                <w:rFonts w:ascii="Times New Roman" w:hAnsi="Times New Roman"/>
                <w:w w:val="66"/>
                <w:sz w:val="21"/>
                <w:szCs w:val="21"/>
              </w:rPr>
            </w:pPr>
            <w:r>
              <w:rPr>
                <w:rFonts w:hint="eastAsia" w:ascii="Times New Roman" w:hAnsi="Times New Roman"/>
                <w:w w:val="66"/>
                <w:sz w:val="21"/>
                <w:szCs w:val="21"/>
              </w:rPr>
              <w:t>1.6</w:t>
            </w:r>
          </w:p>
        </w:tc>
        <w:tc>
          <w:tcPr>
            <w:tcW w:w="521" w:type="pct"/>
            <w:noWrap/>
            <w:vAlign w:val="center"/>
          </w:tcPr>
          <w:p w14:paraId="1BC3F3DF">
            <w:pPr>
              <w:pStyle w:val="121"/>
              <w:rPr>
                <w:rFonts w:ascii="Times New Roman" w:hAnsi="Times New Roman"/>
                <w:w w:val="66"/>
                <w:sz w:val="21"/>
                <w:szCs w:val="21"/>
              </w:rPr>
            </w:pPr>
            <w:r>
              <w:rPr>
                <w:rFonts w:ascii="Times New Roman" w:hAnsi="Times New Roman"/>
                <w:w w:val="66"/>
                <w:sz w:val="21"/>
                <w:szCs w:val="21"/>
              </w:rPr>
              <w:t>6</w:t>
            </w:r>
          </w:p>
        </w:tc>
      </w:tr>
      <w:tr w14:paraId="0D790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B4133CC">
            <w:pPr>
              <w:pStyle w:val="121"/>
              <w:rPr>
                <w:rFonts w:ascii="Times New Roman" w:hAnsi="Times New Roman"/>
                <w:w w:val="66"/>
                <w:sz w:val="21"/>
                <w:szCs w:val="21"/>
              </w:rPr>
            </w:pPr>
            <w:r>
              <w:rPr>
                <w:rFonts w:ascii="Times New Roman" w:hAnsi="Times New Roman"/>
                <w:w w:val="66"/>
                <w:sz w:val="21"/>
                <w:szCs w:val="21"/>
              </w:rPr>
              <w:t>3</w:t>
            </w:r>
          </w:p>
        </w:tc>
        <w:tc>
          <w:tcPr>
            <w:tcW w:w="1714" w:type="pct"/>
            <w:noWrap/>
            <w:vAlign w:val="center"/>
          </w:tcPr>
          <w:p w14:paraId="2F6CC744">
            <w:pPr>
              <w:pStyle w:val="121"/>
              <w:rPr>
                <w:rFonts w:ascii="Times New Roman" w:hAnsi="Times New Roman"/>
                <w:w w:val="66"/>
                <w:sz w:val="21"/>
                <w:szCs w:val="21"/>
              </w:rPr>
            </w:pPr>
            <w:r>
              <w:rPr>
                <w:rFonts w:ascii="Times New Roman" w:hAnsi="Times New Roman"/>
                <w:w w:val="66"/>
                <w:sz w:val="21"/>
                <w:szCs w:val="21"/>
              </w:rPr>
              <w:t>沿脉运输巷道</w:t>
            </w:r>
          </w:p>
        </w:tc>
        <w:tc>
          <w:tcPr>
            <w:tcW w:w="419" w:type="pct"/>
            <w:noWrap/>
            <w:vAlign w:val="center"/>
          </w:tcPr>
          <w:p w14:paraId="61AE8E69">
            <w:pPr>
              <w:pStyle w:val="121"/>
              <w:rPr>
                <w:rFonts w:ascii="Times New Roman" w:hAnsi="Times New Roman"/>
                <w:w w:val="66"/>
                <w:sz w:val="21"/>
                <w:szCs w:val="21"/>
              </w:rPr>
            </w:pPr>
            <w:r>
              <w:rPr>
                <w:rFonts w:hint="eastAsia" w:ascii="Times New Roman" w:hAnsi="Times New Roman"/>
                <w:w w:val="66"/>
                <w:sz w:val="21"/>
                <w:szCs w:val="21"/>
              </w:rPr>
              <w:t>12.4</w:t>
            </w:r>
          </w:p>
        </w:tc>
        <w:tc>
          <w:tcPr>
            <w:tcW w:w="616" w:type="pct"/>
            <w:noWrap/>
            <w:vAlign w:val="center"/>
          </w:tcPr>
          <w:p w14:paraId="35A1B3B4">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1777C94D">
            <w:pPr>
              <w:pStyle w:val="121"/>
              <w:rPr>
                <w:rFonts w:ascii="Times New Roman" w:hAnsi="Times New Roman"/>
                <w:w w:val="66"/>
                <w:sz w:val="21"/>
                <w:szCs w:val="21"/>
              </w:rPr>
            </w:pPr>
            <w:r>
              <w:rPr>
                <w:rFonts w:hint="eastAsia" w:ascii="Times New Roman" w:hAnsi="Times New Roman"/>
                <w:w w:val="66"/>
                <w:sz w:val="21"/>
                <w:szCs w:val="21"/>
              </w:rPr>
              <w:t>41.8</w:t>
            </w:r>
          </w:p>
        </w:tc>
        <w:tc>
          <w:tcPr>
            <w:tcW w:w="458" w:type="pct"/>
            <w:noWrap/>
            <w:vAlign w:val="center"/>
          </w:tcPr>
          <w:p w14:paraId="697243CB">
            <w:pPr>
              <w:pStyle w:val="121"/>
              <w:rPr>
                <w:rFonts w:ascii="Times New Roman" w:hAnsi="Times New Roman"/>
                <w:w w:val="66"/>
                <w:sz w:val="21"/>
                <w:szCs w:val="21"/>
              </w:rPr>
            </w:pPr>
            <w:r>
              <w:rPr>
                <w:rFonts w:hint="eastAsia" w:ascii="Times New Roman" w:hAnsi="Times New Roman"/>
                <w:w w:val="66"/>
                <w:sz w:val="21"/>
                <w:szCs w:val="21"/>
              </w:rPr>
              <w:t>-100.8</w:t>
            </w:r>
          </w:p>
        </w:tc>
        <w:tc>
          <w:tcPr>
            <w:tcW w:w="458" w:type="pct"/>
            <w:noWrap/>
            <w:vAlign w:val="center"/>
          </w:tcPr>
          <w:p w14:paraId="5F9FC51F">
            <w:pPr>
              <w:pStyle w:val="121"/>
              <w:rPr>
                <w:rFonts w:ascii="Times New Roman" w:hAnsi="Times New Roman"/>
                <w:w w:val="66"/>
                <w:sz w:val="21"/>
                <w:szCs w:val="21"/>
              </w:rPr>
            </w:pPr>
            <w:r>
              <w:rPr>
                <w:rFonts w:hint="eastAsia" w:ascii="Times New Roman" w:hAnsi="Times New Roman"/>
                <w:w w:val="66"/>
                <w:sz w:val="21"/>
                <w:szCs w:val="21"/>
              </w:rPr>
              <w:t>3.4</w:t>
            </w:r>
          </w:p>
        </w:tc>
        <w:tc>
          <w:tcPr>
            <w:tcW w:w="521" w:type="pct"/>
            <w:noWrap/>
            <w:vAlign w:val="center"/>
          </w:tcPr>
          <w:p w14:paraId="0F5A1234">
            <w:pPr>
              <w:pStyle w:val="121"/>
              <w:rPr>
                <w:rFonts w:ascii="Times New Roman" w:hAnsi="Times New Roman"/>
                <w:w w:val="66"/>
                <w:sz w:val="21"/>
                <w:szCs w:val="21"/>
              </w:rPr>
            </w:pPr>
            <w:r>
              <w:rPr>
                <w:rFonts w:ascii="Times New Roman" w:hAnsi="Times New Roman"/>
                <w:w w:val="66"/>
                <w:sz w:val="21"/>
                <w:szCs w:val="21"/>
              </w:rPr>
              <w:t>6</w:t>
            </w:r>
          </w:p>
        </w:tc>
      </w:tr>
      <w:tr w14:paraId="6AB91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7687F839">
            <w:pPr>
              <w:pStyle w:val="121"/>
              <w:rPr>
                <w:rFonts w:ascii="Times New Roman" w:hAnsi="Times New Roman"/>
                <w:w w:val="66"/>
                <w:sz w:val="21"/>
                <w:szCs w:val="21"/>
              </w:rPr>
            </w:pPr>
            <w:r>
              <w:rPr>
                <w:rFonts w:ascii="Times New Roman" w:hAnsi="Times New Roman"/>
                <w:w w:val="66"/>
                <w:sz w:val="21"/>
                <w:szCs w:val="21"/>
              </w:rPr>
              <w:t>4</w:t>
            </w:r>
          </w:p>
        </w:tc>
        <w:tc>
          <w:tcPr>
            <w:tcW w:w="1714" w:type="pct"/>
            <w:noWrap/>
            <w:vAlign w:val="center"/>
          </w:tcPr>
          <w:p w14:paraId="594AA1C9">
            <w:pPr>
              <w:pStyle w:val="121"/>
              <w:rPr>
                <w:rFonts w:ascii="Times New Roman" w:hAnsi="Times New Roman"/>
                <w:w w:val="66"/>
                <w:sz w:val="21"/>
                <w:szCs w:val="21"/>
              </w:rPr>
            </w:pPr>
            <w:r>
              <w:rPr>
                <w:rFonts w:ascii="Times New Roman" w:hAnsi="Times New Roman"/>
                <w:w w:val="66"/>
                <w:sz w:val="21"/>
                <w:szCs w:val="21"/>
              </w:rPr>
              <w:t>穿脉运输巷道</w:t>
            </w:r>
          </w:p>
        </w:tc>
        <w:tc>
          <w:tcPr>
            <w:tcW w:w="419" w:type="pct"/>
            <w:noWrap/>
            <w:vAlign w:val="center"/>
          </w:tcPr>
          <w:p w14:paraId="2E6B4675">
            <w:pPr>
              <w:pStyle w:val="121"/>
              <w:rPr>
                <w:rFonts w:ascii="Times New Roman" w:hAnsi="Times New Roman"/>
                <w:w w:val="66"/>
                <w:sz w:val="21"/>
                <w:szCs w:val="21"/>
              </w:rPr>
            </w:pPr>
            <w:r>
              <w:rPr>
                <w:rFonts w:hint="eastAsia" w:ascii="Times New Roman" w:hAnsi="Times New Roman"/>
                <w:w w:val="66"/>
                <w:sz w:val="21"/>
                <w:szCs w:val="21"/>
              </w:rPr>
              <w:t>12.4</w:t>
            </w:r>
          </w:p>
        </w:tc>
        <w:tc>
          <w:tcPr>
            <w:tcW w:w="616" w:type="pct"/>
            <w:noWrap/>
            <w:vAlign w:val="center"/>
          </w:tcPr>
          <w:p w14:paraId="54026F62">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7C77F71D">
            <w:pPr>
              <w:pStyle w:val="121"/>
              <w:rPr>
                <w:rFonts w:ascii="Times New Roman" w:hAnsi="Times New Roman"/>
                <w:w w:val="66"/>
                <w:sz w:val="21"/>
                <w:szCs w:val="21"/>
              </w:rPr>
            </w:pPr>
            <w:r>
              <w:rPr>
                <w:rFonts w:hint="eastAsia" w:ascii="Times New Roman" w:hAnsi="Times New Roman"/>
                <w:w w:val="66"/>
                <w:sz w:val="21"/>
                <w:szCs w:val="21"/>
              </w:rPr>
              <w:t>15.3</w:t>
            </w:r>
          </w:p>
        </w:tc>
        <w:tc>
          <w:tcPr>
            <w:tcW w:w="458" w:type="pct"/>
            <w:noWrap/>
            <w:vAlign w:val="center"/>
          </w:tcPr>
          <w:p w14:paraId="214FFEAF">
            <w:pPr>
              <w:pStyle w:val="121"/>
              <w:rPr>
                <w:rFonts w:ascii="Times New Roman" w:hAnsi="Times New Roman"/>
                <w:w w:val="66"/>
                <w:sz w:val="21"/>
                <w:szCs w:val="21"/>
              </w:rPr>
            </w:pPr>
            <w:r>
              <w:rPr>
                <w:rFonts w:hint="eastAsia" w:ascii="Times New Roman" w:hAnsi="Times New Roman"/>
                <w:w w:val="66"/>
                <w:sz w:val="21"/>
                <w:szCs w:val="21"/>
              </w:rPr>
              <w:t>-33.3</w:t>
            </w:r>
          </w:p>
        </w:tc>
        <w:tc>
          <w:tcPr>
            <w:tcW w:w="458" w:type="pct"/>
            <w:noWrap/>
            <w:vAlign w:val="center"/>
          </w:tcPr>
          <w:p w14:paraId="14EA4FD3">
            <w:pPr>
              <w:pStyle w:val="121"/>
              <w:rPr>
                <w:rFonts w:ascii="Times New Roman" w:hAnsi="Times New Roman"/>
                <w:w w:val="66"/>
                <w:sz w:val="21"/>
                <w:szCs w:val="21"/>
              </w:rPr>
            </w:pPr>
            <w:r>
              <w:rPr>
                <w:rFonts w:hint="eastAsia" w:ascii="Times New Roman" w:hAnsi="Times New Roman"/>
                <w:w w:val="66"/>
                <w:sz w:val="21"/>
                <w:szCs w:val="21"/>
              </w:rPr>
              <w:t>1.2</w:t>
            </w:r>
          </w:p>
        </w:tc>
        <w:tc>
          <w:tcPr>
            <w:tcW w:w="521" w:type="pct"/>
            <w:noWrap/>
            <w:vAlign w:val="center"/>
          </w:tcPr>
          <w:p w14:paraId="7C0519BB">
            <w:pPr>
              <w:pStyle w:val="121"/>
              <w:rPr>
                <w:rFonts w:ascii="Times New Roman" w:hAnsi="Times New Roman"/>
                <w:w w:val="66"/>
                <w:sz w:val="21"/>
                <w:szCs w:val="21"/>
              </w:rPr>
            </w:pPr>
            <w:r>
              <w:rPr>
                <w:rFonts w:ascii="Times New Roman" w:hAnsi="Times New Roman"/>
                <w:w w:val="66"/>
                <w:sz w:val="21"/>
                <w:szCs w:val="21"/>
              </w:rPr>
              <w:t>6</w:t>
            </w:r>
          </w:p>
        </w:tc>
      </w:tr>
      <w:tr w14:paraId="3E31D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58D1B0CA">
            <w:pPr>
              <w:pStyle w:val="121"/>
              <w:rPr>
                <w:rFonts w:ascii="Times New Roman" w:hAnsi="Times New Roman"/>
                <w:w w:val="66"/>
                <w:sz w:val="21"/>
                <w:szCs w:val="21"/>
              </w:rPr>
            </w:pPr>
            <w:r>
              <w:rPr>
                <w:rFonts w:ascii="Times New Roman" w:hAnsi="Times New Roman"/>
                <w:w w:val="66"/>
                <w:sz w:val="21"/>
                <w:szCs w:val="21"/>
              </w:rPr>
              <w:t>5</w:t>
            </w:r>
          </w:p>
        </w:tc>
        <w:tc>
          <w:tcPr>
            <w:tcW w:w="1714" w:type="pct"/>
            <w:noWrap/>
            <w:vAlign w:val="center"/>
          </w:tcPr>
          <w:p w14:paraId="7F7824DF">
            <w:pPr>
              <w:pStyle w:val="121"/>
              <w:rPr>
                <w:rFonts w:ascii="Times New Roman" w:hAnsi="Times New Roman"/>
                <w:w w:val="66"/>
                <w:sz w:val="21"/>
                <w:szCs w:val="21"/>
              </w:rPr>
            </w:pPr>
            <w:r>
              <w:rPr>
                <w:rFonts w:ascii="Times New Roman" w:hAnsi="Times New Roman"/>
                <w:w w:val="66"/>
                <w:sz w:val="21"/>
                <w:szCs w:val="21"/>
              </w:rPr>
              <w:t>溜破系统回风天井联络巷</w:t>
            </w:r>
          </w:p>
        </w:tc>
        <w:tc>
          <w:tcPr>
            <w:tcW w:w="419" w:type="pct"/>
            <w:noWrap/>
            <w:vAlign w:val="center"/>
          </w:tcPr>
          <w:p w14:paraId="045A201C">
            <w:pPr>
              <w:pStyle w:val="121"/>
              <w:rPr>
                <w:rFonts w:ascii="Times New Roman" w:hAnsi="Times New Roman"/>
                <w:w w:val="66"/>
                <w:sz w:val="21"/>
                <w:szCs w:val="21"/>
              </w:rPr>
            </w:pPr>
            <w:r>
              <w:rPr>
                <w:rFonts w:hint="eastAsia" w:ascii="Times New Roman" w:hAnsi="Times New Roman"/>
                <w:w w:val="66"/>
                <w:sz w:val="21"/>
                <w:szCs w:val="21"/>
              </w:rPr>
              <w:t>8.2</w:t>
            </w:r>
          </w:p>
        </w:tc>
        <w:tc>
          <w:tcPr>
            <w:tcW w:w="616" w:type="pct"/>
            <w:noWrap/>
            <w:vAlign w:val="center"/>
          </w:tcPr>
          <w:p w14:paraId="44F236C3">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1B2BC0F1">
            <w:pPr>
              <w:pStyle w:val="121"/>
              <w:rPr>
                <w:rFonts w:ascii="Times New Roman" w:hAnsi="Times New Roman"/>
                <w:w w:val="66"/>
                <w:sz w:val="21"/>
                <w:szCs w:val="21"/>
              </w:rPr>
            </w:pPr>
            <w:r>
              <w:rPr>
                <w:rFonts w:hint="eastAsia" w:ascii="Times New Roman" w:hAnsi="Times New Roman"/>
                <w:w w:val="66"/>
                <w:sz w:val="21"/>
                <w:szCs w:val="21"/>
              </w:rPr>
              <w:t>30</w:t>
            </w:r>
          </w:p>
        </w:tc>
        <w:tc>
          <w:tcPr>
            <w:tcW w:w="458" w:type="pct"/>
            <w:noWrap/>
            <w:vAlign w:val="center"/>
          </w:tcPr>
          <w:p w14:paraId="789598D1">
            <w:pPr>
              <w:pStyle w:val="121"/>
              <w:rPr>
                <w:rFonts w:ascii="Times New Roman" w:hAnsi="Times New Roman"/>
                <w:w w:val="66"/>
                <w:sz w:val="21"/>
                <w:szCs w:val="21"/>
              </w:rPr>
            </w:pPr>
            <w:r>
              <w:rPr>
                <w:rFonts w:hint="eastAsia" w:ascii="Times New Roman" w:hAnsi="Times New Roman"/>
                <w:w w:val="66"/>
                <w:sz w:val="21"/>
                <w:szCs w:val="21"/>
              </w:rPr>
              <w:t>-26.6</w:t>
            </w:r>
          </w:p>
        </w:tc>
        <w:tc>
          <w:tcPr>
            <w:tcW w:w="458" w:type="pct"/>
            <w:noWrap/>
            <w:vAlign w:val="center"/>
          </w:tcPr>
          <w:p w14:paraId="1E147DC4">
            <w:pPr>
              <w:pStyle w:val="121"/>
              <w:rPr>
                <w:rFonts w:ascii="Times New Roman" w:hAnsi="Times New Roman"/>
                <w:w w:val="66"/>
                <w:sz w:val="21"/>
                <w:szCs w:val="21"/>
              </w:rPr>
            </w:pPr>
            <w:r>
              <w:rPr>
                <w:rFonts w:hint="eastAsia" w:ascii="Times New Roman" w:hAnsi="Times New Roman"/>
                <w:w w:val="66"/>
                <w:sz w:val="21"/>
                <w:szCs w:val="21"/>
              </w:rPr>
              <w:t>2.4</w:t>
            </w:r>
          </w:p>
        </w:tc>
        <w:tc>
          <w:tcPr>
            <w:tcW w:w="521" w:type="pct"/>
            <w:noWrap/>
            <w:vAlign w:val="center"/>
          </w:tcPr>
          <w:p w14:paraId="13299B27">
            <w:pPr>
              <w:pStyle w:val="121"/>
              <w:rPr>
                <w:rFonts w:ascii="Times New Roman" w:hAnsi="Times New Roman"/>
                <w:w w:val="66"/>
                <w:sz w:val="21"/>
                <w:szCs w:val="21"/>
              </w:rPr>
            </w:pPr>
            <w:r>
              <w:rPr>
                <w:rFonts w:ascii="Times New Roman" w:hAnsi="Times New Roman"/>
                <w:w w:val="66"/>
                <w:sz w:val="21"/>
                <w:szCs w:val="21"/>
              </w:rPr>
              <w:t>6</w:t>
            </w:r>
          </w:p>
        </w:tc>
      </w:tr>
      <w:tr w14:paraId="72E3F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1A0DD892">
            <w:pPr>
              <w:pStyle w:val="121"/>
              <w:rPr>
                <w:rFonts w:ascii="Times New Roman" w:hAnsi="Times New Roman"/>
                <w:w w:val="66"/>
                <w:sz w:val="21"/>
                <w:szCs w:val="21"/>
              </w:rPr>
            </w:pPr>
            <w:r>
              <w:rPr>
                <w:rFonts w:hint="eastAsia" w:ascii="Times New Roman" w:hAnsi="Times New Roman"/>
                <w:w w:val="66"/>
                <w:sz w:val="21"/>
                <w:szCs w:val="21"/>
              </w:rPr>
              <w:t>八</w:t>
            </w:r>
          </w:p>
        </w:tc>
        <w:tc>
          <w:tcPr>
            <w:tcW w:w="1714" w:type="pct"/>
            <w:noWrap/>
            <w:vAlign w:val="center"/>
          </w:tcPr>
          <w:p w14:paraId="203A2B2A">
            <w:pPr>
              <w:pStyle w:val="121"/>
              <w:rPr>
                <w:rFonts w:ascii="Times New Roman" w:hAnsi="Times New Roman"/>
                <w:w w:val="66"/>
                <w:sz w:val="21"/>
                <w:szCs w:val="21"/>
              </w:rPr>
            </w:pPr>
            <w:r>
              <w:rPr>
                <w:rFonts w:ascii="Times New Roman" w:hAnsi="Times New Roman"/>
                <w:w w:val="66"/>
                <w:sz w:val="21"/>
                <w:szCs w:val="21"/>
              </w:rPr>
              <w:t>溜破系统</w:t>
            </w:r>
          </w:p>
        </w:tc>
        <w:tc>
          <w:tcPr>
            <w:tcW w:w="419" w:type="pct"/>
            <w:noWrap/>
            <w:vAlign w:val="center"/>
          </w:tcPr>
          <w:p w14:paraId="17A101CC">
            <w:pPr>
              <w:pStyle w:val="121"/>
              <w:rPr>
                <w:rFonts w:ascii="Times New Roman" w:hAnsi="Times New Roman"/>
                <w:w w:val="66"/>
                <w:sz w:val="21"/>
                <w:szCs w:val="21"/>
              </w:rPr>
            </w:pPr>
          </w:p>
        </w:tc>
        <w:tc>
          <w:tcPr>
            <w:tcW w:w="616" w:type="pct"/>
            <w:noWrap/>
            <w:vAlign w:val="center"/>
          </w:tcPr>
          <w:p w14:paraId="143F7821">
            <w:pPr>
              <w:pStyle w:val="121"/>
              <w:rPr>
                <w:rFonts w:ascii="Times New Roman" w:hAnsi="Times New Roman"/>
                <w:w w:val="66"/>
                <w:sz w:val="21"/>
                <w:szCs w:val="21"/>
              </w:rPr>
            </w:pPr>
          </w:p>
        </w:tc>
        <w:tc>
          <w:tcPr>
            <w:tcW w:w="494" w:type="pct"/>
            <w:noWrap/>
            <w:vAlign w:val="center"/>
          </w:tcPr>
          <w:p w14:paraId="61F033B9">
            <w:pPr>
              <w:pStyle w:val="121"/>
              <w:rPr>
                <w:rFonts w:ascii="Times New Roman" w:hAnsi="Times New Roman"/>
                <w:w w:val="66"/>
                <w:sz w:val="21"/>
                <w:szCs w:val="21"/>
              </w:rPr>
            </w:pPr>
          </w:p>
        </w:tc>
        <w:tc>
          <w:tcPr>
            <w:tcW w:w="458" w:type="pct"/>
            <w:noWrap/>
            <w:vAlign w:val="center"/>
          </w:tcPr>
          <w:p w14:paraId="56FD20B7">
            <w:pPr>
              <w:pStyle w:val="121"/>
              <w:rPr>
                <w:rFonts w:ascii="Times New Roman" w:hAnsi="Times New Roman"/>
                <w:w w:val="66"/>
                <w:sz w:val="21"/>
                <w:szCs w:val="21"/>
              </w:rPr>
            </w:pPr>
          </w:p>
        </w:tc>
        <w:tc>
          <w:tcPr>
            <w:tcW w:w="458" w:type="pct"/>
            <w:noWrap/>
            <w:vAlign w:val="center"/>
          </w:tcPr>
          <w:p w14:paraId="47DCE485">
            <w:pPr>
              <w:pStyle w:val="121"/>
              <w:rPr>
                <w:rFonts w:ascii="Times New Roman" w:hAnsi="Times New Roman"/>
                <w:w w:val="66"/>
                <w:sz w:val="21"/>
                <w:szCs w:val="21"/>
              </w:rPr>
            </w:pPr>
          </w:p>
        </w:tc>
        <w:tc>
          <w:tcPr>
            <w:tcW w:w="521" w:type="pct"/>
            <w:noWrap/>
            <w:vAlign w:val="center"/>
          </w:tcPr>
          <w:p w14:paraId="0037AC92">
            <w:pPr>
              <w:pStyle w:val="121"/>
              <w:rPr>
                <w:rFonts w:ascii="Times New Roman" w:hAnsi="Times New Roman"/>
                <w:w w:val="66"/>
                <w:sz w:val="21"/>
                <w:szCs w:val="21"/>
              </w:rPr>
            </w:pPr>
          </w:p>
        </w:tc>
      </w:tr>
      <w:tr w14:paraId="37201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FDC4657">
            <w:pPr>
              <w:pStyle w:val="121"/>
              <w:rPr>
                <w:rFonts w:ascii="Times New Roman" w:hAnsi="Times New Roman"/>
                <w:w w:val="66"/>
                <w:sz w:val="21"/>
                <w:szCs w:val="21"/>
              </w:rPr>
            </w:pPr>
            <w:r>
              <w:rPr>
                <w:rFonts w:ascii="Times New Roman" w:hAnsi="Times New Roman"/>
                <w:w w:val="66"/>
                <w:sz w:val="21"/>
                <w:szCs w:val="21"/>
              </w:rPr>
              <w:t>1</w:t>
            </w:r>
          </w:p>
        </w:tc>
        <w:tc>
          <w:tcPr>
            <w:tcW w:w="1714" w:type="pct"/>
            <w:noWrap/>
            <w:vAlign w:val="center"/>
          </w:tcPr>
          <w:p w14:paraId="3083332D">
            <w:pPr>
              <w:pStyle w:val="121"/>
              <w:ind w:left="-98" w:leftChars="-35" w:right="-70" w:rightChars="-25"/>
              <w:rPr>
                <w:rFonts w:ascii="Times New Roman" w:hAnsi="Times New Roman"/>
                <w:w w:val="66"/>
                <w:sz w:val="21"/>
                <w:szCs w:val="21"/>
              </w:rPr>
            </w:pPr>
            <w:r>
              <w:rPr>
                <w:rFonts w:ascii="Times New Roman" w:hAnsi="Times New Roman"/>
                <w:w w:val="66"/>
              </w:rPr>
              <w:t>-</w:t>
            </w:r>
            <w:r>
              <w:rPr>
                <w:rFonts w:hint="eastAsia" w:ascii="Times New Roman" w:hAnsi="Times New Roman"/>
                <w:w w:val="66"/>
              </w:rPr>
              <w:t>565</w:t>
            </w:r>
            <w:r>
              <w:rPr>
                <w:rFonts w:ascii="Times New Roman" w:hAnsi="Times New Roman"/>
                <w:w w:val="66"/>
              </w:rPr>
              <w:t>m破碎水平副井石门</w:t>
            </w:r>
          </w:p>
        </w:tc>
        <w:tc>
          <w:tcPr>
            <w:tcW w:w="419" w:type="pct"/>
            <w:noWrap/>
            <w:vAlign w:val="center"/>
          </w:tcPr>
          <w:p w14:paraId="56FF8D8D">
            <w:pPr>
              <w:pStyle w:val="121"/>
              <w:rPr>
                <w:rFonts w:ascii="Times New Roman" w:hAnsi="Times New Roman"/>
                <w:w w:val="66"/>
                <w:sz w:val="21"/>
                <w:szCs w:val="21"/>
              </w:rPr>
            </w:pPr>
            <w:r>
              <w:rPr>
                <w:rFonts w:hint="eastAsia" w:ascii="Times New Roman" w:hAnsi="Times New Roman"/>
                <w:w w:val="66"/>
                <w:sz w:val="21"/>
                <w:szCs w:val="21"/>
              </w:rPr>
              <w:t>11.9</w:t>
            </w:r>
          </w:p>
        </w:tc>
        <w:tc>
          <w:tcPr>
            <w:tcW w:w="616" w:type="pct"/>
            <w:noWrap/>
            <w:vAlign w:val="center"/>
          </w:tcPr>
          <w:p w14:paraId="32BAC9B2">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42D87D57">
            <w:pPr>
              <w:pStyle w:val="121"/>
              <w:rPr>
                <w:rFonts w:ascii="Times New Roman" w:hAnsi="Times New Roman"/>
                <w:w w:val="66"/>
                <w:sz w:val="21"/>
                <w:szCs w:val="21"/>
              </w:rPr>
            </w:pPr>
            <w:r>
              <w:rPr>
                <w:rFonts w:hint="eastAsia" w:ascii="Times New Roman" w:hAnsi="Times New Roman"/>
                <w:w w:val="66"/>
                <w:sz w:val="21"/>
                <w:szCs w:val="21"/>
              </w:rPr>
              <w:t>14</w:t>
            </w:r>
          </w:p>
        </w:tc>
        <w:tc>
          <w:tcPr>
            <w:tcW w:w="458" w:type="pct"/>
            <w:noWrap/>
            <w:vAlign w:val="center"/>
          </w:tcPr>
          <w:p w14:paraId="064D5DFB">
            <w:pPr>
              <w:pStyle w:val="121"/>
              <w:rPr>
                <w:rFonts w:ascii="Times New Roman" w:hAnsi="Times New Roman"/>
                <w:w w:val="66"/>
                <w:sz w:val="21"/>
                <w:szCs w:val="21"/>
              </w:rPr>
            </w:pPr>
            <w:r>
              <w:rPr>
                <w:rFonts w:hint="eastAsia" w:ascii="Times New Roman" w:hAnsi="Times New Roman"/>
                <w:w w:val="66"/>
                <w:sz w:val="21"/>
                <w:szCs w:val="21"/>
              </w:rPr>
              <w:t>-21.4</w:t>
            </w:r>
          </w:p>
        </w:tc>
        <w:tc>
          <w:tcPr>
            <w:tcW w:w="458" w:type="pct"/>
            <w:noWrap/>
            <w:vAlign w:val="center"/>
          </w:tcPr>
          <w:p w14:paraId="611B24D2">
            <w:pPr>
              <w:pStyle w:val="121"/>
              <w:rPr>
                <w:rFonts w:ascii="Times New Roman" w:hAnsi="Times New Roman"/>
                <w:w w:val="66"/>
                <w:sz w:val="21"/>
                <w:szCs w:val="21"/>
              </w:rPr>
            </w:pPr>
            <w:r>
              <w:rPr>
                <w:rFonts w:hint="eastAsia" w:ascii="Times New Roman" w:hAnsi="Times New Roman"/>
                <w:w w:val="66"/>
                <w:sz w:val="21"/>
                <w:szCs w:val="21"/>
              </w:rPr>
              <w:t>1.2</w:t>
            </w:r>
          </w:p>
        </w:tc>
        <w:tc>
          <w:tcPr>
            <w:tcW w:w="521" w:type="pct"/>
            <w:noWrap/>
            <w:vAlign w:val="center"/>
          </w:tcPr>
          <w:p w14:paraId="696086CB">
            <w:pPr>
              <w:pStyle w:val="121"/>
              <w:rPr>
                <w:rFonts w:ascii="Times New Roman" w:hAnsi="Times New Roman"/>
                <w:w w:val="66"/>
                <w:sz w:val="21"/>
                <w:szCs w:val="21"/>
              </w:rPr>
            </w:pPr>
            <w:r>
              <w:rPr>
                <w:rFonts w:ascii="Times New Roman" w:hAnsi="Times New Roman"/>
                <w:w w:val="66"/>
                <w:sz w:val="21"/>
                <w:szCs w:val="21"/>
              </w:rPr>
              <w:t>6</w:t>
            </w:r>
          </w:p>
        </w:tc>
      </w:tr>
      <w:tr w14:paraId="73E4A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576721C">
            <w:pPr>
              <w:pStyle w:val="121"/>
              <w:rPr>
                <w:rFonts w:ascii="Times New Roman" w:hAnsi="Times New Roman"/>
                <w:w w:val="66"/>
                <w:sz w:val="21"/>
                <w:szCs w:val="21"/>
              </w:rPr>
            </w:pPr>
            <w:r>
              <w:rPr>
                <w:rFonts w:ascii="Times New Roman" w:hAnsi="Times New Roman"/>
                <w:w w:val="66"/>
                <w:sz w:val="21"/>
                <w:szCs w:val="21"/>
              </w:rPr>
              <w:t>2</w:t>
            </w:r>
          </w:p>
        </w:tc>
        <w:tc>
          <w:tcPr>
            <w:tcW w:w="1714" w:type="pct"/>
            <w:noWrap/>
            <w:vAlign w:val="center"/>
          </w:tcPr>
          <w:p w14:paraId="0C049AA8">
            <w:pPr>
              <w:pStyle w:val="121"/>
              <w:ind w:left="-98" w:leftChars="-35" w:right="-70" w:rightChars="-25"/>
              <w:rPr>
                <w:rFonts w:ascii="Times New Roman" w:hAnsi="Times New Roman"/>
                <w:w w:val="66"/>
                <w:sz w:val="21"/>
                <w:szCs w:val="21"/>
              </w:rPr>
            </w:pPr>
            <w:r>
              <w:rPr>
                <w:rFonts w:ascii="Times New Roman" w:hAnsi="Times New Roman"/>
                <w:w w:val="66"/>
              </w:rPr>
              <w:t>-</w:t>
            </w:r>
            <w:r>
              <w:rPr>
                <w:rFonts w:hint="eastAsia" w:ascii="Times New Roman" w:hAnsi="Times New Roman"/>
                <w:w w:val="66"/>
              </w:rPr>
              <w:t>565</w:t>
            </w:r>
            <w:r>
              <w:rPr>
                <w:rFonts w:ascii="Times New Roman" w:hAnsi="Times New Roman"/>
                <w:w w:val="66"/>
              </w:rPr>
              <w:t>m破碎水平回风联络巷</w:t>
            </w:r>
          </w:p>
        </w:tc>
        <w:tc>
          <w:tcPr>
            <w:tcW w:w="419" w:type="pct"/>
            <w:noWrap/>
            <w:vAlign w:val="center"/>
          </w:tcPr>
          <w:p w14:paraId="5032B0C3">
            <w:pPr>
              <w:pStyle w:val="121"/>
              <w:rPr>
                <w:rFonts w:ascii="Times New Roman" w:hAnsi="Times New Roman"/>
                <w:w w:val="66"/>
                <w:sz w:val="21"/>
                <w:szCs w:val="21"/>
              </w:rPr>
            </w:pPr>
            <w:r>
              <w:rPr>
                <w:rFonts w:hint="eastAsia" w:ascii="Times New Roman" w:hAnsi="Times New Roman"/>
                <w:w w:val="66"/>
                <w:sz w:val="21"/>
                <w:szCs w:val="21"/>
              </w:rPr>
              <w:t>8.2</w:t>
            </w:r>
          </w:p>
        </w:tc>
        <w:tc>
          <w:tcPr>
            <w:tcW w:w="616" w:type="pct"/>
            <w:noWrap/>
            <w:vAlign w:val="center"/>
          </w:tcPr>
          <w:p w14:paraId="6E8F3F95">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08873709">
            <w:pPr>
              <w:pStyle w:val="121"/>
              <w:rPr>
                <w:rFonts w:ascii="Times New Roman" w:hAnsi="Times New Roman"/>
                <w:w w:val="66"/>
                <w:sz w:val="21"/>
                <w:szCs w:val="21"/>
              </w:rPr>
            </w:pPr>
            <w:r>
              <w:rPr>
                <w:rFonts w:hint="eastAsia" w:ascii="Times New Roman" w:hAnsi="Times New Roman"/>
                <w:w w:val="66"/>
                <w:sz w:val="21"/>
                <w:szCs w:val="21"/>
              </w:rPr>
              <w:t>14</w:t>
            </w:r>
          </w:p>
        </w:tc>
        <w:tc>
          <w:tcPr>
            <w:tcW w:w="458" w:type="pct"/>
            <w:noWrap/>
            <w:vAlign w:val="center"/>
          </w:tcPr>
          <w:p w14:paraId="46570A25">
            <w:pPr>
              <w:pStyle w:val="121"/>
              <w:rPr>
                <w:rFonts w:ascii="Times New Roman" w:hAnsi="Times New Roman"/>
                <w:w w:val="66"/>
                <w:sz w:val="21"/>
                <w:szCs w:val="21"/>
              </w:rPr>
            </w:pPr>
            <w:r>
              <w:rPr>
                <w:rFonts w:hint="eastAsia" w:ascii="Times New Roman" w:hAnsi="Times New Roman"/>
                <w:w w:val="66"/>
                <w:sz w:val="21"/>
                <w:szCs w:val="21"/>
              </w:rPr>
              <w:t>-22.4</w:t>
            </w:r>
          </w:p>
        </w:tc>
        <w:tc>
          <w:tcPr>
            <w:tcW w:w="458" w:type="pct"/>
            <w:noWrap/>
            <w:vAlign w:val="center"/>
          </w:tcPr>
          <w:p w14:paraId="142CF7EC">
            <w:pPr>
              <w:pStyle w:val="121"/>
              <w:rPr>
                <w:rFonts w:ascii="Times New Roman" w:hAnsi="Times New Roman"/>
                <w:w w:val="66"/>
                <w:sz w:val="21"/>
                <w:szCs w:val="21"/>
              </w:rPr>
            </w:pPr>
            <w:r>
              <w:rPr>
                <w:rFonts w:hint="eastAsia" w:ascii="Times New Roman" w:hAnsi="Times New Roman"/>
                <w:w w:val="66"/>
                <w:sz w:val="21"/>
                <w:szCs w:val="21"/>
              </w:rPr>
              <w:t>1.7</w:t>
            </w:r>
          </w:p>
        </w:tc>
        <w:tc>
          <w:tcPr>
            <w:tcW w:w="521" w:type="pct"/>
            <w:noWrap/>
            <w:vAlign w:val="center"/>
          </w:tcPr>
          <w:p w14:paraId="1C2FE158">
            <w:pPr>
              <w:pStyle w:val="121"/>
              <w:rPr>
                <w:rFonts w:ascii="Times New Roman" w:hAnsi="Times New Roman"/>
                <w:w w:val="66"/>
                <w:sz w:val="21"/>
                <w:szCs w:val="21"/>
              </w:rPr>
            </w:pPr>
            <w:r>
              <w:rPr>
                <w:rFonts w:ascii="Times New Roman" w:hAnsi="Times New Roman"/>
                <w:w w:val="66"/>
                <w:sz w:val="21"/>
                <w:szCs w:val="21"/>
              </w:rPr>
              <w:t>6</w:t>
            </w:r>
          </w:p>
        </w:tc>
      </w:tr>
      <w:tr w14:paraId="637BD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4FA6671">
            <w:pPr>
              <w:pStyle w:val="121"/>
              <w:rPr>
                <w:rFonts w:ascii="Times New Roman" w:hAnsi="Times New Roman"/>
                <w:w w:val="66"/>
                <w:sz w:val="21"/>
                <w:szCs w:val="21"/>
              </w:rPr>
            </w:pPr>
            <w:r>
              <w:rPr>
                <w:rFonts w:ascii="Times New Roman" w:hAnsi="Times New Roman"/>
                <w:w w:val="66"/>
                <w:sz w:val="21"/>
                <w:szCs w:val="21"/>
              </w:rPr>
              <w:t>3</w:t>
            </w:r>
          </w:p>
        </w:tc>
        <w:tc>
          <w:tcPr>
            <w:tcW w:w="1714" w:type="pct"/>
            <w:noWrap/>
            <w:vAlign w:val="center"/>
          </w:tcPr>
          <w:p w14:paraId="3538C1E9">
            <w:pPr>
              <w:pStyle w:val="121"/>
              <w:ind w:left="-98" w:leftChars="-35" w:right="-70" w:rightChars="-25"/>
              <w:rPr>
                <w:rFonts w:ascii="Times New Roman" w:hAnsi="Times New Roman"/>
                <w:w w:val="66"/>
                <w:sz w:val="21"/>
                <w:szCs w:val="21"/>
              </w:rPr>
            </w:pPr>
            <w:r>
              <w:rPr>
                <w:rFonts w:ascii="Times New Roman" w:hAnsi="Times New Roman"/>
                <w:w w:val="66"/>
              </w:rPr>
              <w:t>-6</w:t>
            </w:r>
            <w:r>
              <w:rPr>
                <w:rFonts w:hint="eastAsia" w:ascii="Times New Roman" w:hAnsi="Times New Roman"/>
                <w:w w:val="66"/>
              </w:rPr>
              <w:t>2</w:t>
            </w:r>
            <w:r>
              <w:rPr>
                <w:rFonts w:ascii="Times New Roman" w:hAnsi="Times New Roman"/>
                <w:w w:val="66"/>
              </w:rPr>
              <w:t>5m皮带道水平联络巷</w:t>
            </w:r>
          </w:p>
        </w:tc>
        <w:tc>
          <w:tcPr>
            <w:tcW w:w="419" w:type="pct"/>
            <w:noWrap/>
            <w:vAlign w:val="center"/>
          </w:tcPr>
          <w:p w14:paraId="4133C881">
            <w:pPr>
              <w:pStyle w:val="121"/>
              <w:rPr>
                <w:rFonts w:ascii="Times New Roman" w:hAnsi="Times New Roman"/>
                <w:w w:val="66"/>
                <w:sz w:val="21"/>
                <w:szCs w:val="21"/>
              </w:rPr>
            </w:pPr>
            <w:r>
              <w:rPr>
                <w:rFonts w:hint="eastAsia" w:ascii="Times New Roman" w:hAnsi="Times New Roman"/>
                <w:w w:val="66"/>
                <w:sz w:val="21"/>
                <w:szCs w:val="21"/>
              </w:rPr>
              <w:t>11.9</w:t>
            </w:r>
          </w:p>
        </w:tc>
        <w:tc>
          <w:tcPr>
            <w:tcW w:w="616" w:type="pct"/>
            <w:noWrap/>
            <w:vAlign w:val="center"/>
          </w:tcPr>
          <w:p w14:paraId="60C5EB85">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23E9285B">
            <w:pPr>
              <w:pStyle w:val="121"/>
              <w:rPr>
                <w:rFonts w:ascii="Times New Roman" w:hAnsi="Times New Roman"/>
                <w:w w:val="66"/>
                <w:sz w:val="21"/>
                <w:szCs w:val="21"/>
              </w:rPr>
            </w:pPr>
            <w:r>
              <w:rPr>
                <w:rFonts w:hint="eastAsia" w:ascii="Times New Roman" w:hAnsi="Times New Roman"/>
                <w:w w:val="66"/>
                <w:sz w:val="21"/>
                <w:szCs w:val="21"/>
              </w:rPr>
              <w:t>8.4</w:t>
            </w:r>
          </w:p>
        </w:tc>
        <w:tc>
          <w:tcPr>
            <w:tcW w:w="458" w:type="pct"/>
            <w:noWrap/>
            <w:vAlign w:val="center"/>
          </w:tcPr>
          <w:p w14:paraId="42BDF922">
            <w:pPr>
              <w:pStyle w:val="121"/>
              <w:rPr>
                <w:rFonts w:ascii="Times New Roman" w:hAnsi="Times New Roman"/>
                <w:w w:val="66"/>
                <w:sz w:val="21"/>
                <w:szCs w:val="21"/>
              </w:rPr>
            </w:pPr>
            <w:r>
              <w:rPr>
                <w:rFonts w:hint="eastAsia" w:ascii="Times New Roman" w:hAnsi="Times New Roman"/>
                <w:w w:val="66"/>
                <w:sz w:val="21"/>
                <w:szCs w:val="21"/>
              </w:rPr>
              <w:t>-20.3</w:t>
            </w:r>
          </w:p>
        </w:tc>
        <w:tc>
          <w:tcPr>
            <w:tcW w:w="458" w:type="pct"/>
            <w:noWrap/>
            <w:vAlign w:val="center"/>
          </w:tcPr>
          <w:p w14:paraId="0D0B7189">
            <w:pPr>
              <w:pStyle w:val="121"/>
              <w:rPr>
                <w:rFonts w:ascii="Times New Roman" w:hAnsi="Times New Roman"/>
                <w:w w:val="66"/>
                <w:sz w:val="21"/>
                <w:szCs w:val="21"/>
              </w:rPr>
            </w:pPr>
            <w:r>
              <w:rPr>
                <w:rFonts w:hint="eastAsia" w:ascii="Times New Roman" w:hAnsi="Times New Roman"/>
                <w:w w:val="66"/>
                <w:sz w:val="21"/>
                <w:szCs w:val="21"/>
              </w:rPr>
              <w:t>0.7</w:t>
            </w:r>
          </w:p>
        </w:tc>
        <w:tc>
          <w:tcPr>
            <w:tcW w:w="521" w:type="pct"/>
            <w:noWrap/>
            <w:vAlign w:val="center"/>
          </w:tcPr>
          <w:p w14:paraId="0B0F42A1">
            <w:pPr>
              <w:pStyle w:val="121"/>
              <w:rPr>
                <w:rFonts w:ascii="Times New Roman" w:hAnsi="Times New Roman"/>
                <w:w w:val="66"/>
                <w:sz w:val="21"/>
                <w:szCs w:val="21"/>
              </w:rPr>
            </w:pPr>
            <w:r>
              <w:rPr>
                <w:rFonts w:ascii="Times New Roman" w:hAnsi="Times New Roman"/>
                <w:w w:val="66"/>
                <w:sz w:val="21"/>
                <w:szCs w:val="21"/>
              </w:rPr>
              <w:t>6</w:t>
            </w:r>
          </w:p>
        </w:tc>
      </w:tr>
      <w:tr w14:paraId="6752C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208AC38B">
            <w:pPr>
              <w:pStyle w:val="121"/>
              <w:rPr>
                <w:rFonts w:ascii="Times New Roman" w:hAnsi="Times New Roman"/>
                <w:w w:val="66"/>
                <w:sz w:val="21"/>
                <w:szCs w:val="21"/>
              </w:rPr>
            </w:pPr>
            <w:r>
              <w:rPr>
                <w:rFonts w:ascii="Times New Roman" w:hAnsi="Times New Roman"/>
                <w:w w:val="66"/>
                <w:sz w:val="21"/>
                <w:szCs w:val="21"/>
              </w:rPr>
              <w:t>4</w:t>
            </w:r>
          </w:p>
        </w:tc>
        <w:tc>
          <w:tcPr>
            <w:tcW w:w="1714" w:type="pct"/>
            <w:noWrap/>
            <w:vAlign w:val="center"/>
          </w:tcPr>
          <w:p w14:paraId="067C5DA1">
            <w:pPr>
              <w:pStyle w:val="121"/>
              <w:ind w:left="-98" w:leftChars="-35" w:right="-70" w:rightChars="-25"/>
              <w:rPr>
                <w:rFonts w:ascii="Times New Roman" w:hAnsi="Times New Roman"/>
                <w:w w:val="66"/>
                <w:sz w:val="21"/>
                <w:szCs w:val="21"/>
              </w:rPr>
            </w:pPr>
            <w:r>
              <w:rPr>
                <w:rFonts w:ascii="Times New Roman" w:hAnsi="Times New Roman"/>
                <w:w w:val="66"/>
              </w:rPr>
              <w:t>-6</w:t>
            </w:r>
            <w:r>
              <w:rPr>
                <w:rFonts w:hint="eastAsia" w:ascii="Times New Roman" w:hAnsi="Times New Roman"/>
                <w:w w:val="66"/>
              </w:rPr>
              <w:t>2</w:t>
            </w:r>
            <w:r>
              <w:rPr>
                <w:rFonts w:ascii="Times New Roman" w:hAnsi="Times New Roman"/>
                <w:w w:val="66"/>
              </w:rPr>
              <w:t>5m皮带道水平回风联络巷</w:t>
            </w:r>
          </w:p>
        </w:tc>
        <w:tc>
          <w:tcPr>
            <w:tcW w:w="419" w:type="pct"/>
            <w:noWrap/>
            <w:vAlign w:val="center"/>
          </w:tcPr>
          <w:p w14:paraId="376C8159">
            <w:pPr>
              <w:pStyle w:val="121"/>
              <w:rPr>
                <w:rFonts w:ascii="Times New Roman" w:hAnsi="Times New Roman"/>
                <w:w w:val="66"/>
                <w:sz w:val="21"/>
                <w:szCs w:val="21"/>
              </w:rPr>
            </w:pPr>
            <w:r>
              <w:rPr>
                <w:rFonts w:hint="eastAsia" w:ascii="Times New Roman" w:hAnsi="Times New Roman"/>
                <w:w w:val="66"/>
                <w:sz w:val="21"/>
                <w:szCs w:val="21"/>
              </w:rPr>
              <w:t>8.2</w:t>
            </w:r>
          </w:p>
        </w:tc>
        <w:tc>
          <w:tcPr>
            <w:tcW w:w="616" w:type="pct"/>
            <w:noWrap/>
            <w:vAlign w:val="center"/>
          </w:tcPr>
          <w:p w14:paraId="3267C236">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51927319">
            <w:pPr>
              <w:pStyle w:val="121"/>
              <w:rPr>
                <w:rFonts w:ascii="Times New Roman" w:hAnsi="Times New Roman"/>
                <w:w w:val="66"/>
                <w:sz w:val="21"/>
                <w:szCs w:val="21"/>
              </w:rPr>
            </w:pPr>
            <w:r>
              <w:rPr>
                <w:rFonts w:hint="eastAsia" w:ascii="Times New Roman" w:hAnsi="Times New Roman"/>
                <w:w w:val="66"/>
                <w:sz w:val="21"/>
                <w:szCs w:val="21"/>
              </w:rPr>
              <w:t>8.4</w:t>
            </w:r>
          </w:p>
        </w:tc>
        <w:tc>
          <w:tcPr>
            <w:tcW w:w="458" w:type="pct"/>
            <w:noWrap/>
            <w:vAlign w:val="center"/>
          </w:tcPr>
          <w:p w14:paraId="7A566BFB">
            <w:pPr>
              <w:pStyle w:val="121"/>
              <w:rPr>
                <w:rFonts w:ascii="Times New Roman" w:hAnsi="Times New Roman"/>
                <w:w w:val="66"/>
                <w:sz w:val="21"/>
                <w:szCs w:val="21"/>
              </w:rPr>
            </w:pPr>
            <w:r>
              <w:rPr>
                <w:rFonts w:hint="eastAsia" w:ascii="Times New Roman" w:hAnsi="Times New Roman"/>
                <w:w w:val="66"/>
                <w:sz w:val="21"/>
                <w:szCs w:val="21"/>
              </w:rPr>
              <w:t>-21.2</w:t>
            </w:r>
          </w:p>
        </w:tc>
        <w:tc>
          <w:tcPr>
            <w:tcW w:w="458" w:type="pct"/>
            <w:noWrap/>
            <w:vAlign w:val="center"/>
          </w:tcPr>
          <w:p w14:paraId="60797D95">
            <w:pPr>
              <w:pStyle w:val="121"/>
              <w:rPr>
                <w:rFonts w:ascii="Times New Roman" w:hAnsi="Times New Roman"/>
                <w:w w:val="66"/>
                <w:sz w:val="21"/>
                <w:szCs w:val="21"/>
              </w:rPr>
            </w:pPr>
            <w:r>
              <w:rPr>
                <w:rFonts w:hint="eastAsia" w:ascii="Times New Roman" w:hAnsi="Times New Roman"/>
                <w:w w:val="66"/>
                <w:sz w:val="21"/>
                <w:szCs w:val="21"/>
              </w:rPr>
              <w:t>1.0</w:t>
            </w:r>
          </w:p>
        </w:tc>
        <w:tc>
          <w:tcPr>
            <w:tcW w:w="521" w:type="pct"/>
            <w:noWrap/>
            <w:vAlign w:val="center"/>
          </w:tcPr>
          <w:p w14:paraId="2FD3B1A5">
            <w:pPr>
              <w:pStyle w:val="121"/>
              <w:rPr>
                <w:rFonts w:ascii="Times New Roman" w:hAnsi="Times New Roman"/>
                <w:w w:val="66"/>
                <w:sz w:val="21"/>
                <w:szCs w:val="21"/>
              </w:rPr>
            </w:pPr>
            <w:r>
              <w:rPr>
                <w:rFonts w:ascii="Times New Roman" w:hAnsi="Times New Roman"/>
                <w:w w:val="66"/>
                <w:sz w:val="21"/>
                <w:szCs w:val="21"/>
              </w:rPr>
              <w:t>6</w:t>
            </w:r>
          </w:p>
        </w:tc>
      </w:tr>
      <w:tr w14:paraId="4F82D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E5E6EAB">
            <w:pPr>
              <w:pStyle w:val="121"/>
              <w:rPr>
                <w:rFonts w:ascii="Times New Roman" w:hAnsi="Times New Roman"/>
                <w:w w:val="66"/>
                <w:sz w:val="21"/>
                <w:szCs w:val="21"/>
              </w:rPr>
            </w:pPr>
            <w:r>
              <w:rPr>
                <w:rFonts w:ascii="Times New Roman" w:hAnsi="Times New Roman"/>
                <w:w w:val="66"/>
                <w:sz w:val="21"/>
                <w:szCs w:val="21"/>
              </w:rPr>
              <w:t>5</w:t>
            </w:r>
          </w:p>
        </w:tc>
        <w:tc>
          <w:tcPr>
            <w:tcW w:w="1714" w:type="pct"/>
            <w:noWrap/>
            <w:vAlign w:val="center"/>
          </w:tcPr>
          <w:p w14:paraId="37C876A1">
            <w:pPr>
              <w:pStyle w:val="121"/>
              <w:ind w:left="-98" w:leftChars="-35" w:right="-70" w:rightChars="-25"/>
              <w:rPr>
                <w:rFonts w:ascii="Times New Roman" w:hAnsi="Times New Roman"/>
                <w:w w:val="66"/>
                <w:sz w:val="21"/>
                <w:szCs w:val="21"/>
              </w:rPr>
            </w:pPr>
            <w:r>
              <w:rPr>
                <w:rFonts w:ascii="Times New Roman" w:hAnsi="Times New Roman"/>
                <w:w w:val="66"/>
              </w:rPr>
              <w:t>-</w:t>
            </w:r>
            <w:r>
              <w:rPr>
                <w:rFonts w:hint="eastAsia" w:ascii="Times New Roman" w:hAnsi="Times New Roman"/>
                <w:w w:val="66"/>
              </w:rPr>
              <w:t>685</w:t>
            </w:r>
            <w:r>
              <w:rPr>
                <w:rFonts w:ascii="Times New Roman" w:hAnsi="Times New Roman"/>
                <w:w w:val="66"/>
              </w:rPr>
              <w:t>m粉矿清理水平联络巷</w:t>
            </w:r>
          </w:p>
        </w:tc>
        <w:tc>
          <w:tcPr>
            <w:tcW w:w="419" w:type="pct"/>
            <w:noWrap/>
            <w:vAlign w:val="center"/>
          </w:tcPr>
          <w:p w14:paraId="49E1E34A">
            <w:pPr>
              <w:pStyle w:val="121"/>
              <w:rPr>
                <w:rFonts w:ascii="Times New Roman" w:hAnsi="Times New Roman"/>
                <w:w w:val="66"/>
                <w:sz w:val="21"/>
                <w:szCs w:val="21"/>
              </w:rPr>
            </w:pPr>
            <w:r>
              <w:rPr>
                <w:rFonts w:hint="eastAsia" w:ascii="Times New Roman" w:hAnsi="Times New Roman"/>
                <w:w w:val="66"/>
                <w:sz w:val="21"/>
                <w:szCs w:val="21"/>
              </w:rPr>
              <w:t>11.9</w:t>
            </w:r>
          </w:p>
        </w:tc>
        <w:tc>
          <w:tcPr>
            <w:tcW w:w="616" w:type="pct"/>
            <w:noWrap/>
            <w:vAlign w:val="center"/>
          </w:tcPr>
          <w:p w14:paraId="27AE9060">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6EE5866B">
            <w:pPr>
              <w:pStyle w:val="121"/>
              <w:rPr>
                <w:rFonts w:ascii="Times New Roman" w:hAnsi="Times New Roman"/>
                <w:w w:val="66"/>
                <w:sz w:val="21"/>
                <w:szCs w:val="21"/>
              </w:rPr>
            </w:pPr>
            <w:r>
              <w:rPr>
                <w:rFonts w:hint="eastAsia" w:ascii="Times New Roman" w:hAnsi="Times New Roman"/>
                <w:w w:val="66"/>
                <w:sz w:val="21"/>
                <w:szCs w:val="21"/>
              </w:rPr>
              <w:t>7.6</w:t>
            </w:r>
          </w:p>
        </w:tc>
        <w:tc>
          <w:tcPr>
            <w:tcW w:w="458" w:type="pct"/>
            <w:noWrap/>
            <w:vAlign w:val="center"/>
          </w:tcPr>
          <w:p w14:paraId="7662A503">
            <w:pPr>
              <w:pStyle w:val="121"/>
              <w:rPr>
                <w:rFonts w:ascii="Times New Roman" w:hAnsi="Times New Roman"/>
                <w:w w:val="66"/>
                <w:sz w:val="21"/>
                <w:szCs w:val="21"/>
              </w:rPr>
            </w:pPr>
            <w:r>
              <w:rPr>
                <w:rFonts w:hint="eastAsia" w:ascii="Times New Roman" w:hAnsi="Times New Roman"/>
                <w:w w:val="66"/>
                <w:sz w:val="21"/>
                <w:szCs w:val="21"/>
              </w:rPr>
              <w:t>-20.3</w:t>
            </w:r>
          </w:p>
        </w:tc>
        <w:tc>
          <w:tcPr>
            <w:tcW w:w="458" w:type="pct"/>
            <w:noWrap/>
            <w:vAlign w:val="center"/>
          </w:tcPr>
          <w:p w14:paraId="416164E4">
            <w:pPr>
              <w:pStyle w:val="121"/>
              <w:rPr>
                <w:rFonts w:ascii="Times New Roman" w:hAnsi="Times New Roman"/>
                <w:w w:val="66"/>
                <w:sz w:val="21"/>
                <w:szCs w:val="21"/>
              </w:rPr>
            </w:pPr>
            <w:r>
              <w:rPr>
                <w:rFonts w:hint="eastAsia" w:ascii="Times New Roman" w:hAnsi="Times New Roman"/>
                <w:w w:val="66"/>
                <w:sz w:val="21"/>
                <w:szCs w:val="21"/>
              </w:rPr>
              <w:t>0.6</w:t>
            </w:r>
          </w:p>
        </w:tc>
        <w:tc>
          <w:tcPr>
            <w:tcW w:w="521" w:type="pct"/>
            <w:noWrap/>
            <w:vAlign w:val="center"/>
          </w:tcPr>
          <w:p w14:paraId="506861F5">
            <w:pPr>
              <w:pStyle w:val="121"/>
              <w:rPr>
                <w:rFonts w:ascii="Times New Roman" w:hAnsi="Times New Roman"/>
                <w:w w:val="66"/>
                <w:sz w:val="21"/>
                <w:szCs w:val="21"/>
              </w:rPr>
            </w:pPr>
            <w:r>
              <w:rPr>
                <w:rFonts w:ascii="Times New Roman" w:hAnsi="Times New Roman"/>
                <w:w w:val="66"/>
                <w:sz w:val="21"/>
                <w:szCs w:val="21"/>
              </w:rPr>
              <w:t>6</w:t>
            </w:r>
          </w:p>
        </w:tc>
      </w:tr>
      <w:tr w14:paraId="63995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0" w:type="pct"/>
            <w:noWrap/>
            <w:vAlign w:val="center"/>
          </w:tcPr>
          <w:p w14:paraId="69E8B493">
            <w:pPr>
              <w:pStyle w:val="121"/>
              <w:rPr>
                <w:rFonts w:ascii="Times New Roman" w:hAnsi="Times New Roman"/>
                <w:w w:val="66"/>
                <w:sz w:val="21"/>
                <w:szCs w:val="21"/>
              </w:rPr>
            </w:pPr>
            <w:r>
              <w:rPr>
                <w:rFonts w:ascii="Times New Roman" w:hAnsi="Times New Roman"/>
                <w:w w:val="66"/>
                <w:sz w:val="21"/>
                <w:szCs w:val="21"/>
              </w:rPr>
              <w:t>6</w:t>
            </w:r>
          </w:p>
        </w:tc>
        <w:tc>
          <w:tcPr>
            <w:tcW w:w="1714" w:type="pct"/>
            <w:noWrap/>
            <w:vAlign w:val="center"/>
          </w:tcPr>
          <w:p w14:paraId="1F646816">
            <w:pPr>
              <w:pStyle w:val="121"/>
              <w:ind w:left="-98" w:leftChars="-35" w:right="-70" w:rightChars="-25"/>
              <w:rPr>
                <w:rFonts w:ascii="Times New Roman" w:hAnsi="Times New Roman"/>
                <w:w w:val="66"/>
                <w:sz w:val="21"/>
                <w:szCs w:val="21"/>
              </w:rPr>
            </w:pPr>
            <w:r>
              <w:rPr>
                <w:rFonts w:ascii="Times New Roman" w:hAnsi="Times New Roman"/>
                <w:w w:val="66"/>
              </w:rPr>
              <w:t>-</w:t>
            </w:r>
            <w:r>
              <w:rPr>
                <w:rFonts w:hint="eastAsia" w:ascii="Times New Roman" w:hAnsi="Times New Roman"/>
                <w:w w:val="66"/>
              </w:rPr>
              <w:t>685</w:t>
            </w:r>
            <w:r>
              <w:rPr>
                <w:rFonts w:ascii="Times New Roman" w:hAnsi="Times New Roman"/>
                <w:w w:val="66"/>
              </w:rPr>
              <w:t>m粉矿清理水平回风联络巷</w:t>
            </w:r>
          </w:p>
        </w:tc>
        <w:tc>
          <w:tcPr>
            <w:tcW w:w="419" w:type="pct"/>
            <w:noWrap/>
            <w:vAlign w:val="center"/>
          </w:tcPr>
          <w:p w14:paraId="2FD607B7">
            <w:pPr>
              <w:pStyle w:val="121"/>
              <w:rPr>
                <w:rFonts w:ascii="Times New Roman" w:hAnsi="Times New Roman"/>
                <w:w w:val="66"/>
                <w:sz w:val="21"/>
                <w:szCs w:val="21"/>
              </w:rPr>
            </w:pPr>
            <w:r>
              <w:rPr>
                <w:rFonts w:hint="eastAsia" w:ascii="Times New Roman" w:hAnsi="Times New Roman"/>
                <w:w w:val="66"/>
                <w:sz w:val="21"/>
                <w:szCs w:val="21"/>
              </w:rPr>
              <w:t>8.2</w:t>
            </w:r>
          </w:p>
        </w:tc>
        <w:tc>
          <w:tcPr>
            <w:tcW w:w="616" w:type="pct"/>
            <w:noWrap/>
            <w:vAlign w:val="center"/>
          </w:tcPr>
          <w:p w14:paraId="39F3FAE6">
            <w:pPr>
              <w:pStyle w:val="121"/>
              <w:rPr>
                <w:rFonts w:ascii="Times New Roman" w:hAnsi="Times New Roman"/>
                <w:w w:val="66"/>
                <w:sz w:val="21"/>
                <w:szCs w:val="21"/>
              </w:rPr>
            </w:pPr>
            <w:r>
              <w:rPr>
                <w:rFonts w:ascii="Times New Roman" w:hAnsi="Times New Roman"/>
                <w:w w:val="66"/>
                <w:sz w:val="21"/>
                <w:szCs w:val="21"/>
              </w:rPr>
              <w:t>0.012</w:t>
            </w:r>
          </w:p>
        </w:tc>
        <w:tc>
          <w:tcPr>
            <w:tcW w:w="494" w:type="pct"/>
            <w:noWrap/>
            <w:vAlign w:val="center"/>
          </w:tcPr>
          <w:p w14:paraId="5FED1EE5">
            <w:pPr>
              <w:pStyle w:val="121"/>
              <w:rPr>
                <w:rFonts w:ascii="Times New Roman" w:hAnsi="Times New Roman"/>
                <w:w w:val="66"/>
                <w:sz w:val="21"/>
                <w:szCs w:val="21"/>
              </w:rPr>
            </w:pPr>
            <w:r>
              <w:rPr>
                <w:rFonts w:hint="eastAsia" w:ascii="Times New Roman" w:hAnsi="Times New Roman"/>
                <w:w w:val="66"/>
                <w:sz w:val="21"/>
                <w:szCs w:val="21"/>
              </w:rPr>
              <w:t>7.6</w:t>
            </w:r>
          </w:p>
        </w:tc>
        <w:tc>
          <w:tcPr>
            <w:tcW w:w="458" w:type="pct"/>
            <w:noWrap/>
            <w:vAlign w:val="center"/>
          </w:tcPr>
          <w:p w14:paraId="26C73320">
            <w:pPr>
              <w:pStyle w:val="121"/>
              <w:rPr>
                <w:rFonts w:ascii="Times New Roman" w:hAnsi="Times New Roman"/>
                <w:w w:val="66"/>
                <w:sz w:val="21"/>
                <w:szCs w:val="21"/>
              </w:rPr>
            </w:pPr>
            <w:r>
              <w:rPr>
                <w:rFonts w:hint="eastAsia" w:ascii="Times New Roman" w:hAnsi="Times New Roman"/>
                <w:w w:val="66"/>
                <w:sz w:val="21"/>
                <w:szCs w:val="21"/>
              </w:rPr>
              <w:t>-20.9</w:t>
            </w:r>
          </w:p>
        </w:tc>
        <w:tc>
          <w:tcPr>
            <w:tcW w:w="458" w:type="pct"/>
            <w:noWrap/>
            <w:vAlign w:val="center"/>
          </w:tcPr>
          <w:p w14:paraId="430116BC">
            <w:pPr>
              <w:pStyle w:val="121"/>
              <w:rPr>
                <w:rFonts w:ascii="Times New Roman" w:hAnsi="Times New Roman"/>
                <w:w w:val="66"/>
                <w:sz w:val="21"/>
                <w:szCs w:val="21"/>
              </w:rPr>
            </w:pPr>
            <w:r>
              <w:rPr>
                <w:rFonts w:hint="eastAsia" w:ascii="Times New Roman" w:hAnsi="Times New Roman"/>
                <w:w w:val="66"/>
                <w:sz w:val="21"/>
                <w:szCs w:val="21"/>
              </w:rPr>
              <w:t>0.9</w:t>
            </w:r>
          </w:p>
        </w:tc>
        <w:tc>
          <w:tcPr>
            <w:tcW w:w="521" w:type="pct"/>
            <w:noWrap/>
            <w:vAlign w:val="center"/>
          </w:tcPr>
          <w:p w14:paraId="1BD20869">
            <w:pPr>
              <w:pStyle w:val="121"/>
              <w:rPr>
                <w:rFonts w:ascii="Times New Roman" w:hAnsi="Times New Roman"/>
                <w:w w:val="66"/>
                <w:sz w:val="21"/>
                <w:szCs w:val="21"/>
              </w:rPr>
            </w:pPr>
            <w:r>
              <w:rPr>
                <w:rFonts w:ascii="Times New Roman" w:hAnsi="Times New Roman"/>
                <w:w w:val="66"/>
                <w:sz w:val="21"/>
                <w:szCs w:val="21"/>
              </w:rPr>
              <w:t>6</w:t>
            </w:r>
          </w:p>
        </w:tc>
      </w:tr>
    </w:tbl>
    <w:p w14:paraId="085E3FBA">
      <w:pPr>
        <w:snapToGrid w:val="0"/>
        <w:spacing w:line="360" w:lineRule="auto"/>
        <w:ind w:firstLine="0" w:firstLineChars="0"/>
        <w:jc w:val="center"/>
        <w:rPr>
          <w:rFonts w:asciiTheme="minorHAnsi" w:hAnsiTheme="minorHAnsi" w:eastAsiaTheme="minorEastAsia" w:cstheme="minorHAnsi"/>
          <w:szCs w:val="28"/>
        </w:rPr>
      </w:pPr>
    </w:p>
    <w:p w14:paraId="2EDFF436">
      <w:pPr>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表3.6-8 </w:t>
      </w:r>
      <w:r>
        <w:rPr>
          <w:rFonts w:hint="eastAsia" w:cs="Times New Roman"/>
          <w:szCs w:val="28"/>
        </w:rPr>
        <w:t>达产规模800万t/a生产后期阶段</w:t>
      </w:r>
      <w:r>
        <w:rPr>
          <w:rFonts w:asciiTheme="minorHAnsi" w:hAnsiTheme="minorHAnsi" w:eastAsiaTheme="minorEastAsia" w:cstheme="minorHAnsi"/>
          <w:szCs w:val="28"/>
        </w:rPr>
        <w:t>主要井筒、巷道风速表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3"/>
        <w:gridCol w:w="3442"/>
        <w:gridCol w:w="997"/>
        <w:gridCol w:w="1081"/>
        <w:gridCol w:w="902"/>
        <w:gridCol w:w="771"/>
        <w:gridCol w:w="847"/>
        <w:gridCol w:w="871"/>
      </w:tblGrid>
      <w:tr w14:paraId="78298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17" w:type="pct"/>
            <w:noWrap/>
            <w:vAlign w:val="center"/>
          </w:tcPr>
          <w:p w14:paraId="5E575B1B">
            <w:pPr>
              <w:pStyle w:val="121"/>
              <w:rPr>
                <w:rFonts w:ascii="Times New Roman" w:hAnsi="Times New Roman"/>
                <w:w w:val="66"/>
                <w:sz w:val="21"/>
                <w:szCs w:val="21"/>
              </w:rPr>
            </w:pPr>
            <w:r>
              <w:rPr>
                <w:rFonts w:ascii="Times New Roman" w:hAnsi="Times New Roman"/>
                <w:w w:val="66"/>
                <w:sz w:val="21"/>
                <w:szCs w:val="21"/>
              </w:rPr>
              <w:t>序号</w:t>
            </w:r>
          </w:p>
        </w:tc>
        <w:tc>
          <w:tcPr>
            <w:tcW w:w="1809" w:type="pct"/>
            <w:noWrap/>
            <w:vAlign w:val="center"/>
          </w:tcPr>
          <w:p w14:paraId="584F0967">
            <w:pPr>
              <w:pStyle w:val="121"/>
              <w:rPr>
                <w:rFonts w:ascii="Times New Roman" w:hAnsi="Times New Roman"/>
                <w:w w:val="66"/>
                <w:sz w:val="21"/>
                <w:szCs w:val="21"/>
              </w:rPr>
            </w:pPr>
            <w:r>
              <w:rPr>
                <w:rFonts w:ascii="Times New Roman" w:hAnsi="Times New Roman"/>
                <w:w w:val="66"/>
                <w:sz w:val="21"/>
                <w:szCs w:val="21"/>
              </w:rPr>
              <w:t>断面名称</w:t>
            </w:r>
          </w:p>
        </w:tc>
        <w:tc>
          <w:tcPr>
            <w:tcW w:w="524" w:type="pct"/>
            <w:vAlign w:val="center"/>
          </w:tcPr>
          <w:p w14:paraId="3D3E7B29">
            <w:pPr>
              <w:pStyle w:val="121"/>
              <w:rPr>
                <w:rFonts w:ascii="Times New Roman" w:hAnsi="Times New Roman"/>
                <w:w w:val="66"/>
                <w:sz w:val="21"/>
                <w:szCs w:val="21"/>
              </w:rPr>
            </w:pPr>
            <w:r>
              <w:rPr>
                <w:rFonts w:ascii="Times New Roman" w:hAnsi="Times New Roman"/>
                <w:w w:val="66"/>
                <w:sz w:val="21"/>
                <w:szCs w:val="21"/>
              </w:rPr>
              <w:t>净断面</w:t>
            </w:r>
          </w:p>
          <w:p w14:paraId="21079D2D">
            <w:pPr>
              <w:pStyle w:val="121"/>
              <w:rPr>
                <w:rFonts w:ascii="Times New Roman" w:hAnsi="Times New Roman"/>
                <w:w w:val="66"/>
                <w:sz w:val="21"/>
                <w:szCs w:val="21"/>
              </w:rPr>
            </w:pPr>
            <w:r>
              <w:rPr>
                <w:rFonts w:ascii="Times New Roman" w:hAnsi="Times New Roman"/>
                <w:w w:val="66"/>
                <w:sz w:val="21"/>
                <w:szCs w:val="21"/>
              </w:rPr>
              <w:t>（m</w:t>
            </w:r>
            <w:r>
              <w:rPr>
                <w:rFonts w:ascii="Times New Roman" w:hAnsi="Times New Roman"/>
                <w:w w:val="66"/>
                <w:sz w:val="21"/>
                <w:szCs w:val="21"/>
                <w:vertAlign w:val="superscript"/>
              </w:rPr>
              <w:t>2</w:t>
            </w:r>
            <w:r>
              <w:rPr>
                <w:rFonts w:ascii="Times New Roman" w:hAnsi="Times New Roman"/>
                <w:w w:val="66"/>
                <w:sz w:val="21"/>
                <w:szCs w:val="21"/>
              </w:rPr>
              <w:t>）</w:t>
            </w:r>
          </w:p>
        </w:tc>
        <w:tc>
          <w:tcPr>
            <w:tcW w:w="568" w:type="pct"/>
            <w:noWrap/>
            <w:vAlign w:val="center"/>
          </w:tcPr>
          <w:p w14:paraId="24214376">
            <w:pPr>
              <w:pStyle w:val="121"/>
              <w:rPr>
                <w:rFonts w:ascii="Times New Roman" w:hAnsi="Times New Roman"/>
                <w:w w:val="66"/>
                <w:sz w:val="21"/>
                <w:szCs w:val="21"/>
              </w:rPr>
            </w:pPr>
            <w:r>
              <w:rPr>
                <w:rFonts w:ascii="Times New Roman" w:hAnsi="Times New Roman"/>
                <w:w w:val="66"/>
                <w:sz w:val="21"/>
                <w:szCs w:val="21"/>
              </w:rPr>
              <w:t>摩阻系数</w:t>
            </w:r>
          </w:p>
          <w:p w14:paraId="2B25DCA3">
            <w:pPr>
              <w:pStyle w:val="121"/>
              <w:rPr>
                <w:rFonts w:ascii="Times New Roman" w:hAnsi="Times New Roman"/>
                <w:w w:val="66"/>
                <w:sz w:val="21"/>
                <w:szCs w:val="21"/>
              </w:rPr>
            </w:pPr>
            <w:r>
              <w:rPr>
                <w:rFonts w:ascii="Times New Roman" w:hAnsi="Times New Roman"/>
                <w:w w:val="66"/>
                <w:sz w:val="21"/>
                <w:szCs w:val="21"/>
              </w:rPr>
              <w:t>（Ns</w:t>
            </w:r>
            <w:r>
              <w:rPr>
                <w:rFonts w:ascii="Times New Roman" w:hAnsi="Times New Roman"/>
                <w:w w:val="66"/>
                <w:sz w:val="21"/>
                <w:szCs w:val="21"/>
                <w:vertAlign w:val="superscript"/>
              </w:rPr>
              <w:t>2</w:t>
            </w:r>
            <w:r>
              <w:rPr>
                <w:rFonts w:ascii="Times New Roman" w:hAnsi="Times New Roman"/>
                <w:w w:val="66"/>
                <w:sz w:val="21"/>
                <w:szCs w:val="21"/>
              </w:rPr>
              <w:t>/m</w:t>
            </w:r>
            <w:r>
              <w:rPr>
                <w:rFonts w:ascii="Times New Roman" w:hAnsi="Times New Roman"/>
                <w:w w:val="66"/>
                <w:sz w:val="21"/>
                <w:szCs w:val="21"/>
                <w:vertAlign w:val="superscript"/>
              </w:rPr>
              <w:t>4</w:t>
            </w:r>
            <w:r>
              <w:rPr>
                <w:rFonts w:ascii="Times New Roman" w:hAnsi="Times New Roman"/>
                <w:w w:val="66"/>
                <w:sz w:val="21"/>
                <w:szCs w:val="21"/>
              </w:rPr>
              <w:t>）</w:t>
            </w:r>
          </w:p>
        </w:tc>
        <w:tc>
          <w:tcPr>
            <w:tcW w:w="474" w:type="pct"/>
            <w:noWrap/>
            <w:vAlign w:val="center"/>
          </w:tcPr>
          <w:p w14:paraId="668E19BA">
            <w:pPr>
              <w:pStyle w:val="121"/>
              <w:rPr>
                <w:rFonts w:ascii="Times New Roman" w:hAnsi="Times New Roman"/>
                <w:w w:val="66"/>
                <w:sz w:val="21"/>
                <w:szCs w:val="21"/>
              </w:rPr>
            </w:pPr>
            <w:r>
              <w:rPr>
                <w:rFonts w:ascii="Times New Roman" w:hAnsi="Times New Roman"/>
                <w:w w:val="66"/>
                <w:sz w:val="21"/>
                <w:szCs w:val="21"/>
              </w:rPr>
              <w:t>风量</w:t>
            </w:r>
          </w:p>
          <w:p w14:paraId="747DDD78">
            <w:pPr>
              <w:pStyle w:val="121"/>
              <w:rPr>
                <w:rFonts w:ascii="Times New Roman" w:hAnsi="Times New Roman"/>
                <w:w w:val="66"/>
                <w:sz w:val="21"/>
                <w:szCs w:val="21"/>
              </w:rPr>
            </w:pPr>
            <w:r>
              <w:rPr>
                <w:rFonts w:ascii="Times New Roman" w:hAnsi="Times New Roman"/>
                <w:w w:val="66"/>
                <w:sz w:val="21"/>
                <w:szCs w:val="21"/>
              </w:rPr>
              <w:t>（m</w:t>
            </w:r>
            <w:r>
              <w:rPr>
                <w:rFonts w:ascii="Times New Roman" w:hAnsi="Times New Roman"/>
                <w:w w:val="66"/>
                <w:sz w:val="21"/>
                <w:szCs w:val="21"/>
                <w:vertAlign w:val="superscript"/>
              </w:rPr>
              <w:t>3</w:t>
            </w:r>
            <w:r>
              <w:rPr>
                <w:rFonts w:ascii="Times New Roman" w:hAnsi="Times New Roman"/>
                <w:w w:val="66"/>
                <w:sz w:val="21"/>
                <w:szCs w:val="21"/>
              </w:rPr>
              <w:t>/s）</w:t>
            </w:r>
          </w:p>
        </w:tc>
        <w:tc>
          <w:tcPr>
            <w:tcW w:w="405" w:type="pct"/>
            <w:vAlign w:val="center"/>
          </w:tcPr>
          <w:p w14:paraId="1BA629D3">
            <w:pPr>
              <w:pStyle w:val="121"/>
              <w:rPr>
                <w:rFonts w:ascii="Times New Roman" w:hAnsi="Times New Roman"/>
                <w:w w:val="66"/>
                <w:sz w:val="21"/>
                <w:szCs w:val="21"/>
              </w:rPr>
            </w:pPr>
            <w:r>
              <w:rPr>
                <w:rFonts w:hint="eastAsia" w:ascii="Times New Roman" w:hAnsi="Times New Roman"/>
                <w:w w:val="66"/>
                <w:sz w:val="21"/>
                <w:szCs w:val="21"/>
              </w:rPr>
              <w:t>风压</w:t>
            </w:r>
          </w:p>
          <w:p w14:paraId="509F466A">
            <w:pPr>
              <w:pStyle w:val="121"/>
              <w:rPr>
                <w:rFonts w:ascii="Times New Roman" w:hAnsi="Times New Roman"/>
                <w:w w:val="66"/>
                <w:sz w:val="21"/>
                <w:szCs w:val="21"/>
              </w:rPr>
            </w:pPr>
            <w:r>
              <w:rPr>
                <w:rFonts w:hint="eastAsia" w:ascii="Times New Roman" w:hAnsi="Times New Roman"/>
                <w:w w:val="66"/>
                <w:sz w:val="21"/>
                <w:szCs w:val="21"/>
              </w:rPr>
              <w:t>（Pa）</w:t>
            </w:r>
          </w:p>
        </w:tc>
        <w:tc>
          <w:tcPr>
            <w:tcW w:w="445" w:type="pct"/>
            <w:vAlign w:val="center"/>
          </w:tcPr>
          <w:p w14:paraId="095D2448">
            <w:pPr>
              <w:pStyle w:val="121"/>
              <w:rPr>
                <w:rFonts w:ascii="Times New Roman" w:hAnsi="Times New Roman"/>
                <w:w w:val="66"/>
                <w:sz w:val="21"/>
                <w:szCs w:val="21"/>
              </w:rPr>
            </w:pPr>
            <w:r>
              <w:rPr>
                <w:rFonts w:ascii="Times New Roman" w:hAnsi="Times New Roman"/>
                <w:w w:val="66"/>
                <w:sz w:val="21"/>
                <w:szCs w:val="21"/>
              </w:rPr>
              <w:t>风速</w:t>
            </w:r>
          </w:p>
          <w:p w14:paraId="5545947A">
            <w:pPr>
              <w:pStyle w:val="121"/>
              <w:rPr>
                <w:rFonts w:ascii="Times New Roman" w:hAnsi="Times New Roman"/>
                <w:w w:val="66"/>
                <w:sz w:val="21"/>
                <w:szCs w:val="21"/>
              </w:rPr>
            </w:pPr>
            <w:r>
              <w:rPr>
                <w:rFonts w:ascii="Times New Roman" w:hAnsi="Times New Roman"/>
                <w:w w:val="66"/>
                <w:sz w:val="21"/>
                <w:szCs w:val="21"/>
              </w:rPr>
              <w:t>（m/s）</w:t>
            </w:r>
          </w:p>
        </w:tc>
        <w:tc>
          <w:tcPr>
            <w:tcW w:w="458" w:type="pct"/>
            <w:vAlign w:val="center"/>
          </w:tcPr>
          <w:p w14:paraId="695E009B">
            <w:pPr>
              <w:pStyle w:val="121"/>
              <w:rPr>
                <w:rFonts w:ascii="Times New Roman" w:hAnsi="Times New Roman"/>
                <w:w w:val="66"/>
                <w:sz w:val="21"/>
                <w:szCs w:val="21"/>
              </w:rPr>
            </w:pPr>
            <w:r>
              <w:rPr>
                <w:rFonts w:ascii="Times New Roman" w:hAnsi="Times New Roman"/>
                <w:w w:val="66"/>
                <w:sz w:val="21"/>
                <w:szCs w:val="21"/>
              </w:rPr>
              <w:t>风速限值</w:t>
            </w:r>
          </w:p>
          <w:p w14:paraId="564A36EA">
            <w:pPr>
              <w:pStyle w:val="121"/>
              <w:rPr>
                <w:rFonts w:ascii="Times New Roman" w:hAnsi="Times New Roman"/>
                <w:w w:val="66"/>
                <w:sz w:val="21"/>
                <w:szCs w:val="21"/>
              </w:rPr>
            </w:pPr>
            <w:r>
              <w:rPr>
                <w:rFonts w:ascii="Times New Roman" w:hAnsi="Times New Roman"/>
                <w:w w:val="66"/>
                <w:sz w:val="21"/>
                <w:szCs w:val="21"/>
              </w:rPr>
              <w:t>（m/s）</w:t>
            </w:r>
          </w:p>
        </w:tc>
      </w:tr>
      <w:tr w14:paraId="657E9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CD859FA">
            <w:pPr>
              <w:pStyle w:val="121"/>
              <w:rPr>
                <w:rFonts w:ascii="Times New Roman" w:hAnsi="Times New Roman"/>
                <w:w w:val="66"/>
                <w:sz w:val="21"/>
                <w:szCs w:val="21"/>
              </w:rPr>
            </w:pPr>
            <w:r>
              <w:rPr>
                <w:rFonts w:ascii="Times New Roman" w:hAnsi="Times New Roman"/>
                <w:w w:val="66"/>
                <w:sz w:val="21"/>
                <w:szCs w:val="21"/>
              </w:rPr>
              <w:t>一</w:t>
            </w:r>
          </w:p>
        </w:tc>
        <w:tc>
          <w:tcPr>
            <w:tcW w:w="1809" w:type="pct"/>
            <w:noWrap/>
            <w:vAlign w:val="center"/>
          </w:tcPr>
          <w:p w14:paraId="4300AE80">
            <w:pPr>
              <w:pStyle w:val="121"/>
              <w:rPr>
                <w:rFonts w:ascii="Times New Roman" w:hAnsi="Times New Roman"/>
                <w:w w:val="66"/>
                <w:sz w:val="21"/>
                <w:szCs w:val="21"/>
              </w:rPr>
            </w:pPr>
            <w:r>
              <w:rPr>
                <w:rFonts w:ascii="Times New Roman" w:hAnsi="Times New Roman"/>
                <w:w w:val="66"/>
                <w:sz w:val="21"/>
                <w:szCs w:val="21"/>
              </w:rPr>
              <w:t>主要井筒</w:t>
            </w:r>
          </w:p>
        </w:tc>
        <w:tc>
          <w:tcPr>
            <w:tcW w:w="524" w:type="pct"/>
            <w:noWrap/>
            <w:vAlign w:val="center"/>
          </w:tcPr>
          <w:p w14:paraId="26331289">
            <w:pPr>
              <w:pStyle w:val="121"/>
              <w:rPr>
                <w:rFonts w:ascii="Times New Roman" w:hAnsi="Times New Roman"/>
                <w:w w:val="66"/>
                <w:sz w:val="21"/>
                <w:szCs w:val="21"/>
              </w:rPr>
            </w:pPr>
          </w:p>
        </w:tc>
        <w:tc>
          <w:tcPr>
            <w:tcW w:w="568" w:type="pct"/>
            <w:noWrap/>
            <w:vAlign w:val="center"/>
          </w:tcPr>
          <w:p w14:paraId="0992226B">
            <w:pPr>
              <w:pStyle w:val="121"/>
              <w:rPr>
                <w:rFonts w:ascii="Times New Roman" w:hAnsi="Times New Roman"/>
                <w:w w:val="66"/>
                <w:sz w:val="21"/>
                <w:szCs w:val="21"/>
              </w:rPr>
            </w:pPr>
          </w:p>
        </w:tc>
        <w:tc>
          <w:tcPr>
            <w:tcW w:w="474" w:type="pct"/>
            <w:noWrap/>
            <w:vAlign w:val="center"/>
          </w:tcPr>
          <w:p w14:paraId="463F1CCA">
            <w:pPr>
              <w:pStyle w:val="121"/>
              <w:rPr>
                <w:rFonts w:ascii="Times New Roman" w:hAnsi="Times New Roman"/>
                <w:w w:val="66"/>
                <w:sz w:val="21"/>
                <w:szCs w:val="21"/>
              </w:rPr>
            </w:pPr>
          </w:p>
        </w:tc>
        <w:tc>
          <w:tcPr>
            <w:tcW w:w="405" w:type="pct"/>
            <w:noWrap/>
            <w:vAlign w:val="center"/>
          </w:tcPr>
          <w:p w14:paraId="7E405AE1">
            <w:pPr>
              <w:pStyle w:val="121"/>
              <w:rPr>
                <w:rFonts w:ascii="Times New Roman" w:hAnsi="Times New Roman"/>
                <w:w w:val="66"/>
                <w:sz w:val="21"/>
                <w:szCs w:val="21"/>
              </w:rPr>
            </w:pPr>
          </w:p>
        </w:tc>
        <w:tc>
          <w:tcPr>
            <w:tcW w:w="445" w:type="pct"/>
            <w:noWrap/>
            <w:vAlign w:val="center"/>
          </w:tcPr>
          <w:p w14:paraId="05EB605B">
            <w:pPr>
              <w:pStyle w:val="121"/>
              <w:rPr>
                <w:rFonts w:ascii="Times New Roman" w:hAnsi="Times New Roman"/>
                <w:w w:val="66"/>
                <w:sz w:val="21"/>
                <w:szCs w:val="21"/>
              </w:rPr>
            </w:pPr>
          </w:p>
        </w:tc>
        <w:tc>
          <w:tcPr>
            <w:tcW w:w="458" w:type="pct"/>
            <w:noWrap/>
            <w:vAlign w:val="center"/>
          </w:tcPr>
          <w:p w14:paraId="31DC24DA">
            <w:pPr>
              <w:pStyle w:val="121"/>
              <w:rPr>
                <w:rFonts w:ascii="Times New Roman" w:hAnsi="Times New Roman"/>
                <w:w w:val="66"/>
                <w:sz w:val="21"/>
                <w:szCs w:val="21"/>
              </w:rPr>
            </w:pPr>
          </w:p>
        </w:tc>
      </w:tr>
      <w:tr w14:paraId="3DF97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44BE53E">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2EA6646D">
            <w:pPr>
              <w:pStyle w:val="121"/>
              <w:rPr>
                <w:rFonts w:ascii="Times New Roman" w:hAnsi="Times New Roman"/>
                <w:w w:val="66"/>
                <w:sz w:val="21"/>
                <w:szCs w:val="21"/>
              </w:rPr>
            </w:pPr>
            <w:r>
              <w:rPr>
                <w:rFonts w:ascii="Times New Roman" w:hAnsi="Times New Roman"/>
                <w:w w:val="66"/>
                <w:sz w:val="21"/>
                <w:szCs w:val="21"/>
              </w:rPr>
              <w:t>副井</w:t>
            </w:r>
          </w:p>
        </w:tc>
        <w:tc>
          <w:tcPr>
            <w:tcW w:w="524" w:type="pct"/>
            <w:noWrap/>
            <w:vAlign w:val="center"/>
          </w:tcPr>
          <w:p w14:paraId="5A1F5FEA">
            <w:pPr>
              <w:pStyle w:val="121"/>
              <w:rPr>
                <w:rFonts w:ascii="Times New Roman" w:hAnsi="Times New Roman"/>
                <w:w w:val="66"/>
                <w:sz w:val="21"/>
                <w:szCs w:val="21"/>
              </w:rPr>
            </w:pPr>
            <w:r>
              <w:rPr>
                <w:rFonts w:hint="eastAsia" w:ascii="Times New Roman" w:hAnsi="Times New Roman"/>
                <w:w w:val="66"/>
                <w:sz w:val="21"/>
                <w:szCs w:val="21"/>
              </w:rPr>
              <w:t>50.3</w:t>
            </w:r>
          </w:p>
        </w:tc>
        <w:tc>
          <w:tcPr>
            <w:tcW w:w="568" w:type="pct"/>
            <w:noWrap/>
            <w:vAlign w:val="center"/>
          </w:tcPr>
          <w:p w14:paraId="68E183CA">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2E89D04D">
            <w:pPr>
              <w:pStyle w:val="121"/>
              <w:rPr>
                <w:rFonts w:ascii="Times New Roman" w:hAnsi="Times New Roman"/>
                <w:w w:val="66"/>
                <w:sz w:val="21"/>
                <w:szCs w:val="21"/>
              </w:rPr>
            </w:pPr>
            <w:r>
              <w:rPr>
                <w:rFonts w:hint="eastAsia" w:ascii="Times New Roman" w:hAnsi="Times New Roman"/>
                <w:w w:val="66"/>
                <w:sz w:val="21"/>
                <w:szCs w:val="21"/>
              </w:rPr>
              <w:t>190</w:t>
            </w:r>
          </w:p>
        </w:tc>
        <w:tc>
          <w:tcPr>
            <w:tcW w:w="405" w:type="pct"/>
            <w:noWrap/>
            <w:vAlign w:val="center"/>
          </w:tcPr>
          <w:p w14:paraId="7808D8D6">
            <w:pPr>
              <w:pStyle w:val="121"/>
              <w:rPr>
                <w:rFonts w:ascii="Times New Roman" w:hAnsi="Times New Roman"/>
                <w:w w:val="66"/>
                <w:sz w:val="21"/>
                <w:szCs w:val="21"/>
              </w:rPr>
            </w:pPr>
            <w:r>
              <w:rPr>
                <w:rFonts w:hint="eastAsia" w:ascii="Times New Roman" w:hAnsi="Times New Roman"/>
                <w:w w:val="66"/>
                <w:sz w:val="21"/>
                <w:szCs w:val="21"/>
              </w:rPr>
              <w:t>-5.9</w:t>
            </w:r>
          </w:p>
        </w:tc>
        <w:tc>
          <w:tcPr>
            <w:tcW w:w="445" w:type="pct"/>
            <w:noWrap/>
            <w:vAlign w:val="center"/>
          </w:tcPr>
          <w:p w14:paraId="067372CC">
            <w:pPr>
              <w:pStyle w:val="121"/>
              <w:rPr>
                <w:rFonts w:ascii="Times New Roman" w:hAnsi="Times New Roman"/>
                <w:w w:val="66"/>
                <w:sz w:val="21"/>
                <w:szCs w:val="21"/>
              </w:rPr>
            </w:pPr>
            <w:r>
              <w:rPr>
                <w:rFonts w:hint="eastAsia" w:ascii="Times New Roman" w:hAnsi="Times New Roman"/>
                <w:w w:val="66"/>
                <w:sz w:val="21"/>
                <w:szCs w:val="21"/>
              </w:rPr>
              <w:t>3.9</w:t>
            </w:r>
          </w:p>
        </w:tc>
        <w:tc>
          <w:tcPr>
            <w:tcW w:w="458" w:type="pct"/>
            <w:noWrap/>
            <w:vAlign w:val="center"/>
          </w:tcPr>
          <w:p w14:paraId="1607A2B3">
            <w:pPr>
              <w:pStyle w:val="121"/>
              <w:rPr>
                <w:rFonts w:ascii="Times New Roman" w:hAnsi="Times New Roman"/>
                <w:w w:val="66"/>
                <w:sz w:val="21"/>
                <w:szCs w:val="21"/>
              </w:rPr>
            </w:pPr>
            <w:r>
              <w:rPr>
                <w:rFonts w:ascii="Times New Roman" w:hAnsi="Times New Roman"/>
                <w:w w:val="66"/>
                <w:sz w:val="21"/>
                <w:szCs w:val="21"/>
              </w:rPr>
              <w:t>8</w:t>
            </w:r>
          </w:p>
        </w:tc>
      </w:tr>
      <w:tr w14:paraId="15D2A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61A0275">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4EDCF6A7">
            <w:pPr>
              <w:pStyle w:val="121"/>
              <w:rPr>
                <w:rFonts w:ascii="Times New Roman" w:hAnsi="Times New Roman"/>
                <w:w w:val="66"/>
                <w:sz w:val="21"/>
                <w:szCs w:val="21"/>
              </w:rPr>
            </w:pPr>
            <w:r>
              <w:rPr>
                <w:rFonts w:ascii="Times New Roman" w:hAnsi="Times New Roman"/>
                <w:w w:val="66"/>
                <w:sz w:val="21"/>
                <w:szCs w:val="21"/>
              </w:rPr>
              <w:t>进风井</w:t>
            </w:r>
          </w:p>
        </w:tc>
        <w:tc>
          <w:tcPr>
            <w:tcW w:w="524" w:type="pct"/>
            <w:noWrap/>
            <w:vAlign w:val="center"/>
          </w:tcPr>
          <w:p w14:paraId="30AAB6F7">
            <w:pPr>
              <w:pStyle w:val="121"/>
              <w:rPr>
                <w:rFonts w:ascii="Times New Roman" w:hAnsi="Times New Roman"/>
                <w:w w:val="66"/>
                <w:sz w:val="21"/>
                <w:szCs w:val="21"/>
              </w:rPr>
            </w:pPr>
            <w:r>
              <w:rPr>
                <w:rFonts w:hint="eastAsia" w:ascii="Times New Roman" w:hAnsi="Times New Roman"/>
                <w:w w:val="66"/>
                <w:sz w:val="21"/>
                <w:szCs w:val="21"/>
              </w:rPr>
              <w:t>38.5</w:t>
            </w:r>
          </w:p>
        </w:tc>
        <w:tc>
          <w:tcPr>
            <w:tcW w:w="568" w:type="pct"/>
            <w:noWrap/>
            <w:vAlign w:val="center"/>
          </w:tcPr>
          <w:p w14:paraId="6A38AFEF">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1BC25C89">
            <w:pPr>
              <w:pStyle w:val="121"/>
              <w:rPr>
                <w:rFonts w:ascii="Times New Roman" w:hAnsi="Times New Roman"/>
                <w:w w:val="66"/>
                <w:sz w:val="21"/>
                <w:szCs w:val="21"/>
              </w:rPr>
            </w:pPr>
            <w:r>
              <w:rPr>
                <w:rFonts w:hint="eastAsia" w:ascii="Times New Roman" w:hAnsi="Times New Roman"/>
                <w:w w:val="66"/>
                <w:sz w:val="21"/>
                <w:szCs w:val="21"/>
              </w:rPr>
              <w:t>480</w:t>
            </w:r>
          </w:p>
        </w:tc>
        <w:tc>
          <w:tcPr>
            <w:tcW w:w="405" w:type="pct"/>
            <w:noWrap/>
            <w:vAlign w:val="center"/>
          </w:tcPr>
          <w:p w14:paraId="0A64BF27">
            <w:pPr>
              <w:pStyle w:val="121"/>
              <w:rPr>
                <w:rFonts w:ascii="Times New Roman" w:hAnsi="Times New Roman"/>
                <w:w w:val="66"/>
                <w:sz w:val="21"/>
                <w:szCs w:val="21"/>
              </w:rPr>
            </w:pPr>
            <w:r>
              <w:rPr>
                <w:rFonts w:hint="eastAsia" w:ascii="Times New Roman" w:hAnsi="Times New Roman"/>
                <w:w w:val="66"/>
                <w:sz w:val="21"/>
                <w:szCs w:val="21"/>
              </w:rPr>
              <w:t>-198.7</w:t>
            </w:r>
          </w:p>
        </w:tc>
        <w:tc>
          <w:tcPr>
            <w:tcW w:w="445" w:type="pct"/>
            <w:noWrap/>
            <w:vAlign w:val="center"/>
          </w:tcPr>
          <w:p w14:paraId="5605E44D">
            <w:pPr>
              <w:pStyle w:val="121"/>
              <w:rPr>
                <w:rFonts w:ascii="Times New Roman" w:hAnsi="Times New Roman"/>
                <w:w w:val="66"/>
                <w:sz w:val="21"/>
                <w:szCs w:val="21"/>
              </w:rPr>
            </w:pPr>
            <w:r>
              <w:rPr>
                <w:rFonts w:hint="eastAsia" w:ascii="Times New Roman" w:hAnsi="Times New Roman"/>
                <w:w w:val="66"/>
                <w:sz w:val="21"/>
                <w:szCs w:val="21"/>
              </w:rPr>
              <w:t>12.5</w:t>
            </w:r>
          </w:p>
        </w:tc>
        <w:tc>
          <w:tcPr>
            <w:tcW w:w="458" w:type="pct"/>
            <w:noWrap/>
            <w:vAlign w:val="center"/>
          </w:tcPr>
          <w:p w14:paraId="3B145376">
            <w:pPr>
              <w:pStyle w:val="121"/>
              <w:rPr>
                <w:rFonts w:ascii="Times New Roman" w:hAnsi="Times New Roman"/>
                <w:w w:val="66"/>
                <w:sz w:val="21"/>
                <w:szCs w:val="21"/>
              </w:rPr>
            </w:pPr>
            <w:r>
              <w:rPr>
                <w:rFonts w:ascii="Times New Roman" w:hAnsi="Times New Roman"/>
                <w:w w:val="66"/>
                <w:sz w:val="21"/>
                <w:szCs w:val="21"/>
              </w:rPr>
              <w:t>20</w:t>
            </w:r>
          </w:p>
        </w:tc>
      </w:tr>
      <w:tr w14:paraId="31A72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D9790D7">
            <w:pPr>
              <w:pStyle w:val="121"/>
              <w:rPr>
                <w:rFonts w:ascii="Times New Roman" w:hAnsi="Times New Roman"/>
                <w:w w:val="66"/>
                <w:sz w:val="21"/>
                <w:szCs w:val="21"/>
              </w:rPr>
            </w:pPr>
            <w:r>
              <w:rPr>
                <w:rFonts w:ascii="Times New Roman" w:hAnsi="Times New Roman"/>
                <w:w w:val="66"/>
                <w:sz w:val="21"/>
                <w:szCs w:val="21"/>
              </w:rPr>
              <w:t>3</w:t>
            </w:r>
          </w:p>
        </w:tc>
        <w:tc>
          <w:tcPr>
            <w:tcW w:w="1809" w:type="pct"/>
            <w:noWrap/>
            <w:vAlign w:val="center"/>
          </w:tcPr>
          <w:p w14:paraId="4A9C6D7C">
            <w:pPr>
              <w:pStyle w:val="121"/>
              <w:rPr>
                <w:rFonts w:ascii="Times New Roman" w:hAnsi="Times New Roman"/>
                <w:w w:val="66"/>
                <w:sz w:val="21"/>
                <w:szCs w:val="21"/>
              </w:rPr>
            </w:pPr>
            <w:r>
              <w:rPr>
                <w:rFonts w:ascii="Times New Roman" w:hAnsi="Times New Roman"/>
                <w:w w:val="66"/>
                <w:sz w:val="21"/>
                <w:szCs w:val="21"/>
              </w:rPr>
              <w:t>1号回风井</w:t>
            </w:r>
          </w:p>
        </w:tc>
        <w:tc>
          <w:tcPr>
            <w:tcW w:w="524" w:type="pct"/>
            <w:noWrap/>
            <w:vAlign w:val="center"/>
          </w:tcPr>
          <w:p w14:paraId="02D6D10C">
            <w:pPr>
              <w:pStyle w:val="121"/>
              <w:rPr>
                <w:rFonts w:ascii="Times New Roman" w:hAnsi="Times New Roman"/>
                <w:w w:val="66"/>
                <w:sz w:val="21"/>
                <w:szCs w:val="21"/>
              </w:rPr>
            </w:pPr>
            <w:r>
              <w:rPr>
                <w:rFonts w:hint="eastAsia" w:ascii="Times New Roman" w:hAnsi="Times New Roman"/>
                <w:w w:val="66"/>
                <w:sz w:val="21"/>
                <w:szCs w:val="21"/>
              </w:rPr>
              <w:t>33.2</w:t>
            </w:r>
          </w:p>
        </w:tc>
        <w:tc>
          <w:tcPr>
            <w:tcW w:w="568" w:type="pct"/>
            <w:noWrap/>
            <w:vAlign w:val="center"/>
          </w:tcPr>
          <w:p w14:paraId="596D11F7">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48571A85">
            <w:pPr>
              <w:pStyle w:val="121"/>
              <w:rPr>
                <w:rFonts w:ascii="Times New Roman" w:hAnsi="Times New Roman"/>
                <w:w w:val="66"/>
                <w:sz w:val="21"/>
                <w:szCs w:val="21"/>
              </w:rPr>
            </w:pPr>
            <w:r>
              <w:rPr>
                <w:rFonts w:hint="eastAsia" w:ascii="Times New Roman" w:hAnsi="Times New Roman"/>
                <w:w w:val="66"/>
                <w:sz w:val="21"/>
                <w:szCs w:val="21"/>
              </w:rPr>
              <w:t>360</w:t>
            </w:r>
          </w:p>
        </w:tc>
        <w:tc>
          <w:tcPr>
            <w:tcW w:w="405" w:type="pct"/>
            <w:noWrap/>
            <w:vAlign w:val="center"/>
          </w:tcPr>
          <w:p w14:paraId="50A13D27">
            <w:pPr>
              <w:pStyle w:val="121"/>
              <w:rPr>
                <w:rFonts w:ascii="Times New Roman" w:hAnsi="Times New Roman"/>
                <w:w w:val="66"/>
                <w:sz w:val="21"/>
                <w:szCs w:val="21"/>
              </w:rPr>
            </w:pPr>
            <w:r>
              <w:rPr>
                <w:rFonts w:hint="eastAsia" w:ascii="Times New Roman" w:hAnsi="Times New Roman"/>
                <w:w w:val="66"/>
                <w:sz w:val="21"/>
                <w:szCs w:val="21"/>
              </w:rPr>
              <w:t>247.9</w:t>
            </w:r>
          </w:p>
        </w:tc>
        <w:tc>
          <w:tcPr>
            <w:tcW w:w="445" w:type="pct"/>
            <w:noWrap/>
            <w:vAlign w:val="center"/>
          </w:tcPr>
          <w:p w14:paraId="54B3DD07">
            <w:pPr>
              <w:pStyle w:val="121"/>
              <w:rPr>
                <w:rFonts w:ascii="Times New Roman" w:hAnsi="Times New Roman"/>
                <w:w w:val="66"/>
                <w:sz w:val="21"/>
                <w:szCs w:val="21"/>
              </w:rPr>
            </w:pPr>
            <w:r>
              <w:rPr>
                <w:rFonts w:hint="eastAsia" w:ascii="Times New Roman" w:hAnsi="Times New Roman"/>
                <w:w w:val="66"/>
                <w:sz w:val="21"/>
                <w:szCs w:val="21"/>
              </w:rPr>
              <w:t>11.5</w:t>
            </w:r>
          </w:p>
        </w:tc>
        <w:tc>
          <w:tcPr>
            <w:tcW w:w="458" w:type="pct"/>
            <w:noWrap/>
            <w:vAlign w:val="center"/>
          </w:tcPr>
          <w:p w14:paraId="133349E9">
            <w:pPr>
              <w:pStyle w:val="121"/>
              <w:rPr>
                <w:rFonts w:ascii="Times New Roman" w:hAnsi="Times New Roman"/>
                <w:w w:val="66"/>
                <w:sz w:val="21"/>
                <w:szCs w:val="21"/>
              </w:rPr>
            </w:pPr>
            <w:r>
              <w:rPr>
                <w:rFonts w:ascii="Times New Roman" w:hAnsi="Times New Roman"/>
                <w:w w:val="66"/>
                <w:sz w:val="21"/>
                <w:szCs w:val="21"/>
              </w:rPr>
              <w:t>20</w:t>
            </w:r>
          </w:p>
        </w:tc>
      </w:tr>
      <w:tr w14:paraId="33B29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747C881C">
            <w:pPr>
              <w:pStyle w:val="121"/>
              <w:rPr>
                <w:rFonts w:ascii="Times New Roman" w:hAnsi="Times New Roman"/>
                <w:w w:val="66"/>
                <w:sz w:val="21"/>
                <w:szCs w:val="21"/>
              </w:rPr>
            </w:pPr>
            <w:r>
              <w:rPr>
                <w:rFonts w:hint="eastAsia" w:ascii="Times New Roman" w:hAnsi="Times New Roman"/>
                <w:w w:val="66"/>
                <w:sz w:val="21"/>
                <w:szCs w:val="21"/>
              </w:rPr>
              <w:t>4</w:t>
            </w:r>
          </w:p>
        </w:tc>
        <w:tc>
          <w:tcPr>
            <w:tcW w:w="1809" w:type="pct"/>
            <w:noWrap/>
            <w:vAlign w:val="center"/>
          </w:tcPr>
          <w:p w14:paraId="687EA04B">
            <w:pPr>
              <w:pStyle w:val="121"/>
              <w:rPr>
                <w:rFonts w:ascii="Times New Roman" w:hAnsi="Times New Roman"/>
                <w:w w:val="66"/>
                <w:sz w:val="21"/>
                <w:szCs w:val="21"/>
              </w:rPr>
            </w:pPr>
            <w:r>
              <w:rPr>
                <w:rFonts w:hint="eastAsia" w:ascii="Times New Roman" w:hAnsi="Times New Roman"/>
                <w:w w:val="66"/>
                <w:sz w:val="21"/>
                <w:szCs w:val="21"/>
              </w:rPr>
              <w:t>2号回风井</w:t>
            </w:r>
          </w:p>
        </w:tc>
        <w:tc>
          <w:tcPr>
            <w:tcW w:w="524" w:type="pct"/>
            <w:noWrap/>
            <w:vAlign w:val="center"/>
          </w:tcPr>
          <w:p w14:paraId="6E950F5A">
            <w:pPr>
              <w:pStyle w:val="121"/>
              <w:rPr>
                <w:rFonts w:ascii="Times New Roman" w:hAnsi="Times New Roman"/>
                <w:w w:val="66"/>
                <w:sz w:val="21"/>
                <w:szCs w:val="21"/>
              </w:rPr>
            </w:pPr>
            <w:r>
              <w:rPr>
                <w:rFonts w:hint="eastAsia" w:ascii="Times New Roman" w:hAnsi="Times New Roman"/>
                <w:w w:val="66"/>
                <w:sz w:val="21"/>
                <w:szCs w:val="21"/>
              </w:rPr>
              <w:t>33.2</w:t>
            </w:r>
          </w:p>
        </w:tc>
        <w:tc>
          <w:tcPr>
            <w:tcW w:w="568" w:type="pct"/>
            <w:noWrap/>
            <w:vAlign w:val="center"/>
          </w:tcPr>
          <w:p w14:paraId="6E080DB4">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46029419">
            <w:pPr>
              <w:pStyle w:val="121"/>
              <w:rPr>
                <w:rFonts w:ascii="Times New Roman" w:hAnsi="Times New Roman"/>
                <w:w w:val="66"/>
                <w:sz w:val="21"/>
                <w:szCs w:val="21"/>
              </w:rPr>
            </w:pPr>
            <w:r>
              <w:rPr>
                <w:rFonts w:hint="eastAsia" w:ascii="Times New Roman" w:hAnsi="Times New Roman"/>
                <w:w w:val="66"/>
                <w:sz w:val="21"/>
                <w:szCs w:val="21"/>
              </w:rPr>
              <w:t>310</w:t>
            </w:r>
          </w:p>
        </w:tc>
        <w:tc>
          <w:tcPr>
            <w:tcW w:w="405" w:type="pct"/>
            <w:noWrap/>
            <w:vAlign w:val="center"/>
          </w:tcPr>
          <w:p w14:paraId="6BF85786">
            <w:pPr>
              <w:pStyle w:val="121"/>
              <w:rPr>
                <w:rFonts w:ascii="Times New Roman" w:hAnsi="Times New Roman"/>
                <w:w w:val="66"/>
                <w:sz w:val="21"/>
                <w:szCs w:val="21"/>
              </w:rPr>
            </w:pPr>
            <w:r>
              <w:rPr>
                <w:rFonts w:hint="eastAsia" w:ascii="Times New Roman" w:hAnsi="Times New Roman"/>
                <w:w w:val="66"/>
                <w:sz w:val="21"/>
                <w:szCs w:val="21"/>
              </w:rPr>
              <w:t>183.8</w:t>
            </w:r>
          </w:p>
        </w:tc>
        <w:tc>
          <w:tcPr>
            <w:tcW w:w="445" w:type="pct"/>
            <w:noWrap/>
            <w:vAlign w:val="center"/>
          </w:tcPr>
          <w:p w14:paraId="3142A4B8">
            <w:pPr>
              <w:pStyle w:val="121"/>
              <w:rPr>
                <w:rFonts w:ascii="Times New Roman" w:hAnsi="Times New Roman"/>
                <w:w w:val="66"/>
                <w:sz w:val="21"/>
                <w:szCs w:val="21"/>
              </w:rPr>
            </w:pPr>
            <w:r>
              <w:rPr>
                <w:rFonts w:hint="eastAsia" w:ascii="Times New Roman" w:hAnsi="Times New Roman"/>
                <w:w w:val="66"/>
                <w:sz w:val="21"/>
                <w:szCs w:val="21"/>
              </w:rPr>
              <w:t>9.9</w:t>
            </w:r>
          </w:p>
        </w:tc>
        <w:tc>
          <w:tcPr>
            <w:tcW w:w="458" w:type="pct"/>
            <w:noWrap/>
            <w:vAlign w:val="center"/>
          </w:tcPr>
          <w:p w14:paraId="64B5F631">
            <w:pPr>
              <w:pStyle w:val="121"/>
              <w:rPr>
                <w:rFonts w:ascii="Times New Roman" w:hAnsi="Times New Roman"/>
                <w:w w:val="66"/>
                <w:sz w:val="21"/>
                <w:szCs w:val="21"/>
              </w:rPr>
            </w:pPr>
            <w:r>
              <w:rPr>
                <w:rFonts w:ascii="Times New Roman" w:hAnsi="Times New Roman"/>
                <w:w w:val="66"/>
                <w:sz w:val="21"/>
                <w:szCs w:val="21"/>
              </w:rPr>
              <w:t>20</w:t>
            </w:r>
          </w:p>
        </w:tc>
      </w:tr>
      <w:tr w14:paraId="63B97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64B6095">
            <w:pPr>
              <w:pStyle w:val="121"/>
              <w:rPr>
                <w:rFonts w:ascii="Times New Roman" w:hAnsi="Times New Roman"/>
                <w:w w:val="66"/>
                <w:sz w:val="21"/>
                <w:szCs w:val="21"/>
              </w:rPr>
            </w:pPr>
            <w:r>
              <w:rPr>
                <w:rFonts w:ascii="Times New Roman" w:hAnsi="Times New Roman"/>
                <w:w w:val="66"/>
                <w:sz w:val="21"/>
                <w:szCs w:val="21"/>
              </w:rPr>
              <w:t>二</w:t>
            </w:r>
          </w:p>
        </w:tc>
        <w:tc>
          <w:tcPr>
            <w:tcW w:w="1809" w:type="pct"/>
            <w:noWrap/>
            <w:vAlign w:val="center"/>
          </w:tcPr>
          <w:p w14:paraId="74C51AA1">
            <w:pPr>
              <w:pStyle w:val="121"/>
              <w:rPr>
                <w:rFonts w:ascii="Times New Roman" w:hAnsi="Times New Roman"/>
                <w:w w:val="66"/>
                <w:sz w:val="21"/>
                <w:szCs w:val="21"/>
              </w:rPr>
            </w:pPr>
            <w:r>
              <w:rPr>
                <w:rFonts w:ascii="Times New Roman" w:hAnsi="Times New Roman"/>
                <w:w w:val="66"/>
                <w:sz w:val="21"/>
                <w:szCs w:val="21"/>
              </w:rPr>
              <w:t>通风天井</w:t>
            </w:r>
          </w:p>
        </w:tc>
        <w:tc>
          <w:tcPr>
            <w:tcW w:w="524" w:type="pct"/>
            <w:noWrap/>
            <w:vAlign w:val="center"/>
          </w:tcPr>
          <w:p w14:paraId="10608431">
            <w:pPr>
              <w:pStyle w:val="121"/>
              <w:rPr>
                <w:rFonts w:ascii="Times New Roman" w:hAnsi="Times New Roman"/>
                <w:w w:val="66"/>
                <w:sz w:val="21"/>
                <w:szCs w:val="21"/>
              </w:rPr>
            </w:pPr>
          </w:p>
        </w:tc>
        <w:tc>
          <w:tcPr>
            <w:tcW w:w="568" w:type="pct"/>
            <w:noWrap/>
            <w:vAlign w:val="center"/>
          </w:tcPr>
          <w:p w14:paraId="0748156C">
            <w:pPr>
              <w:pStyle w:val="121"/>
              <w:rPr>
                <w:rFonts w:ascii="Times New Roman" w:hAnsi="Times New Roman"/>
                <w:w w:val="66"/>
                <w:sz w:val="21"/>
                <w:szCs w:val="21"/>
              </w:rPr>
            </w:pPr>
          </w:p>
        </w:tc>
        <w:tc>
          <w:tcPr>
            <w:tcW w:w="474" w:type="pct"/>
            <w:noWrap/>
            <w:vAlign w:val="center"/>
          </w:tcPr>
          <w:p w14:paraId="736A7EFD">
            <w:pPr>
              <w:pStyle w:val="121"/>
              <w:rPr>
                <w:rFonts w:ascii="Times New Roman" w:hAnsi="Times New Roman"/>
                <w:w w:val="66"/>
                <w:sz w:val="21"/>
                <w:szCs w:val="21"/>
              </w:rPr>
            </w:pPr>
          </w:p>
        </w:tc>
        <w:tc>
          <w:tcPr>
            <w:tcW w:w="405" w:type="pct"/>
            <w:noWrap/>
            <w:vAlign w:val="center"/>
          </w:tcPr>
          <w:p w14:paraId="579696EF">
            <w:pPr>
              <w:pStyle w:val="121"/>
              <w:rPr>
                <w:rFonts w:ascii="Times New Roman" w:hAnsi="Times New Roman"/>
                <w:w w:val="66"/>
                <w:sz w:val="21"/>
                <w:szCs w:val="21"/>
              </w:rPr>
            </w:pPr>
          </w:p>
        </w:tc>
        <w:tc>
          <w:tcPr>
            <w:tcW w:w="445" w:type="pct"/>
            <w:noWrap/>
            <w:vAlign w:val="center"/>
          </w:tcPr>
          <w:p w14:paraId="472945BC">
            <w:pPr>
              <w:pStyle w:val="121"/>
              <w:rPr>
                <w:rFonts w:ascii="Times New Roman" w:hAnsi="Times New Roman"/>
                <w:w w:val="66"/>
                <w:sz w:val="21"/>
                <w:szCs w:val="21"/>
              </w:rPr>
            </w:pPr>
          </w:p>
        </w:tc>
        <w:tc>
          <w:tcPr>
            <w:tcW w:w="458" w:type="pct"/>
            <w:noWrap/>
            <w:vAlign w:val="center"/>
          </w:tcPr>
          <w:p w14:paraId="15652141">
            <w:pPr>
              <w:pStyle w:val="121"/>
              <w:rPr>
                <w:rFonts w:ascii="Times New Roman" w:hAnsi="Times New Roman"/>
                <w:w w:val="66"/>
                <w:sz w:val="21"/>
                <w:szCs w:val="21"/>
              </w:rPr>
            </w:pPr>
          </w:p>
        </w:tc>
      </w:tr>
      <w:tr w14:paraId="08F13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D876598">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2E5152A9">
            <w:pPr>
              <w:pStyle w:val="121"/>
              <w:rPr>
                <w:rFonts w:ascii="Times New Roman" w:hAnsi="Times New Roman"/>
                <w:w w:val="66"/>
                <w:sz w:val="21"/>
                <w:szCs w:val="21"/>
              </w:rPr>
            </w:pPr>
            <w:r>
              <w:rPr>
                <w:rFonts w:ascii="Times New Roman" w:hAnsi="Times New Roman"/>
                <w:w w:val="66"/>
                <w:sz w:val="21"/>
                <w:szCs w:val="21"/>
              </w:rPr>
              <w:t>1号采区进风天井</w:t>
            </w:r>
          </w:p>
        </w:tc>
        <w:tc>
          <w:tcPr>
            <w:tcW w:w="524" w:type="pct"/>
            <w:noWrap/>
            <w:vAlign w:val="center"/>
          </w:tcPr>
          <w:p w14:paraId="33A75CC7">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0F231C67">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51054454">
            <w:pPr>
              <w:pStyle w:val="121"/>
              <w:rPr>
                <w:rFonts w:ascii="Times New Roman" w:hAnsi="Times New Roman"/>
                <w:w w:val="66"/>
                <w:sz w:val="21"/>
                <w:szCs w:val="21"/>
              </w:rPr>
            </w:pPr>
            <w:r>
              <w:rPr>
                <w:rFonts w:hint="eastAsia" w:ascii="Times New Roman" w:hAnsi="Times New Roman"/>
                <w:w w:val="66"/>
                <w:sz w:val="21"/>
                <w:szCs w:val="21"/>
              </w:rPr>
              <w:t>65.1</w:t>
            </w:r>
          </w:p>
        </w:tc>
        <w:tc>
          <w:tcPr>
            <w:tcW w:w="405" w:type="pct"/>
            <w:noWrap/>
            <w:vAlign w:val="center"/>
          </w:tcPr>
          <w:p w14:paraId="521B2B19">
            <w:pPr>
              <w:pStyle w:val="121"/>
              <w:rPr>
                <w:rFonts w:ascii="Times New Roman" w:hAnsi="Times New Roman"/>
                <w:w w:val="66"/>
                <w:sz w:val="21"/>
                <w:szCs w:val="21"/>
              </w:rPr>
            </w:pPr>
            <w:r>
              <w:rPr>
                <w:rFonts w:hint="eastAsia" w:ascii="Times New Roman" w:hAnsi="Times New Roman"/>
                <w:w w:val="66"/>
                <w:sz w:val="21"/>
                <w:szCs w:val="21"/>
              </w:rPr>
              <w:t>-464.1</w:t>
            </w:r>
          </w:p>
        </w:tc>
        <w:tc>
          <w:tcPr>
            <w:tcW w:w="445" w:type="pct"/>
            <w:noWrap/>
            <w:vAlign w:val="center"/>
          </w:tcPr>
          <w:p w14:paraId="77513D17">
            <w:pPr>
              <w:pStyle w:val="121"/>
              <w:rPr>
                <w:rFonts w:ascii="Times New Roman" w:hAnsi="Times New Roman"/>
                <w:w w:val="66"/>
                <w:sz w:val="21"/>
                <w:szCs w:val="21"/>
              </w:rPr>
            </w:pPr>
            <w:r>
              <w:rPr>
                <w:rFonts w:hint="eastAsia" w:ascii="Times New Roman" w:hAnsi="Times New Roman"/>
                <w:w w:val="66"/>
                <w:sz w:val="21"/>
                <w:szCs w:val="21"/>
              </w:rPr>
              <w:t>6.8</w:t>
            </w:r>
          </w:p>
        </w:tc>
        <w:tc>
          <w:tcPr>
            <w:tcW w:w="458" w:type="pct"/>
            <w:noWrap/>
            <w:vAlign w:val="center"/>
          </w:tcPr>
          <w:p w14:paraId="02A1817D">
            <w:pPr>
              <w:pStyle w:val="121"/>
              <w:rPr>
                <w:rFonts w:ascii="Times New Roman" w:hAnsi="Times New Roman"/>
                <w:w w:val="66"/>
                <w:sz w:val="21"/>
                <w:szCs w:val="21"/>
              </w:rPr>
            </w:pPr>
            <w:r>
              <w:rPr>
                <w:rFonts w:hint="eastAsia" w:ascii="Times New Roman" w:hAnsi="Times New Roman"/>
                <w:w w:val="66"/>
                <w:sz w:val="21"/>
                <w:szCs w:val="21"/>
              </w:rPr>
              <w:t>20</w:t>
            </w:r>
          </w:p>
        </w:tc>
      </w:tr>
      <w:tr w14:paraId="03015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98C3113">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024377B8">
            <w:pPr>
              <w:pStyle w:val="121"/>
              <w:rPr>
                <w:rFonts w:ascii="Times New Roman" w:hAnsi="Times New Roman"/>
                <w:w w:val="66"/>
                <w:sz w:val="21"/>
                <w:szCs w:val="21"/>
              </w:rPr>
            </w:pPr>
            <w:r>
              <w:rPr>
                <w:rFonts w:ascii="Times New Roman" w:hAnsi="Times New Roman"/>
                <w:w w:val="66"/>
                <w:sz w:val="21"/>
                <w:szCs w:val="21"/>
              </w:rPr>
              <w:t>2号采区进风天井</w:t>
            </w:r>
          </w:p>
        </w:tc>
        <w:tc>
          <w:tcPr>
            <w:tcW w:w="524" w:type="pct"/>
            <w:noWrap/>
            <w:vAlign w:val="center"/>
          </w:tcPr>
          <w:p w14:paraId="51AE6B80">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76645DAA">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036A4CDB">
            <w:pPr>
              <w:pStyle w:val="121"/>
              <w:rPr>
                <w:rFonts w:ascii="Times New Roman" w:hAnsi="Times New Roman"/>
                <w:w w:val="66"/>
                <w:sz w:val="21"/>
                <w:szCs w:val="21"/>
              </w:rPr>
            </w:pPr>
            <w:r>
              <w:rPr>
                <w:rFonts w:hint="eastAsia" w:ascii="Times New Roman" w:hAnsi="Times New Roman"/>
                <w:w w:val="66"/>
                <w:sz w:val="21"/>
                <w:szCs w:val="21"/>
              </w:rPr>
              <w:t>71.9</w:t>
            </w:r>
          </w:p>
        </w:tc>
        <w:tc>
          <w:tcPr>
            <w:tcW w:w="405" w:type="pct"/>
            <w:noWrap/>
            <w:vAlign w:val="center"/>
          </w:tcPr>
          <w:p w14:paraId="2013180C">
            <w:pPr>
              <w:pStyle w:val="121"/>
              <w:rPr>
                <w:rFonts w:ascii="Times New Roman" w:hAnsi="Times New Roman"/>
                <w:w w:val="66"/>
                <w:sz w:val="21"/>
                <w:szCs w:val="21"/>
              </w:rPr>
            </w:pPr>
            <w:r>
              <w:rPr>
                <w:rFonts w:hint="eastAsia" w:ascii="Times New Roman" w:hAnsi="Times New Roman"/>
                <w:w w:val="66"/>
                <w:sz w:val="21"/>
                <w:szCs w:val="21"/>
              </w:rPr>
              <w:t>-463.6</w:t>
            </w:r>
          </w:p>
        </w:tc>
        <w:tc>
          <w:tcPr>
            <w:tcW w:w="445" w:type="pct"/>
            <w:noWrap/>
            <w:vAlign w:val="center"/>
          </w:tcPr>
          <w:p w14:paraId="178E3777">
            <w:pPr>
              <w:pStyle w:val="121"/>
              <w:rPr>
                <w:rFonts w:ascii="Times New Roman" w:hAnsi="Times New Roman"/>
                <w:w w:val="66"/>
                <w:sz w:val="21"/>
                <w:szCs w:val="21"/>
              </w:rPr>
            </w:pPr>
            <w:r>
              <w:rPr>
                <w:rFonts w:hint="eastAsia" w:ascii="Times New Roman" w:hAnsi="Times New Roman"/>
                <w:w w:val="66"/>
                <w:sz w:val="21"/>
                <w:szCs w:val="21"/>
              </w:rPr>
              <w:t>7.5</w:t>
            </w:r>
          </w:p>
        </w:tc>
        <w:tc>
          <w:tcPr>
            <w:tcW w:w="458" w:type="pct"/>
            <w:noWrap/>
            <w:vAlign w:val="center"/>
          </w:tcPr>
          <w:p w14:paraId="45F27F10">
            <w:pPr>
              <w:pStyle w:val="121"/>
              <w:rPr>
                <w:rFonts w:ascii="Times New Roman" w:hAnsi="Times New Roman"/>
                <w:w w:val="66"/>
                <w:sz w:val="21"/>
                <w:szCs w:val="21"/>
              </w:rPr>
            </w:pPr>
            <w:r>
              <w:rPr>
                <w:rFonts w:hint="eastAsia" w:ascii="Times New Roman" w:hAnsi="Times New Roman"/>
                <w:w w:val="66"/>
                <w:sz w:val="21"/>
                <w:szCs w:val="21"/>
              </w:rPr>
              <w:t>20</w:t>
            </w:r>
          </w:p>
        </w:tc>
      </w:tr>
      <w:tr w14:paraId="211F6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477F1C4">
            <w:pPr>
              <w:pStyle w:val="121"/>
              <w:rPr>
                <w:rFonts w:ascii="Times New Roman" w:hAnsi="Times New Roman"/>
                <w:w w:val="66"/>
                <w:sz w:val="21"/>
                <w:szCs w:val="21"/>
              </w:rPr>
            </w:pPr>
            <w:r>
              <w:rPr>
                <w:rFonts w:ascii="Times New Roman" w:hAnsi="Times New Roman"/>
                <w:w w:val="66"/>
                <w:sz w:val="21"/>
                <w:szCs w:val="21"/>
              </w:rPr>
              <w:t>3</w:t>
            </w:r>
          </w:p>
        </w:tc>
        <w:tc>
          <w:tcPr>
            <w:tcW w:w="1809" w:type="pct"/>
            <w:noWrap/>
            <w:vAlign w:val="center"/>
          </w:tcPr>
          <w:p w14:paraId="6882C990">
            <w:pPr>
              <w:pStyle w:val="121"/>
              <w:rPr>
                <w:rFonts w:ascii="Times New Roman" w:hAnsi="Times New Roman"/>
                <w:w w:val="66"/>
                <w:sz w:val="21"/>
                <w:szCs w:val="21"/>
              </w:rPr>
            </w:pPr>
            <w:r>
              <w:rPr>
                <w:rFonts w:ascii="Times New Roman" w:hAnsi="Times New Roman"/>
                <w:w w:val="66"/>
                <w:sz w:val="21"/>
                <w:szCs w:val="21"/>
              </w:rPr>
              <w:t>3号采区进风天井</w:t>
            </w:r>
          </w:p>
        </w:tc>
        <w:tc>
          <w:tcPr>
            <w:tcW w:w="524" w:type="pct"/>
            <w:noWrap/>
            <w:vAlign w:val="center"/>
          </w:tcPr>
          <w:p w14:paraId="2C4D13AC">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0BB50325">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3A4659F7">
            <w:pPr>
              <w:pStyle w:val="121"/>
              <w:rPr>
                <w:rFonts w:ascii="Times New Roman" w:hAnsi="Times New Roman"/>
                <w:w w:val="66"/>
                <w:sz w:val="21"/>
                <w:szCs w:val="21"/>
              </w:rPr>
            </w:pPr>
            <w:r>
              <w:rPr>
                <w:rFonts w:hint="eastAsia" w:ascii="Times New Roman" w:hAnsi="Times New Roman"/>
                <w:w w:val="66"/>
                <w:sz w:val="21"/>
                <w:szCs w:val="21"/>
              </w:rPr>
              <w:t>75.9</w:t>
            </w:r>
          </w:p>
        </w:tc>
        <w:tc>
          <w:tcPr>
            <w:tcW w:w="405" w:type="pct"/>
            <w:noWrap/>
            <w:vAlign w:val="center"/>
          </w:tcPr>
          <w:p w14:paraId="37F6230F">
            <w:pPr>
              <w:pStyle w:val="121"/>
              <w:rPr>
                <w:rFonts w:ascii="Times New Roman" w:hAnsi="Times New Roman"/>
                <w:w w:val="66"/>
                <w:sz w:val="21"/>
                <w:szCs w:val="21"/>
              </w:rPr>
            </w:pPr>
            <w:r>
              <w:rPr>
                <w:rFonts w:hint="eastAsia" w:ascii="Times New Roman" w:hAnsi="Times New Roman"/>
                <w:w w:val="66"/>
                <w:sz w:val="21"/>
                <w:szCs w:val="21"/>
              </w:rPr>
              <w:t>-463.8</w:t>
            </w:r>
          </w:p>
        </w:tc>
        <w:tc>
          <w:tcPr>
            <w:tcW w:w="445" w:type="pct"/>
            <w:noWrap/>
            <w:vAlign w:val="center"/>
          </w:tcPr>
          <w:p w14:paraId="78ABD77A">
            <w:pPr>
              <w:pStyle w:val="121"/>
              <w:rPr>
                <w:rFonts w:ascii="Times New Roman" w:hAnsi="Times New Roman"/>
                <w:w w:val="66"/>
                <w:sz w:val="21"/>
                <w:szCs w:val="21"/>
              </w:rPr>
            </w:pPr>
            <w:r>
              <w:rPr>
                <w:rFonts w:hint="eastAsia" w:ascii="Times New Roman" w:hAnsi="Times New Roman"/>
                <w:w w:val="66"/>
                <w:sz w:val="21"/>
                <w:szCs w:val="21"/>
              </w:rPr>
              <w:t>7.9</w:t>
            </w:r>
          </w:p>
        </w:tc>
        <w:tc>
          <w:tcPr>
            <w:tcW w:w="458" w:type="pct"/>
            <w:noWrap/>
            <w:vAlign w:val="center"/>
          </w:tcPr>
          <w:p w14:paraId="73766C23">
            <w:pPr>
              <w:pStyle w:val="121"/>
              <w:rPr>
                <w:rFonts w:ascii="Times New Roman" w:hAnsi="Times New Roman"/>
                <w:w w:val="66"/>
                <w:sz w:val="21"/>
                <w:szCs w:val="21"/>
              </w:rPr>
            </w:pPr>
            <w:r>
              <w:rPr>
                <w:rFonts w:hint="eastAsia" w:ascii="Times New Roman" w:hAnsi="Times New Roman"/>
                <w:w w:val="66"/>
                <w:sz w:val="21"/>
                <w:szCs w:val="21"/>
              </w:rPr>
              <w:t>20</w:t>
            </w:r>
          </w:p>
        </w:tc>
      </w:tr>
      <w:tr w14:paraId="23EC2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DE3F054">
            <w:pPr>
              <w:pStyle w:val="121"/>
              <w:rPr>
                <w:rFonts w:ascii="Times New Roman" w:hAnsi="Times New Roman"/>
                <w:w w:val="66"/>
                <w:sz w:val="21"/>
                <w:szCs w:val="21"/>
              </w:rPr>
            </w:pPr>
            <w:r>
              <w:rPr>
                <w:rFonts w:ascii="Times New Roman" w:hAnsi="Times New Roman"/>
                <w:w w:val="66"/>
                <w:sz w:val="21"/>
                <w:szCs w:val="21"/>
              </w:rPr>
              <w:t>4</w:t>
            </w:r>
          </w:p>
        </w:tc>
        <w:tc>
          <w:tcPr>
            <w:tcW w:w="1809" w:type="pct"/>
            <w:noWrap/>
            <w:vAlign w:val="center"/>
          </w:tcPr>
          <w:p w14:paraId="3C879830">
            <w:pPr>
              <w:pStyle w:val="121"/>
              <w:rPr>
                <w:rFonts w:ascii="Times New Roman" w:hAnsi="Times New Roman"/>
                <w:w w:val="66"/>
                <w:sz w:val="21"/>
                <w:szCs w:val="21"/>
              </w:rPr>
            </w:pPr>
            <w:r>
              <w:rPr>
                <w:rFonts w:ascii="Times New Roman" w:hAnsi="Times New Roman"/>
                <w:w w:val="66"/>
                <w:sz w:val="21"/>
                <w:szCs w:val="21"/>
              </w:rPr>
              <w:t>4号采区进风天井</w:t>
            </w:r>
          </w:p>
        </w:tc>
        <w:tc>
          <w:tcPr>
            <w:tcW w:w="524" w:type="pct"/>
            <w:noWrap/>
            <w:vAlign w:val="center"/>
          </w:tcPr>
          <w:p w14:paraId="749E8D3D">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0AF722D9">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4600A052">
            <w:pPr>
              <w:pStyle w:val="121"/>
              <w:rPr>
                <w:rFonts w:ascii="Times New Roman" w:hAnsi="Times New Roman"/>
                <w:w w:val="66"/>
                <w:sz w:val="21"/>
                <w:szCs w:val="21"/>
              </w:rPr>
            </w:pPr>
            <w:r>
              <w:rPr>
                <w:rFonts w:hint="eastAsia" w:ascii="Times New Roman" w:hAnsi="Times New Roman"/>
                <w:w w:val="66"/>
                <w:sz w:val="21"/>
                <w:szCs w:val="21"/>
              </w:rPr>
              <w:t>100.9</w:t>
            </w:r>
          </w:p>
        </w:tc>
        <w:tc>
          <w:tcPr>
            <w:tcW w:w="405" w:type="pct"/>
            <w:noWrap/>
            <w:vAlign w:val="center"/>
          </w:tcPr>
          <w:p w14:paraId="211345B1">
            <w:pPr>
              <w:pStyle w:val="121"/>
              <w:rPr>
                <w:rFonts w:ascii="Times New Roman" w:hAnsi="Times New Roman"/>
                <w:w w:val="66"/>
                <w:sz w:val="21"/>
                <w:szCs w:val="21"/>
              </w:rPr>
            </w:pPr>
            <w:r>
              <w:rPr>
                <w:rFonts w:hint="eastAsia" w:ascii="Times New Roman" w:hAnsi="Times New Roman"/>
                <w:w w:val="66"/>
                <w:sz w:val="21"/>
                <w:szCs w:val="21"/>
              </w:rPr>
              <w:t>-462.5</w:t>
            </w:r>
          </w:p>
        </w:tc>
        <w:tc>
          <w:tcPr>
            <w:tcW w:w="445" w:type="pct"/>
            <w:noWrap/>
            <w:vAlign w:val="center"/>
          </w:tcPr>
          <w:p w14:paraId="7B6555A3">
            <w:pPr>
              <w:pStyle w:val="121"/>
              <w:rPr>
                <w:rFonts w:ascii="Times New Roman" w:hAnsi="Times New Roman"/>
                <w:w w:val="66"/>
                <w:sz w:val="21"/>
                <w:szCs w:val="21"/>
              </w:rPr>
            </w:pPr>
            <w:r>
              <w:rPr>
                <w:rFonts w:hint="eastAsia" w:ascii="Times New Roman" w:hAnsi="Times New Roman"/>
                <w:w w:val="66"/>
                <w:sz w:val="21"/>
                <w:szCs w:val="21"/>
              </w:rPr>
              <w:t>10.5</w:t>
            </w:r>
          </w:p>
        </w:tc>
        <w:tc>
          <w:tcPr>
            <w:tcW w:w="458" w:type="pct"/>
            <w:noWrap/>
            <w:vAlign w:val="center"/>
          </w:tcPr>
          <w:p w14:paraId="79935336">
            <w:pPr>
              <w:pStyle w:val="121"/>
              <w:rPr>
                <w:rFonts w:ascii="Times New Roman" w:hAnsi="Times New Roman"/>
                <w:w w:val="66"/>
                <w:sz w:val="21"/>
                <w:szCs w:val="21"/>
              </w:rPr>
            </w:pPr>
            <w:r>
              <w:rPr>
                <w:rFonts w:hint="eastAsia" w:ascii="Times New Roman" w:hAnsi="Times New Roman"/>
                <w:w w:val="66"/>
                <w:sz w:val="21"/>
                <w:szCs w:val="21"/>
              </w:rPr>
              <w:t>20</w:t>
            </w:r>
          </w:p>
        </w:tc>
      </w:tr>
      <w:tr w14:paraId="22ED6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35D476D6">
            <w:pPr>
              <w:pStyle w:val="121"/>
              <w:rPr>
                <w:rFonts w:ascii="Times New Roman" w:hAnsi="Times New Roman"/>
                <w:w w:val="66"/>
                <w:sz w:val="21"/>
                <w:szCs w:val="21"/>
              </w:rPr>
            </w:pPr>
            <w:r>
              <w:rPr>
                <w:rFonts w:ascii="Times New Roman" w:hAnsi="Times New Roman"/>
                <w:w w:val="66"/>
                <w:sz w:val="21"/>
                <w:szCs w:val="21"/>
              </w:rPr>
              <w:t>5</w:t>
            </w:r>
          </w:p>
        </w:tc>
        <w:tc>
          <w:tcPr>
            <w:tcW w:w="1809" w:type="pct"/>
            <w:noWrap/>
            <w:vAlign w:val="center"/>
          </w:tcPr>
          <w:p w14:paraId="32DFB26E">
            <w:pPr>
              <w:pStyle w:val="121"/>
              <w:rPr>
                <w:rFonts w:ascii="Times New Roman" w:hAnsi="Times New Roman"/>
                <w:w w:val="66"/>
                <w:sz w:val="21"/>
                <w:szCs w:val="21"/>
              </w:rPr>
            </w:pPr>
            <w:r>
              <w:rPr>
                <w:rFonts w:ascii="Times New Roman" w:hAnsi="Times New Roman"/>
                <w:w w:val="66"/>
                <w:sz w:val="21"/>
                <w:szCs w:val="21"/>
              </w:rPr>
              <w:t>5号采区进风天井</w:t>
            </w:r>
          </w:p>
        </w:tc>
        <w:tc>
          <w:tcPr>
            <w:tcW w:w="524" w:type="pct"/>
            <w:noWrap/>
            <w:vAlign w:val="center"/>
          </w:tcPr>
          <w:p w14:paraId="338A03A6">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281EDF53">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436A3DDB">
            <w:pPr>
              <w:pStyle w:val="121"/>
              <w:rPr>
                <w:rFonts w:ascii="Times New Roman" w:hAnsi="Times New Roman"/>
                <w:w w:val="66"/>
                <w:sz w:val="21"/>
                <w:szCs w:val="21"/>
              </w:rPr>
            </w:pPr>
            <w:r>
              <w:rPr>
                <w:rFonts w:hint="eastAsia" w:ascii="Times New Roman" w:hAnsi="Times New Roman"/>
                <w:w w:val="66"/>
                <w:sz w:val="21"/>
                <w:szCs w:val="21"/>
              </w:rPr>
              <w:t>114.0</w:t>
            </w:r>
          </w:p>
        </w:tc>
        <w:tc>
          <w:tcPr>
            <w:tcW w:w="405" w:type="pct"/>
            <w:noWrap/>
            <w:vAlign w:val="center"/>
          </w:tcPr>
          <w:p w14:paraId="5DD3D811">
            <w:pPr>
              <w:pStyle w:val="121"/>
              <w:rPr>
                <w:rFonts w:ascii="Times New Roman" w:hAnsi="Times New Roman"/>
                <w:w w:val="66"/>
                <w:sz w:val="21"/>
                <w:szCs w:val="21"/>
              </w:rPr>
            </w:pPr>
            <w:r>
              <w:rPr>
                <w:rFonts w:hint="eastAsia" w:ascii="Times New Roman" w:hAnsi="Times New Roman"/>
                <w:w w:val="66"/>
                <w:sz w:val="21"/>
                <w:szCs w:val="21"/>
              </w:rPr>
              <w:t>-462.7</w:t>
            </w:r>
          </w:p>
        </w:tc>
        <w:tc>
          <w:tcPr>
            <w:tcW w:w="445" w:type="pct"/>
            <w:noWrap/>
            <w:vAlign w:val="center"/>
          </w:tcPr>
          <w:p w14:paraId="2314F864">
            <w:pPr>
              <w:pStyle w:val="121"/>
              <w:rPr>
                <w:rFonts w:ascii="Times New Roman" w:hAnsi="Times New Roman"/>
                <w:w w:val="66"/>
                <w:sz w:val="21"/>
                <w:szCs w:val="21"/>
              </w:rPr>
            </w:pPr>
            <w:r>
              <w:rPr>
                <w:rFonts w:hint="eastAsia" w:ascii="Times New Roman" w:hAnsi="Times New Roman"/>
                <w:w w:val="66"/>
                <w:sz w:val="21"/>
                <w:szCs w:val="21"/>
              </w:rPr>
              <w:t>11.8</w:t>
            </w:r>
          </w:p>
        </w:tc>
        <w:tc>
          <w:tcPr>
            <w:tcW w:w="458" w:type="pct"/>
            <w:noWrap/>
            <w:vAlign w:val="center"/>
          </w:tcPr>
          <w:p w14:paraId="7689E399">
            <w:pPr>
              <w:pStyle w:val="121"/>
              <w:rPr>
                <w:rFonts w:ascii="Times New Roman" w:hAnsi="Times New Roman"/>
                <w:w w:val="66"/>
                <w:sz w:val="21"/>
                <w:szCs w:val="21"/>
              </w:rPr>
            </w:pPr>
            <w:r>
              <w:rPr>
                <w:rFonts w:hint="eastAsia" w:ascii="Times New Roman" w:hAnsi="Times New Roman"/>
                <w:w w:val="66"/>
                <w:sz w:val="21"/>
                <w:szCs w:val="21"/>
              </w:rPr>
              <w:t>20</w:t>
            </w:r>
          </w:p>
        </w:tc>
      </w:tr>
      <w:tr w14:paraId="2762E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942F921">
            <w:pPr>
              <w:pStyle w:val="121"/>
              <w:rPr>
                <w:rFonts w:ascii="Times New Roman" w:hAnsi="Times New Roman"/>
                <w:w w:val="66"/>
                <w:sz w:val="21"/>
                <w:szCs w:val="21"/>
              </w:rPr>
            </w:pPr>
            <w:r>
              <w:rPr>
                <w:rFonts w:ascii="Times New Roman" w:hAnsi="Times New Roman"/>
                <w:w w:val="66"/>
                <w:sz w:val="21"/>
                <w:szCs w:val="21"/>
              </w:rPr>
              <w:t>6</w:t>
            </w:r>
          </w:p>
        </w:tc>
        <w:tc>
          <w:tcPr>
            <w:tcW w:w="1809" w:type="pct"/>
            <w:noWrap/>
            <w:vAlign w:val="center"/>
          </w:tcPr>
          <w:p w14:paraId="695C2DB8">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号采区进风天井</w:t>
            </w:r>
          </w:p>
        </w:tc>
        <w:tc>
          <w:tcPr>
            <w:tcW w:w="524" w:type="pct"/>
            <w:noWrap/>
            <w:vAlign w:val="center"/>
          </w:tcPr>
          <w:p w14:paraId="55287D35">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0D0400AF">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6D9B0420">
            <w:pPr>
              <w:pStyle w:val="121"/>
              <w:rPr>
                <w:rFonts w:ascii="Times New Roman" w:hAnsi="Times New Roman"/>
                <w:w w:val="66"/>
                <w:sz w:val="21"/>
                <w:szCs w:val="21"/>
              </w:rPr>
            </w:pPr>
            <w:r>
              <w:rPr>
                <w:rFonts w:hint="eastAsia" w:ascii="Times New Roman" w:hAnsi="Times New Roman"/>
                <w:w w:val="66"/>
                <w:sz w:val="21"/>
                <w:szCs w:val="21"/>
              </w:rPr>
              <w:t>86.8</w:t>
            </w:r>
          </w:p>
        </w:tc>
        <w:tc>
          <w:tcPr>
            <w:tcW w:w="405" w:type="pct"/>
            <w:noWrap/>
            <w:vAlign w:val="center"/>
          </w:tcPr>
          <w:p w14:paraId="6EFA358F">
            <w:pPr>
              <w:pStyle w:val="121"/>
              <w:rPr>
                <w:rFonts w:ascii="Times New Roman" w:hAnsi="Times New Roman"/>
                <w:w w:val="66"/>
                <w:sz w:val="21"/>
                <w:szCs w:val="21"/>
              </w:rPr>
            </w:pPr>
            <w:r>
              <w:rPr>
                <w:rFonts w:hint="eastAsia" w:ascii="Times New Roman" w:hAnsi="Times New Roman"/>
                <w:w w:val="66"/>
                <w:sz w:val="21"/>
                <w:szCs w:val="21"/>
              </w:rPr>
              <w:t>-468.7</w:t>
            </w:r>
          </w:p>
        </w:tc>
        <w:tc>
          <w:tcPr>
            <w:tcW w:w="445" w:type="pct"/>
            <w:noWrap/>
            <w:vAlign w:val="center"/>
          </w:tcPr>
          <w:p w14:paraId="0FE5AB8F">
            <w:pPr>
              <w:pStyle w:val="121"/>
              <w:rPr>
                <w:rFonts w:ascii="Times New Roman" w:hAnsi="Times New Roman"/>
                <w:w w:val="66"/>
                <w:sz w:val="21"/>
                <w:szCs w:val="21"/>
              </w:rPr>
            </w:pPr>
            <w:r>
              <w:rPr>
                <w:rFonts w:hint="eastAsia" w:ascii="Times New Roman" w:hAnsi="Times New Roman"/>
                <w:w w:val="66"/>
                <w:sz w:val="21"/>
                <w:szCs w:val="21"/>
              </w:rPr>
              <w:t>9.0</w:t>
            </w:r>
          </w:p>
        </w:tc>
        <w:tc>
          <w:tcPr>
            <w:tcW w:w="458" w:type="pct"/>
            <w:noWrap/>
            <w:vAlign w:val="center"/>
          </w:tcPr>
          <w:p w14:paraId="78F3431F">
            <w:pPr>
              <w:pStyle w:val="121"/>
              <w:rPr>
                <w:rFonts w:ascii="Times New Roman" w:hAnsi="Times New Roman"/>
                <w:w w:val="66"/>
                <w:sz w:val="21"/>
                <w:szCs w:val="21"/>
              </w:rPr>
            </w:pPr>
            <w:r>
              <w:rPr>
                <w:rFonts w:hint="eastAsia" w:ascii="Times New Roman" w:hAnsi="Times New Roman"/>
                <w:w w:val="66"/>
                <w:sz w:val="21"/>
                <w:szCs w:val="21"/>
              </w:rPr>
              <w:t>20</w:t>
            </w:r>
          </w:p>
        </w:tc>
      </w:tr>
      <w:tr w14:paraId="764A9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79C7FAC">
            <w:pPr>
              <w:pStyle w:val="121"/>
              <w:rPr>
                <w:rFonts w:ascii="Times New Roman" w:hAnsi="Times New Roman"/>
                <w:w w:val="66"/>
                <w:sz w:val="21"/>
                <w:szCs w:val="21"/>
              </w:rPr>
            </w:pPr>
            <w:r>
              <w:rPr>
                <w:rFonts w:ascii="Times New Roman" w:hAnsi="Times New Roman"/>
                <w:w w:val="66"/>
                <w:sz w:val="21"/>
                <w:szCs w:val="21"/>
              </w:rPr>
              <w:t>7</w:t>
            </w:r>
          </w:p>
        </w:tc>
        <w:tc>
          <w:tcPr>
            <w:tcW w:w="1809" w:type="pct"/>
            <w:noWrap/>
            <w:vAlign w:val="center"/>
          </w:tcPr>
          <w:p w14:paraId="69DAACC5">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号采区进风天井</w:t>
            </w:r>
          </w:p>
        </w:tc>
        <w:tc>
          <w:tcPr>
            <w:tcW w:w="524" w:type="pct"/>
            <w:noWrap/>
            <w:vAlign w:val="center"/>
          </w:tcPr>
          <w:p w14:paraId="25EEAEF4">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2146F065">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39811202">
            <w:pPr>
              <w:pStyle w:val="121"/>
              <w:rPr>
                <w:rFonts w:ascii="Times New Roman" w:hAnsi="Times New Roman"/>
                <w:w w:val="66"/>
                <w:sz w:val="21"/>
                <w:szCs w:val="21"/>
              </w:rPr>
            </w:pPr>
            <w:r>
              <w:rPr>
                <w:rFonts w:hint="eastAsia" w:ascii="Times New Roman" w:hAnsi="Times New Roman"/>
                <w:w w:val="66"/>
                <w:sz w:val="21"/>
                <w:szCs w:val="21"/>
              </w:rPr>
              <w:t>75.5</w:t>
            </w:r>
          </w:p>
        </w:tc>
        <w:tc>
          <w:tcPr>
            <w:tcW w:w="405" w:type="pct"/>
            <w:noWrap/>
            <w:vAlign w:val="center"/>
          </w:tcPr>
          <w:p w14:paraId="279C9CDC">
            <w:pPr>
              <w:pStyle w:val="121"/>
              <w:rPr>
                <w:rFonts w:ascii="Times New Roman" w:hAnsi="Times New Roman"/>
                <w:w w:val="66"/>
                <w:sz w:val="21"/>
                <w:szCs w:val="21"/>
              </w:rPr>
            </w:pPr>
            <w:r>
              <w:rPr>
                <w:rFonts w:hint="eastAsia" w:ascii="Times New Roman" w:hAnsi="Times New Roman"/>
                <w:w w:val="66"/>
                <w:sz w:val="21"/>
                <w:szCs w:val="21"/>
              </w:rPr>
              <w:t>-471.7</w:t>
            </w:r>
          </w:p>
        </w:tc>
        <w:tc>
          <w:tcPr>
            <w:tcW w:w="445" w:type="pct"/>
            <w:noWrap/>
            <w:vAlign w:val="center"/>
          </w:tcPr>
          <w:p w14:paraId="3E3A7E5C">
            <w:pPr>
              <w:pStyle w:val="121"/>
              <w:rPr>
                <w:rFonts w:ascii="Times New Roman" w:hAnsi="Times New Roman"/>
                <w:w w:val="66"/>
                <w:sz w:val="21"/>
                <w:szCs w:val="21"/>
              </w:rPr>
            </w:pPr>
            <w:r>
              <w:rPr>
                <w:rFonts w:hint="eastAsia" w:ascii="Times New Roman" w:hAnsi="Times New Roman"/>
                <w:w w:val="66"/>
                <w:sz w:val="21"/>
                <w:szCs w:val="21"/>
              </w:rPr>
              <w:t>7.8</w:t>
            </w:r>
          </w:p>
        </w:tc>
        <w:tc>
          <w:tcPr>
            <w:tcW w:w="458" w:type="pct"/>
            <w:noWrap/>
            <w:vAlign w:val="center"/>
          </w:tcPr>
          <w:p w14:paraId="650E727A">
            <w:pPr>
              <w:pStyle w:val="121"/>
              <w:rPr>
                <w:rFonts w:ascii="Times New Roman" w:hAnsi="Times New Roman"/>
                <w:w w:val="66"/>
                <w:sz w:val="21"/>
                <w:szCs w:val="21"/>
              </w:rPr>
            </w:pPr>
            <w:r>
              <w:rPr>
                <w:rFonts w:hint="eastAsia" w:ascii="Times New Roman" w:hAnsi="Times New Roman"/>
                <w:w w:val="66"/>
                <w:sz w:val="21"/>
                <w:szCs w:val="21"/>
              </w:rPr>
              <w:t>20</w:t>
            </w:r>
          </w:p>
        </w:tc>
      </w:tr>
      <w:tr w14:paraId="3A27D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5AD8A08">
            <w:pPr>
              <w:pStyle w:val="121"/>
              <w:rPr>
                <w:rFonts w:ascii="Times New Roman" w:hAnsi="Times New Roman"/>
                <w:w w:val="66"/>
                <w:sz w:val="21"/>
                <w:szCs w:val="21"/>
              </w:rPr>
            </w:pPr>
            <w:r>
              <w:rPr>
                <w:rFonts w:ascii="Times New Roman" w:hAnsi="Times New Roman"/>
                <w:w w:val="66"/>
                <w:sz w:val="21"/>
                <w:szCs w:val="21"/>
              </w:rPr>
              <w:t>8</w:t>
            </w:r>
          </w:p>
        </w:tc>
        <w:tc>
          <w:tcPr>
            <w:tcW w:w="1809" w:type="pct"/>
            <w:noWrap/>
            <w:vAlign w:val="center"/>
          </w:tcPr>
          <w:p w14:paraId="0D952ADA">
            <w:pPr>
              <w:pStyle w:val="121"/>
              <w:rPr>
                <w:rFonts w:ascii="Times New Roman" w:hAnsi="Times New Roman"/>
                <w:w w:val="66"/>
                <w:sz w:val="21"/>
                <w:szCs w:val="21"/>
              </w:rPr>
            </w:pPr>
            <w:r>
              <w:rPr>
                <w:rFonts w:ascii="Times New Roman" w:hAnsi="Times New Roman"/>
                <w:w w:val="66"/>
                <w:sz w:val="21"/>
                <w:szCs w:val="21"/>
              </w:rPr>
              <w:t>1号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524" w:type="pct"/>
            <w:noWrap/>
            <w:vAlign w:val="center"/>
          </w:tcPr>
          <w:p w14:paraId="58ACC186">
            <w:pPr>
              <w:pStyle w:val="121"/>
              <w:rPr>
                <w:rFonts w:ascii="Times New Roman" w:hAnsi="Times New Roman"/>
                <w:w w:val="66"/>
                <w:sz w:val="21"/>
                <w:szCs w:val="21"/>
              </w:rPr>
            </w:pPr>
            <w:r>
              <w:rPr>
                <w:rFonts w:hint="eastAsia" w:ascii="Times New Roman" w:hAnsi="Times New Roman"/>
                <w:w w:val="66"/>
                <w:sz w:val="21"/>
                <w:szCs w:val="21"/>
              </w:rPr>
              <w:t>12.56</w:t>
            </w:r>
          </w:p>
        </w:tc>
        <w:tc>
          <w:tcPr>
            <w:tcW w:w="568" w:type="pct"/>
            <w:noWrap/>
            <w:vAlign w:val="center"/>
          </w:tcPr>
          <w:p w14:paraId="03A29273">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0ED8E8C6">
            <w:pPr>
              <w:pStyle w:val="121"/>
              <w:rPr>
                <w:rFonts w:ascii="Times New Roman" w:hAnsi="Times New Roman"/>
                <w:w w:val="66"/>
                <w:sz w:val="21"/>
                <w:szCs w:val="21"/>
              </w:rPr>
            </w:pPr>
            <w:r>
              <w:rPr>
                <w:rFonts w:hint="eastAsia" w:ascii="Times New Roman" w:hAnsi="Times New Roman"/>
                <w:w w:val="66"/>
                <w:sz w:val="21"/>
                <w:szCs w:val="21"/>
              </w:rPr>
              <w:t>54.7</w:t>
            </w:r>
          </w:p>
        </w:tc>
        <w:tc>
          <w:tcPr>
            <w:tcW w:w="405" w:type="pct"/>
            <w:noWrap/>
            <w:vAlign w:val="center"/>
          </w:tcPr>
          <w:p w14:paraId="3266A0BD">
            <w:pPr>
              <w:pStyle w:val="121"/>
              <w:rPr>
                <w:rFonts w:ascii="Times New Roman" w:hAnsi="Times New Roman"/>
                <w:w w:val="66"/>
                <w:sz w:val="21"/>
                <w:szCs w:val="21"/>
              </w:rPr>
            </w:pPr>
            <w:r>
              <w:rPr>
                <w:rFonts w:hint="eastAsia" w:ascii="Times New Roman" w:hAnsi="Times New Roman"/>
                <w:w w:val="66"/>
                <w:sz w:val="21"/>
                <w:szCs w:val="21"/>
              </w:rPr>
              <w:t>-477.0</w:t>
            </w:r>
          </w:p>
        </w:tc>
        <w:tc>
          <w:tcPr>
            <w:tcW w:w="445" w:type="pct"/>
            <w:noWrap/>
            <w:vAlign w:val="center"/>
          </w:tcPr>
          <w:p w14:paraId="26313DF7">
            <w:pPr>
              <w:pStyle w:val="121"/>
              <w:rPr>
                <w:rFonts w:ascii="Times New Roman" w:hAnsi="Times New Roman"/>
                <w:w w:val="66"/>
                <w:sz w:val="21"/>
                <w:szCs w:val="21"/>
              </w:rPr>
            </w:pPr>
            <w:r>
              <w:rPr>
                <w:rFonts w:hint="eastAsia" w:ascii="Times New Roman" w:hAnsi="Times New Roman"/>
                <w:w w:val="66"/>
                <w:sz w:val="21"/>
                <w:szCs w:val="21"/>
              </w:rPr>
              <w:t>5.7</w:t>
            </w:r>
          </w:p>
        </w:tc>
        <w:tc>
          <w:tcPr>
            <w:tcW w:w="458" w:type="pct"/>
            <w:noWrap/>
            <w:vAlign w:val="center"/>
          </w:tcPr>
          <w:p w14:paraId="4A22F543">
            <w:pPr>
              <w:pStyle w:val="121"/>
              <w:rPr>
                <w:rFonts w:ascii="Times New Roman" w:hAnsi="Times New Roman"/>
                <w:w w:val="66"/>
                <w:sz w:val="21"/>
                <w:szCs w:val="21"/>
              </w:rPr>
            </w:pPr>
            <w:r>
              <w:rPr>
                <w:rFonts w:hint="eastAsia" w:ascii="Times New Roman" w:hAnsi="Times New Roman"/>
                <w:w w:val="66"/>
                <w:sz w:val="21"/>
                <w:szCs w:val="21"/>
              </w:rPr>
              <w:t>20</w:t>
            </w:r>
          </w:p>
        </w:tc>
      </w:tr>
      <w:tr w14:paraId="318D0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692F2C4">
            <w:pPr>
              <w:pStyle w:val="121"/>
              <w:rPr>
                <w:rFonts w:ascii="Times New Roman" w:hAnsi="Times New Roman"/>
                <w:w w:val="66"/>
                <w:sz w:val="21"/>
                <w:szCs w:val="21"/>
              </w:rPr>
            </w:pPr>
            <w:r>
              <w:rPr>
                <w:rFonts w:hint="eastAsia" w:ascii="Times New Roman" w:hAnsi="Times New Roman"/>
                <w:w w:val="66"/>
                <w:sz w:val="21"/>
                <w:szCs w:val="21"/>
              </w:rPr>
              <w:t>11</w:t>
            </w:r>
          </w:p>
        </w:tc>
        <w:tc>
          <w:tcPr>
            <w:tcW w:w="1809" w:type="pct"/>
            <w:noWrap/>
            <w:vAlign w:val="center"/>
          </w:tcPr>
          <w:p w14:paraId="6E780D9C">
            <w:pPr>
              <w:pStyle w:val="121"/>
              <w:rPr>
                <w:rFonts w:ascii="Times New Roman" w:hAnsi="Times New Roman"/>
                <w:w w:val="66"/>
                <w:sz w:val="21"/>
                <w:szCs w:val="21"/>
              </w:rPr>
            </w:pPr>
            <w:r>
              <w:rPr>
                <w:rFonts w:ascii="Times New Roman" w:hAnsi="Times New Roman"/>
                <w:w w:val="66"/>
                <w:sz w:val="21"/>
                <w:szCs w:val="21"/>
              </w:rPr>
              <w:t>2号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524" w:type="pct"/>
            <w:noWrap/>
            <w:vAlign w:val="center"/>
          </w:tcPr>
          <w:p w14:paraId="6D91E2C7">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2DB1BC4C">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16917AB1">
            <w:pPr>
              <w:pStyle w:val="121"/>
              <w:rPr>
                <w:rFonts w:ascii="Times New Roman" w:hAnsi="Times New Roman"/>
                <w:w w:val="66"/>
                <w:sz w:val="21"/>
                <w:szCs w:val="21"/>
              </w:rPr>
            </w:pPr>
            <w:r>
              <w:rPr>
                <w:rFonts w:hint="eastAsia" w:ascii="Times New Roman" w:hAnsi="Times New Roman"/>
                <w:w w:val="66"/>
                <w:sz w:val="21"/>
                <w:szCs w:val="21"/>
              </w:rPr>
              <w:t>65.0</w:t>
            </w:r>
          </w:p>
        </w:tc>
        <w:tc>
          <w:tcPr>
            <w:tcW w:w="405" w:type="pct"/>
            <w:noWrap/>
            <w:vAlign w:val="center"/>
          </w:tcPr>
          <w:p w14:paraId="661C8BED">
            <w:pPr>
              <w:pStyle w:val="121"/>
              <w:rPr>
                <w:rFonts w:ascii="Times New Roman" w:hAnsi="Times New Roman"/>
                <w:w w:val="66"/>
                <w:sz w:val="21"/>
                <w:szCs w:val="21"/>
              </w:rPr>
            </w:pPr>
            <w:r>
              <w:rPr>
                <w:rFonts w:hint="eastAsia" w:ascii="Times New Roman" w:hAnsi="Times New Roman"/>
                <w:w w:val="66"/>
                <w:sz w:val="21"/>
                <w:szCs w:val="21"/>
              </w:rPr>
              <w:t>-482.8</w:t>
            </w:r>
          </w:p>
        </w:tc>
        <w:tc>
          <w:tcPr>
            <w:tcW w:w="445" w:type="pct"/>
            <w:noWrap/>
            <w:vAlign w:val="center"/>
          </w:tcPr>
          <w:p w14:paraId="7030E2B4">
            <w:pPr>
              <w:pStyle w:val="121"/>
              <w:rPr>
                <w:rFonts w:ascii="Times New Roman" w:hAnsi="Times New Roman"/>
                <w:w w:val="66"/>
                <w:sz w:val="21"/>
                <w:szCs w:val="21"/>
              </w:rPr>
            </w:pPr>
            <w:r>
              <w:rPr>
                <w:rFonts w:hint="eastAsia" w:ascii="Times New Roman" w:hAnsi="Times New Roman"/>
                <w:w w:val="66"/>
                <w:sz w:val="21"/>
                <w:szCs w:val="21"/>
              </w:rPr>
              <w:t>6.8</w:t>
            </w:r>
          </w:p>
        </w:tc>
        <w:tc>
          <w:tcPr>
            <w:tcW w:w="458" w:type="pct"/>
            <w:noWrap/>
            <w:vAlign w:val="center"/>
          </w:tcPr>
          <w:p w14:paraId="1E760AE7">
            <w:pPr>
              <w:pStyle w:val="121"/>
              <w:rPr>
                <w:rFonts w:ascii="Times New Roman" w:hAnsi="Times New Roman"/>
                <w:w w:val="66"/>
                <w:sz w:val="21"/>
                <w:szCs w:val="21"/>
              </w:rPr>
            </w:pPr>
            <w:r>
              <w:rPr>
                <w:rFonts w:hint="eastAsia" w:ascii="Times New Roman" w:hAnsi="Times New Roman"/>
                <w:w w:val="66"/>
                <w:sz w:val="21"/>
                <w:szCs w:val="21"/>
              </w:rPr>
              <w:t>20</w:t>
            </w:r>
          </w:p>
        </w:tc>
      </w:tr>
      <w:tr w14:paraId="1B115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B840BC6">
            <w:pPr>
              <w:pStyle w:val="121"/>
              <w:rPr>
                <w:rFonts w:ascii="Times New Roman" w:hAnsi="Times New Roman"/>
                <w:w w:val="66"/>
                <w:sz w:val="21"/>
                <w:szCs w:val="21"/>
              </w:rPr>
            </w:pPr>
            <w:r>
              <w:rPr>
                <w:rFonts w:hint="eastAsia" w:ascii="Times New Roman" w:hAnsi="Times New Roman"/>
                <w:w w:val="66"/>
                <w:sz w:val="21"/>
                <w:szCs w:val="21"/>
              </w:rPr>
              <w:t>12</w:t>
            </w:r>
          </w:p>
        </w:tc>
        <w:tc>
          <w:tcPr>
            <w:tcW w:w="1809" w:type="pct"/>
            <w:noWrap/>
            <w:vAlign w:val="center"/>
          </w:tcPr>
          <w:p w14:paraId="63C46FF0">
            <w:pPr>
              <w:pStyle w:val="121"/>
              <w:rPr>
                <w:rFonts w:ascii="Times New Roman" w:hAnsi="Times New Roman"/>
                <w:w w:val="66"/>
                <w:sz w:val="21"/>
                <w:szCs w:val="21"/>
              </w:rPr>
            </w:pPr>
            <w:r>
              <w:rPr>
                <w:rFonts w:ascii="Times New Roman" w:hAnsi="Times New Roman"/>
                <w:w w:val="66"/>
                <w:sz w:val="21"/>
                <w:szCs w:val="21"/>
              </w:rPr>
              <w:t>3号采区回风天井</w:t>
            </w:r>
          </w:p>
        </w:tc>
        <w:tc>
          <w:tcPr>
            <w:tcW w:w="524" w:type="pct"/>
            <w:noWrap/>
            <w:vAlign w:val="center"/>
          </w:tcPr>
          <w:p w14:paraId="68AA3EF1">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65A62CF3">
            <w:pPr>
              <w:adjustRightInd w:val="0"/>
              <w:snapToGrid w:val="0"/>
              <w:spacing w:line="240" w:lineRule="auto"/>
              <w:ind w:firstLine="0" w:firstLineChars="0"/>
              <w:jc w:val="center"/>
              <w:rPr>
                <w:w w:val="66"/>
                <w:sz w:val="21"/>
                <w:szCs w:val="21"/>
              </w:rPr>
            </w:pPr>
            <w:r>
              <w:rPr>
                <w:w w:val="66"/>
                <w:sz w:val="21"/>
                <w:szCs w:val="21"/>
              </w:rPr>
              <w:t>0.005</w:t>
            </w:r>
          </w:p>
        </w:tc>
        <w:tc>
          <w:tcPr>
            <w:tcW w:w="474" w:type="pct"/>
            <w:noWrap/>
            <w:vAlign w:val="center"/>
          </w:tcPr>
          <w:p w14:paraId="33175BB1">
            <w:pPr>
              <w:pStyle w:val="121"/>
              <w:rPr>
                <w:rFonts w:ascii="Times New Roman" w:hAnsi="Times New Roman"/>
                <w:w w:val="66"/>
                <w:sz w:val="21"/>
                <w:szCs w:val="21"/>
              </w:rPr>
            </w:pPr>
            <w:r>
              <w:rPr>
                <w:rFonts w:hint="eastAsia" w:ascii="Times New Roman" w:hAnsi="Times New Roman"/>
                <w:w w:val="66"/>
                <w:sz w:val="21"/>
                <w:szCs w:val="21"/>
              </w:rPr>
              <w:t>10</w:t>
            </w:r>
          </w:p>
        </w:tc>
        <w:tc>
          <w:tcPr>
            <w:tcW w:w="405" w:type="pct"/>
            <w:noWrap/>
            <w:vAlign w:val="center"/>
          </w:tcPr>
          <w:p w14:paraId="222560FB">
            <w:pPr>
              <w:pStyle w:val="121"/>
              <w:rPr>
                <w:rFonts w:ascii="Times New Roman" w:hAnsi="Times New Roman"/>
                <w:w w:val="66"/>
                <w:sz w:val="21"/>
                <w:szCs w:val="21"/>
              </w:rPr>
            </w:pPr>
            <w:r>
              <w:rPr>
                <w:rFonts w:hint="eastAsia" w:ascii="Times New Roman" w:hAnsi="Times New Roman"/>
                <w:w w:val="66"/>
                <w:sz w:val="21"/>
                <w:szCs w:val="21"/>
              </w:rPr>
              <w:t>-476.2</w:t>
            </w:r>
          </w:p>
        </w:tc>
        <w:tc>
          <w:tcPr>
            <w:tcW w:w="445" w:type="pct"/>
            <w:noWrap/>
            <w:vAlign w:val="center"/>
          </w:tcPr>
          <w:p w14:paraId="0F064232">
            <w:pPr>
              <w:pStyle w:val="121"/>
              <w:rPr>
                <w:rFonts w:ascii="Times New Roman" w:hAnsi="Times New Roman"/>
                <w:w w:val="66"/>
                <w:sz w:val="21"/>
                <w:szCs w:val="21"/>
              </w:rPr>
            </w:pPr>
            <w:r>
              <w:rPr>
                <w:rFonts w:hint="eastAsia" w:ascii="Times New Roman" w:hAnsi="Times New Roman"/>
                <w:w w:val="66"/>
                <w:sz w:val="21"/>
                <w:szCs w:val="21"/>
              </w:rPr>
              <w:t>1.0</w:t>
            </w:r>
          </w:p>
        </w:tc>
        <w:tc>
          <w:tcPr>
            <w:tcW w:w="458" w:type="pct"/>
            <w:noWrap/>
            <w:vAlign w:val="center"/>
          </w:tcPr>
          <w:p w14:paraId="7E2636CD">
            <w:pPr>
              <w:pStyle w:val="121"/>
              <w:rPr>
                <w:rFonts w:ascii="Times New Roman" w:hAnsi="Times New Roman"/>
                <w:w w:val="66"/>
                <w:sz w:val="21"/>
                <w:szCs w:val="21"/>
              </w:rPr>
            </w:pPr>
            <w:r>
              <w:rPr>
                <w:rFonts w:hint="eastAsia" w:ascii="Times New Roman" w:hAnsi="Times New Roman"/>
                <w:w w:val="66"/>
                <w:sz w:val="21"/>
                <w:szCs w:val="21"/>
              </w:rPr>
              <w:t>20</w:t>
            </w:r>
          </w:p>
        </w:tc>
      </w:tr>
      <w:tr w14:paraId="6882F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25C866D">
            <w:pPr>
              <w:pStyle w:val="121"/>
              <w:rPr>
                <w:rFonts w:ascii="Times New Roman" w:hAnsi="Times New Roman"/>
                <w:w w:val="66"/>
                <w:sz w:val="21"/>
                <w:szCs w:val="21"/>
              </w:rPr>
            </w:pPr>
            <w:r>
              <w:rPr>
                <w:rFonts w:hint="eastAsia" w:ascii="Times New Roman" w:hAnsi="Times New Roman"/>
                <w:w w:val="66"/>
                <w:sz w:val="21"/>
                <w:szCs w:val="21"/>
              </w:rPr>
              <w:t>13</w:t>
            </w:r>
          </w:p>
        </w:tc>
        <w:tc>
          <w:tcPr>
            <w:tcW w:w="1809" w:type="pct"/>
            <w:noWrap/>
            <w:vAlign w:val="center"/>
          </w:tcPr>
          <w:p w14:paraId="329DC3E3">
            <w:pPr>
              <w:pStyle w:val="121"/>
              <w:rPr>
                <w:rFonts w:ascii="Times New Roman" w:hAnsi="Times New Roman"/>
                <w:w w:val="66"/>
                <w:sz w:val="21"/>
                <w:szCs w:val="21"/>
              </w:rPr>
            </w:pPr>
            <w:r>
              <w:rPr>
                <w:rFonts w:ascii="Times New Roman" w:hAnsi="Times New Roman"/>
                <w:w w:val="66"/>
                <w:sz w:val="21"/>
                <w:szCs w:val="21"/>
              </w:rPr>
              <w:t>3号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524" w:type="pct"/>
            <w:noWrap/>
            <w:vAlign w:val="center"/>
          </w:tcPr>
          <w:p w14:paraId="2308241A">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478042BE">
            <w:pPr>
              <w:adjustRightInd w:val="0"/>
              <w:snapToGrid w:val="0"/>
              <w:spacing w:line="240" w:lineRule="auto"/>
              <w:ind w:firstLine="0" w:firstLineChars="0"/>
              <w:jc w:val="center"/>
              <w:rPr>
                <w:w w:val="66"/>
                <w:sz w:val="21"/>
                <w:szCs w:val="21"/>
              </w:rPr>
            </w:pPr>
            <w:r>
              <w:rPr>
                <w:w w:val="66"/>
                <w:sz w:val="21"/>
                <w:szCs w:val="21"/>
              </w:rPr>
              <w:t>0.005</w:t>
            </w:r>
          </w:p>
        </w:tc>
        <w:tc>
          <w:tcPr>
            <w:tcW w:w="474" w:type="pct"/>
            <w:noWrap/>
            <w:vAlign w:val="center"/>
          </w:tcPr>
          <w:p w14:paraId="1E8D44D9">
            <w:pPr>
              <w:pStyle w:val="121"/>
              <w:rPr>
                <w:rFonts w:ascii="Times New Roman" w:hAnsi="Times New Roman"/>
                <w:w w:val="66"/>
                <w:sz w:val="21"/>
                <w:szCs w:val="21"/>
              </w:rPr>
            </w:pPr>
            <w:r>
              <w:rPr>
                <w:rFonts w:hint="eastAsia" w:ascii="Times New Roman" w:hAnsi="Times New Roman"/>
                <w:w w:val="66"/>
                <w:sz w:val="21"/>
                <w:szCs w:val="21"/>
              </w:rPr>
              <w:t>111.6</w:t>
            </w:r>
          </w:p>
        </w:tc>
        <w:tc>
          <w:tcPr>
            <w:tcW w:w="405" w:type="pct"/>
            <w:noWrap/>
            <w:vAlign w:val="center"/>
          </w:tcPr>
          <w:p w14:paraId="2C96F9CC">
            <w:pPr>
              <w:pStyle w:val="121"/>
              <w:rPr>
                <w:rFonts w:ascii="Times New Roman" w:hAnsi="Times New Roman"/>
                <w:w w:val="66"/>
                <w:sz w:val="21"/>
                <w:szCs w:val="21"/>
              </w:rPr>
            </w:pPr>
            <w:r>
              <w:rPr>
                <w:rFonts w:hint="eastAsia" w:ascii="Times New Roman" w:hAnsi="Times New Roman"/>
                <w:w w:val="66"/>
                <w:sz w:val="21"/>
                <w:szCs w:val="21"/>
              </w:rPr>
              <w:t>-506.6</w:t>
            </w:r>
          </w:p>
        </w:tc>
        <w:tc>
          <w:tcPr>
            <w:tcW w:w="445" w:type="pct"/>
            <w:noWrap/>
            <w:vAlign w:val="center"/>
          </w:tcPr>
          <w:p w14:paraId="36F9CD18">
            <w:pPr>
              <w:pStyle w:val="121"/>
              <w:rPr>
                <w:rFonts w:ascii="Times New Roman" w:hAnsi="Times New Roman"/>
                <w:w w:val="66"/>
                <w:sz w:val="21"/>
                <w:szCs w:val="21"/>
              </w:rPr>
            </w:pPr>
            <w:r>
              <w:rPr>
                <w:rFonts w:hint="eastAsia" w:ascii="Times New Roman" w:hAnsi="Times New Roman"/>
                <w:w w:val="66"/>
                <w:sz w:val="21"/>
                <w:szCs w:val="21"/>
              </w:rPr>
              <w:t>11.6</w:t>
            </w:r>
          </w:p>
        </w:tc>
        <w:tc>
          <w:tcPr>
            <w:tcW w:w="458" w:type="pct"/>
            <w:noWrap/>
            <w:vAlign w:val="center"/>
          </w:tcPr>
          <w:p w14:paraId="283DDE39">
            <w:pPr>
              <w:pStyle w:val="121"/>
              <w:rPr>
                <w:rFonts w:ascii="Times New Roman" w:hAnsi="Times New Roman"/>
                <w:w w:val="66"/>
                <w:sz w:val="21"/>
                <w:szCs w:val="21"/>
              </w:rPr>
            </w:pPr>
            <w:r>
              <w:rPr>
                <w:rFonts w:hint="eastAsia" w:ascii="Times New Roman" w:hAnsi="Times New Roman"/>
                <w:w w:val="66"/>
                <w:sz w:val="21"/>
                <w:szCs w:val="21"/>
              </w:rPr>
              <w:t>20</w:t>
            </w:r>
          </w:p>
        </w:tc>
      </w:tr>
      <w:tr w14:paraId="0F35F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316729E">
            <w:pPr>
              <w:pStyle w:val="121"/>
              <w:rPr>
                <w:rFonts w:ascii="Times New Roman" w:hAnsi="Times New Roman"/>
                <w:w w:val="66"/>
                <w:sz w:val="21"/>
                <w:szCs w:val="21"/>
              </w:rPr>
            </w:pPr>
            <w:r>
              <w:rPr>
                <w:rFonts w:hint="eastAsia" w:ascii="Times New Roman" w:hAnsi="Times New Roman"/>
                <w:w w:val="66"/>
                <w:sz w:val="21"/>
                <w:szCs w:val="21"/>
              </w:rPr>
              <w:t>14</w:t>
            </w:r>
          </w:p>
        </w:tc>
        <w:tc>
          <w:tcPr>
            <w:tcW w:w="1809" w:type="pct"/>
            <w:noWrap/>
            <w:vAlign w:val="center"/>
          </w:tcPr>
          <w:p w14:paraId="0F37C94E">
            <w:pPr>
              <w:pStyle w:val="121"/>
              <w:rPr>
                <w:rFonts w:ascii="Times New Roman" w:hAnsi="Times New Roman"/>
                <w:w w:val="66"/>
                <w:sz w:val="21"/>
                <w:szCs w:val="21"/>
              </w:rPr>
            </w:pPr>
            <w:r>
              <w:rPr>
                <w:rFonts w:ascii="Times New Roman" w:hAnsi="Times New Roman"/>
                <w:w w:val="66"/>
                <w:sz w:val="21"/>
                <w:szCs w:val="21"/>
              </w:rPr>
              <w:t>4号采区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524" w:type="pct"/>
            <w:noWrap/>
            <w:vAlign w:val="center"/>
          </w:tcPr>
          <w:p w14:paraId="2AC39E0D">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568" w:type="pct"/>
            <w:noWrap/>
            <w:vAlign w:val="center"/>
          </w:tcPr>
          <w:p w14:paraId="7EC06141">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355FF798">
            <w:pPr>
              <w:pStyle w:val="121"/>
              <w:rPr>
                <w:rFonts w:ascii="Times New Roman" w:hAnsi="Times New Roman"/>
                <w:w w:val="66"/>
                <w:sz w:val="21"/>
                <w:szCs w:val="21"/>
              </w:rPr>
            </w:pPr>
            <w:r>
              <w:rPr>
                <w:rFonts w:hint="eastAsia" w:ascii="Times New Roman" w:hAnsi="Times New Roman"/>
                <w:w w:val="66"/>
                <w:sz w:val="21"/>
                <w:szCs w:val="21"/>
              </w:rPr>
              <w:t>20</w:t>
            </w:r>
          </w:p>
        </w:tc>
        <w:tc>
          <w:tcPr>
            <w:tcW w:w="405" w:type="pct"/>
            <w:noWrap/>
            <w:vAlign w:val="center"/>
          </w:tcPr>
          <w:p w14:paraId="3DAA5B29">
            <w:pPr>
              <w:pStyle w:val="121"/>
              <w:rPr>
                <w:rFonts w:ascii="Times New Roman" w:hAnsi="Times New Roman"/>
                <w:w w:val="66"/>
                <w:sz w:val="21"/>
                <w:szCs w:val="21"/>
              </w:rPr>
            </w:pPr>
            <w:r>
              <w:rPr>
                <w:rFonts w:hint="eastAsia" w:ascii="Times New Roman" w:hAnsi="Times New Roman"/>
                <w:w w:val="66"/>
                <w:sz w:val="21"/>
                <w:szCs w:val="21"/>
              </w:rPr>
              <w:t>-473.4</w:t>
            </w:r>
          </w:p>
        </w:tc>
        <w:tc>
          <w:tcPr>
            <w:tcW w:w="445" w:type="pct"/>
            <w:noWrap/>
            <w:vAlign w:val="center"/>
          </w:tcPr>
          <w:p w14:paraId="4B77FEAC">
            <w:pPr>
              <w:pStyle w:val="121"/>
              <w:rPr>
                <w:rFonts w:ascii="Times New Roman" w:hAnsi="Times New Roman"/>
                <w:w w:val="66"/>
                <w:sz w:val="21"/>
                <w:szCs w:val="21"/>
              </w:rPr>
            </w:pPr>
            <w:r>
              <w:rPr>
                <w:rFonts w:hint="eastAsia" w:ascii="Times New Roman" w:hAnsi="Times New Roman"/>
                <w:w w:val="66"/>
                <w:sz w:val="21"/>
                <w:szCs w:val="21"/>
              </w:rPr>
              <w:t>2.1</w:t>
            </w:r>
          </w:p>
        </w:tc>
        <w:tc>
          <w:tcPr>
            <w:tcW w:w="458" w:type="pct"/>
            <w:noWrap/>
            <w:vAlign w:val="center"/>
          </w:tcPr>
          <w:p w14:paraId="5571F0F6">
            <w:pPr>
              <w:pStyle w:val="121"/>
              <w:rPr>
                <w:rFonts w:ascii="Times New Roman" w:hAnsi="Times New Roman"/>
                <w:w w:val="66"/>
                <w:sz w:val="21"/>
                <w:szCs w:val="21"/>
              </w:rPr>
            </w:pPr>
            <w:r>
              <w:rPr>
                <w:rFonts w:hint="eastAsia" w:ascii="Times New Roman" w:hAnsi="Times New Roman"/>
                <w:w w:val="66"/>
                <w:sz w:val="21"/>
                <w:szCs w:val="21"/>
              </w:rPr>
              <w:t>20</w:t>
            </w:r>
          </w:p>
        </w:tc>
      </w:tr>
      <w:tr w14:paraId="71E27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5496785">
            <w:pPr>
              <w:pStyle w:val="121"/>
              <w:rPr>
                <w:rFonts w:ascii="Times New Roman" w:hAnsi="Times New Roman"/>
                <w:w w:val="66"/>
                <w:sz w:val="21"/>
                <w:szCs w:val="21"/>
              </w:rPr>
            </w:pPr>
            <w:r>
              <w:rPr>
                <w:rFonts w:hint="eastAsia" w:ascii="Times New Roman" w:hAnsi="Times New Roman"/>
                <w:w w:val="66"/>
                <w:sz w:val="21"/>
                <w:szCs w:val="21"/>
              </w:rPr>
              <w:t>15</w:t>
            </w:r>
          </w:p>
        </w:tc>
        <w:tc>
          <w:tcPr>
            <w:tcW w:w="1809" w:type="pct"/>
            <w:noWrap/>
            <w:vAlign w:val="center"/>
          </w:tcPr>
          <w:p w14:paraId="0C151004">
            <w:pPr>
              <w:pStyle w:val="121"/>
              <w:rPr>
                <w:rFonts w:ascii="Times New Roman" w:hAnsi="Times New Roman"/>
                <w:w w:val="66"/>
                <w:sz w:val="21"/>
                <w:szCs w:val="21"/>
              </w:rPr>
            </w:pPr>
            <w:r>
              <w:rPr>
                <w:rFonts w:ascii="Times New Roman" w:hAnsi="Times New Roman"/>
                <w:w w:val="66"/>
                <w:sz w:val="21"/>
                <w:szCs w:val="21"/>
              </w:rPr>
              <w:t>4号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524" w:type="pct"/>
            <w:noWrap/>
            <w:vAlign w:val="center"/>
          </w:tcPr>
          <w:p w14:paraId="6516408F">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568" w:type="pct"/>
            <w:noWrap/>
            <w:vAlign w:val="center"/>
          </w:tcPr>
          <w:p w14:paraId="198D9A4C">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68651DEA">
            <w:pPr>
              <w:pStyle w:val="121"/>
              <w:rPr>
                <w:rFonts w:ascii="Times New Roman" w:hAnsi="Times New Roman"/>
                <w:w w:val="66"/>
                <w:sz w:val="21"/>
                <w:szCs w:val="21"/>
              </w:rPr>
            </w:pPr>
            <w:r>
              <w:rPr>
                <w:rFonts w:hint="eastAsia" w:ascii="Times New Roman" w:hAnsi="Times New Roman"/>
                <w:w w:val="66"/>
                <w:sz w:val="21"/>
                <w:szCs w:val="21"/>
              </w:rPr>
              <w:t>104.1</w:t>
            </w:r>
          </w:p>
        </w:tc>
        <w:tc>
          <w:tcPr>
            <w:tcW w:w="405" w:type="pct"/>
            <w:noWrap/>
            <w:vAlign w:val="center"/>
          </w:tcPr>
          <w:p w14:paraId="0A397EB7">
            <w:pPr>
              <w:pStyle w:val="121"/>
              <w:rPr>
                <w:rFonts w:ascii="Times New Roman" w:hAnsi="Times New Roman"/>
                <w:w w:val="66"/>
                <w:sz w:val="21"/>
                <w:szCs w:val="21"/>
              </w:rPr>
            </w:pPr>
            <w:r>
              <w:rPr>
                <w:rFonts w:hint="eastAsia" w:ascii="Times New Roman" w:hAnsi="Times New Roman"/>
                <w:w w:val="66"/>
                <w:sz w:val="21"/>
                <w:szCs w:val="21"/>
              </w:rPr>
              <w:t>-501.4</w:t>
            </w:r>
          </w:p>
        </w:tc>
        <w:tc>
          <w:tcPr>
            <w:tcW w:w="445" w:type="pct"/>
            <w:noWrap/>
            <w:vAlign w:val="center"/>
          </w:tcPr>
          <w:p w14:paraId="5ABEEAC0">
            <w:pPr>
              <w:pStyle w:val="121"/>
              <w:rPr>
                <w:rFonts w:ascii="Times New Roman" w:hAnsi="Times New Roman"/>
                <w:w w:val="66"/>
                <w:sz w:val="21"/>
                <w:szCs w:val="21"/>
              </w:rPr>
            </w:pPr>
            <w:r>
              <w:rPr>
                <w:rFonts w:hint="eastAsia" w:ascii="Times New Roman" w:hAnsi="Times New Roman"/>
                <w:w w:val="66"/>
                <w:sz w:val="21"/>
                <w:szCs w:val="21"/>
              </w:rPr>
              <w:t>10.8</w:t>
            </w:r>
          </w:p>
        </w:tc>
        <w:tc>
          <w:tcPr>
            <w:tcW w:w="458" w:type="pct"/>
            <w:noWrap/>
            <w:vAlign w:val="center"/>
          </w:tcPr>
          <w:p w14:paraId="6940B166">
            <w:pPr>
              <w:pStyle w:val="121"/>
              <w:rPr>
                <w:rFonts w:ascii="Times New Roman" w:hAnsi="Times New Roman"/>
                <w:w w:val="66"/>
                <w:sz w:val="21"/>
                <w:szCs w:val="21"/>
              </w:rPr>
            </w:pPr>
            <w:r>
              <w:rPr>
                <w:rFonts w:hint="eastAsia" w:ascii="Times New Roman" w:hAnsi="Times New Roman"/>
                <w:w w:val="66"/>
                <w:sz w:val="21"/>
                <w:szCs w:val="21"/>
              </w:rPr>
              <w:t>20</w:t>
            </w:r>
          </w:p>
        </w:tc>
      </w:tr>
      <w:tr w14:paraId="31F1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7922E5D">
            <w:pPr>
              <w:pStyle w:val="121"/>
              <w:rPr>
                <w:rFonts w:ascii="Times New Roman" w:hAnsi="Times New Roman"/>
                <w:w w:val="66"/>
                <w:sz w:val="21"/>
                <w:szCs w:val="21"/>
              </w:rPr>
            </w:pPr>
            <w:r>
              <w:rPr>
                <w:rFonts w:hint="eastAsia" w:ascii="Times New Roman" w:hAnsi="Times New Roman"/>
                <w:w w:val="66"/>
                <w:sz w:val="21"/>
                <w:szCs w:val="21"/>
              </w:rPr>
              <w:t>16</w:t>
            </w:r>
          </w:p>
        </w:tc>
        <w:tc>
          <w:tcPr>
            <w:tcW w:w="1809" w:type="pct"/>
            <w:noWrap/>
            <w:vAlign w:val="center"/>
          </w:tcPr>
          <w:p w14:paraId="5E097655">
            <w:pPr>
              <w:pStyle w:val="121"/>
              <w:rPr>
                <w:rFonts w:ascii="Times New Roman" w:hAnsi="Times New Roman"/>
                <w:w w:val="66"/>
                <w:sz w:val="21"/>
                <w:szCs w:val="21"/>
              </w:rPr>
            </w:pPr>
            <w:r>
              <w:rPr>
                <w:rFonts w:ascii="Times New Roman" w:hAnsi="Times New Roman"/>
                <w:w w:val="66"/>
                <w:sz w:val="21"/>
                <w:szCs w:val="21"/>
              </w:rPr>
              <w:t>5号采区回风天井</w:t>
            </w:r>
          </w:p>
        </w:tc>
        <w:tc>
          <w:tcPr>
            <w:tcW w:w="524" w:type="pct"/>
            <w:noWrap/>
            <w:vAlign w:val="center"/>
          </w:tcPr>
          <w:p w14:paraId="1CC7970F">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46868E91">
            <w:pPr>
              <w:adjustRightInd w:val="0"/>
              <w:snapToGrid w:val="0"/>
              <w:spacing w:line="240" w:lineRule="auto"/>
              <w:ind w:firstLine="0" w:firstLineChars="0"/>
              <w:jc w:val="center"/>
              <w:rPr>
                <w:w w:val="66"/>
                <w:sz w:val="21"/>
                <w:szCs w:val="21"/>
              </w:rPr>
            </w:pPr>
            <w:r>
              <w:rPr>
                <w:w w:val="66"/>
                <w:sz w:val="21"/>
                <w:szCs w:val="21"/>
              </w:rPr>
              <w:t>0.005</w:t>
            </w:r>
          </w:p>
        </w:tc>
        <w:tc>
          <w:tcPr>
            <w:tcW w:w="474" w:type="pct"/>
            <w:noWrap/>
            <w:vAlign w:val="center"/>
          </w:tcPr>
          <w:p w14:paraId="331833BB">
            <w:pPr>
              <w:pStyle w:val="121"/>
              <w:rPr>
                <w:rFonts w:ascii="Times New Roman" w:hAnsi="Times New Roman"/>
                <w:w w:val="66"/>
                <w:sz w:val="21"/>
                <w:szCs w:val="21"/>
              </w:rPr>
            </w:pPr>
            <w:r>
              <w:rPr>
                <w:rFonts w:hint="eastAsia" w:ascii="Times New Roman" w:hAnsi="Times New Roman"/>
                <w:w w:val="66"/>
                <w:sz w:val="21"/>
                <w:szCs w:val="21"/>
              </w:rPr>
              <w:t>20</w:t>
            </w:r>
          </w:p>
        </w:tc>
        <w:tc>
          <w:tcPr>
            <w:tcW w:w="405" w:type="pct"/>
            <w:noWrap/>
            <w:vAlign w:val="center"/>
          </w:tcPr>
          <w:p w14:paraId="42856BB8">
            <w:pPr>
              <w:pStyle w:val="121"/>
              <w:rPr>
                <w:rFonts w:ascii="Times New Roman" w:hAnsi="Times New Roman"/>
                <w:w w:val="66"/>
                <w:sz w:val="21"/>
                <w:szCs w:val="21"/>
              </w:rPr>
            </w:pPr>
            <w:r>
              <w:rPr>
                <w:rFonts w:hint="eastAsia" w:ascii="Times New Roman" w:hAnsi="Times New Roman"/>
                <w:w w:val="66"/>
                <w:sz w:val="21"/>
                <w:szCs w:val="21"/>
              </w:rPr>
              <w:t>-474.3</w:t>
            </w:r>
          </w:p>
        </w:tc>
        <w:tc>
          <w:tcPr>
            <w:tcW w:w="445" w:type="pct"/>
            <w:noWrap/>
            <w:vAlign w:val="center"/>
          </w:tcPr>
          <w:p w14:paraId="13824312">
            <w:pPr>
              <w:pStyle w:val="121"/>
              <w:rPr>
                <w:rFonts w:ascii="Times New Roman" w:hAnsi="Times New Roman"/>
                <w:w w:val="66"/>
                <w:sz w:val="21"/>
                <w:szCs w:val="21"/>
              </w:rPr>
            </w:pPr>
            <w:r>
              <w:rPr>
                <w:rFonts w:hint="eastAsia" w:ascii="Times New Roman" w:hAnsi="Times New Roman"/>
                <w:w w:val="66"/>
                <w:sz w:val="21"/>
                <w:szCs w:val="21"/>
              </w:rPr>
              <w:t>2.1</w:t>
            </w:r>
          </w:p>
        </w:tc>
        <w:tc>
          <w:tcPr>
            <w:tcW w:w="458" w:type="pct"/>
            <w:noWrap/>
            <w:vAlign w:val="center"/>
          </w:tcPr>
          <w:p w14:paraId="0753B91F">
            <w:pPr>
              <w:pStyle w:val="121"/>
              <w:rPr>
                <w:rFonts w:ascii="Times New Roman" w:hAnsi="Times New Roman"/>
                <w:w w:val="66"/>
                <w:sz w:val="21"/>
                <w:szCs w:val="21"/>
              </w:rPr>
            </w:pPr>
            <w:r>
              <w:rPr>
                <w:rFonts w:hint="eastAsia" w:ascii="Times New Roman" w:hAnsi="Times New Roman"/>
                <w:w w:val="66"/>
                <w:sz w:val="21"/>
                <w:szCs w:val="21"/>
              </w:rPr>
              <w:t>20</w:t>
            </w:r>
          </w:p>
        </w:tc>
      </w:tr>
      <w:tr w14:paraId="217DA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CCE66B4">
            <w:pPr>
              <w:pStyle w:val="121"/>
              <w:rPr>
                <w:rFonts w:ascii="Times New Roman" w:hAnsi="Times New Roman"/>
                <w:w w:val="66"/>
                <w:sz w:val="21"/>
                <w:szCs w:val="21"/>
              </w:rPr>
            </w:pPr>
            <w:r>
              <w:rPr>
                <w:rFonts w:hint="eastAsia" w:ascii="Times New Roman" w:hAnsi="Times New Roman"/>
                <w:w w:val="66"/>
                <w:sz w:val="21"/>
                <w:szCs w:val="21"/>
              </w:rPr>
              <w:t>17</w:t>
            </w:r>
          </w:p>
        </w:tc>
        <w:tc>
          <w:tcPr>
            <w:tcW w:w="1809" w:type="pct"/>
            <w:noWrap/>
            <w:vAlign w:val="center"/>
          </w:tcPr>
          <w:p w14:paraId="3546C223">
            <w:pPr>
              <w:pStyle w:val="121"/>
              <w:rPr>
                <w:rFonts w:ascii="Times New Roman" w:hAnsi="Times New Roman"/>
                <w:w w:val="66"/>
                <w:sz w:val="21"/>
                <w:szCs w:val="21"/>
              </w:rPr>
            </w:pPr>
            <w:r>
              <w:rPr>
                <w:rFonts w:ascii="Times New Roman" w:hAnsi="Times New Roman"/>
                <w:w w:val="66"/>
                <w:sz w:val="21"/>
                <w:szCs w:val="21"/>
              </w:rPr>
              <w:t>5号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524" w:type="pct"/>
            <w:noWrap/>
            <w:vAlign w:val="center"/>
          </w:tcPr>
          <w:p w14:paraId="6CA34A92">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31F98A8D">
            <w:pPr>
              <w:adjustRightInd w:val="0"/>
              <w:snapToGrid w:val="0"/>
              <w:spacing w:line="240" w:lineRule="auto"/>
              <w:ind w:firstLine="0" w:firstLineChars="0"/>
              <w:jc w:val="center"/>
              <w:rPr>
                <w:w w:val="66"/>
                <w:sz w:val="21"/>
                <w:szCs w:val="21"/>
              </w:rPr>
            </w:pPr>
            <w:r>
              <w:rPr>
                <w:w w:val="66"/>
                <w:sz w:val="21"/>
                <w:szCs w:val="21"/>
              </w:rPr>
              <w:t>0.005</w:t>
            </w:r>
          </w:p>
        </w:tc>
        <w:tc>
          <w:tcPr>
            <w:tcW w:w="474" w:type="pct"/>
            <w:noWrap/>
            <w:vAlign w:val="center"/>
          </w:tcPr>
          <w:p w14:paraId="4D450A1B">
            <w:pPr>
              <w:pStyle w:val="121"/>
              <w:rPr>
                <w:rFonts w:ascii="Times New Roman" w:hAnsi="Times New Roman"/>
                <w:w w:val="66"/>
                <w:sz w:val="21"/>
                <w:szCs w:val="21"/>
              </w:rPr>
            </w:pPr>
            <w:r>
              <w:rPr>
                <w:rFonts w:hint="eastAsia" w:ascii="Times New Roman" w:hAnsi="Times New Roman"/>
                <w:w w:val="66"/>
                <w:sz w:val="21"/>
                <w:szCs w:val="21"/>
              </w:rPr>
              <w:t>114.8</w:t>
            </w:r>
          </w:p>
        </w:tc>
        <w:tc>
          <w:tcPr>
            <w:tcW w:w="405" w:type="pct"/>
            <w:noWrap/>
            <w:vAlign w:val="center"/>
          </w:tcPr>
          <w:p w14:paraId="6CA18134">
            <w:pPr>
              <w:pStyle w:val="121"/>
              <w:rPr>
                <w:rFonts w:ascii="Times New Roman" w:hAnsi="Times New Roman"/>
                <w:w w:val="66"/>
                <w:sz w:val="21"/>
                <w:szCs w:val="21"/>
              </w:rPr>
            </w:pPr>
            <w:r>
              <w:rPr>
                <w:rFonts w:hint="eastAsia" w:ascii="Times New Roman" w:hAnsi="Times New Roman"/>
                <w:w w:val="66"/>
                <w:sz w:val="21"/>
                <w:szCs w:val="21"/>
              </w:rPr>
              <w:t>-507.1</w:t>
            </w:r>
          </w:p>
        </w:tc>
        <w:tc>
          <w:tcPr>
            <w:tcW w:w="445" w:type="pct"/>
            <w:noWrap/>
            <w:vAlign w:val="center"/>
          </w:tcPr>
          <w:p w14:paraId="0AE6881A">
            <w:pPr>
              <w:pStyle w:val="121"/>
              <w:rPr>
                <w:rFonts w:ascii="Times New Roman" w:hAnsi="Times New Roman"/>
                <w:w w:val="66"/>
                <w:sz w:val="21"/>
                <w:szCs w:val="21"/>
              </w:rPr>
            </w:pPr>
            <w:r>
              <w:rPr>
                <w:rFonts w:hint="eastAsia" w:ascii="Times New Roman" w:hAnsi="Times New Roman"/>
                <w:w w:val="66"/>
                <w:sz w:val="21"/>
                <w:szCs w:val="21"/>
              </w:rPr>
              <w:t>11.9</w:t>
            </w:r>
          </w:p>
        </w:tc>
        <w:tc>
          <w:tcPr>
            <w:tcW w:w="458" w:type="pct"/>
            <w:noWrap/>
            <w:vAlign w:val="center"/>
          </w:tcPr>
          <w:p w14:paraId="4900099D">
            <w:pPr>
              <w:pStyle w:val="121"/>
              <w:rPr>
                <w:rFonts w:ascii="Times New Roman" w:hAnsi="Times New Roman"/>
                <w:w w:val="66"/>
                <w:sz w:val="21"/>
                <w:szCs w:val="21"/>
              </w:rPr>
            </w:pPr>
            <w:r>
              <w:rPr>
                <w:rFonts w:hint="eastAsia" w:ascii="Times New Roman" w:hAnsi="Times New Roman"/>
                <w:w w:val="66"/>
                <w:sz w:val="21"/>
                <w:szCs w:val="21"/>
              </w:rPr>
              <w:t>20</w:t>
            </w:r>
          </w:p>
        </w:tc>
      </w:tr>
      <w:tr w14:paraId="60507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B7F7D7C">
            <w:pPr>
              <w:pStyle w:val="121"/>
              <w:rPr>
                <w:rFonts w:ascii="Times New Roman" w:hAnsi="Times New Roman"/>
                <w:w w:val="66"/>
                <w:sz w:val="21"/>
                <w:szCs w:val="21"/>
              </w:rPr>
            </w:pPr>
            <w:r>
              <w:rPr>
                <w:rFonts w:hint="eastAsia" w:ascii="Times New Roman" w:hAnsi="Times New Roman"/>
                <w:w w:val="66"/>
                <w:sz w:val="21"/>
                <w:szCs w:val="21"/>
              </w:rPr>
              <w:t>18</w:t>
            </w:r>
          </w:p>
        </w:tc>
        <w:tc>
          <w:tcPr>
            <w:tcW w:w="1809" w:type="pct"/>
            <w:noWrap/>
            <w:vAlign w:val="center"/>
          </w:tcPr>
          <w:p w14:paraId="14FDF7BC">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号采区回风天井</w:t>
            </w:r>
          </w:p>
        </w:tc>
        <w:tc>
          <w:tcPr>
            <w:tcW w:w="524" w:type="pct"/>
            <w:noWrap/>
            <w:vAlign w:val="center"/>
          </w:tcPr>
          <w:p w14:paraId="4DC870A3">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1C592F97">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24836D2D">
            <w:pPr>
              <w:pStyle w:val="121"/>
              <w:rPr>
                <w:rFonts w:ascii="Times New Roman" w:hAnsi="Times New Roman"/>
                <w:w w:val="66"/>
                <w:sz w:val="21"/>
                <w:szCs w:val="21"/>
              </w:rPr>
            </w:pPr>
            <w:r>
              <w:rPr>
                <w:rFonts w:hint="eastAsia" w:ascii="Times New Roman" w:hAnsi="Times New Roman"/>
                <w:w w:val="66"/>
                <w:sz w:val="21"/>
                <w:szCs w:val="21"/>
              </w:rPr>
              <w:t>10</w:t>
            </w:r>
          </w:p>
        </w:tc>
        <w:tc>
          <w:tcPr>
            <w:tcW w:w="405" w:type="pct"/>
            <w:noWrap/>
            <w:vAlign w:val="center"/>
          </w:tcPr>
          <w:p w14:paraId="61002F76">
            <w:pPr>
              <w:pStyle w:val="121"/>
              <w:rPr>
                <w:rFonts w:ascii="Times New Roman" w:hAnsi="Times New Roman"/>
                <w:w w:val="66"/>
                <w:sz w:val="21"/>
                <w:szCs w:val="21"/>
              </w:rPr>
            </w:pPr>
            <w:r>
              <w:rPr>
                <w:rFonts w:hint="eastAsia" w:ascii="Times New Roman" w:hAnsi="Times New Roman"/>
                <w:w w:val="66"/>
                <w:sz w:val="21"/>
                <w:szCs w:val="21"/>
              </w:rPr>
              <w:t>-477.3</w:t>
            </w:r>
          </w:p>
        </w:tc>
        <w:tc>
          <w:tcPr>
            <w:tcW w:w="445" w:type="pct"/>
            <w:noWrap/>
            <w:vAlign w:val="center"/>
          </w:tcPr>
          <w:p w14:paraId="5F29B315">
            <w:pPr>
              <w:pStyle w:val="121"/>
              <w:rPr>
                <w:rFonts w:ascii="Times New Roman" w:hAnsi="Times New Roman"/>
                <w:w w:val="66"/>
                <w:sz w:val="21"/>
                <w:szCs w:val="21"/>
              </w:rPr>
            </w:pPr>
            <w:r>
              <w:rPr>
                <w:rFonts w:hint="eastAsia" w:ascii="Times New Roman" w:hAnsi="Times New Roman"/>
                <w:w w:val="66"/>
                <w:sz w:val="21"/>
                <w:szCs w:val="21"/>
              </w:rPr>
              <w:t>1.0</w:t>
            </w:r>
          </w:p>
        </w:tc>
        <w:tc>
          <w:tcPr>
            <w:tcW w:w="458" w:type="pct"/>
            <w:noWrap/>
            <w:vAlign w:val="center"/>
          </w:tcPr>
          <w:p w14:paraId="5DC81813">
            <w:pPr>
              <w:pStyle w:val="121"/>
              <w:rPr>
                <w:rFonts w:ascii="Times New Roman" w:hAnsi="Times New Roman"/>
                <w:w w:val="66"/>
                <w:sz w:val="21"/>
                <w:szCs w:val="21"/>
              </w:rPr>
            </w:pPr>
            <w:r>
              <w:rPr>
                <w:rFonts w:hint="eastAsia" w:ascii="Times New Roman" w:hAnsi="Times New Roman"/>
                <w:w w:val="66"/>
                <w:sz w:val="21"/>
                <w:szCs w:val="21"/>
              </w:rPr>
              <w:t>20</w:t>
            </w:r>
          </w:p>
        </w:tc>
      </w:tr>
      <w:tr w14:paraId="28093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AD36D67">
            <w:pPr>
              <w:pStyle w:val="121"/>
              <w:rPr>
                <w:rFonts w:ascii="Times New Roman" w:hAnsi="Times New Roman"/>
                <w:w w:val="66"/>
                <w:sz w:val="21"/>
                <w:szCs w:val="21"/>
              </w:rPr>
            </w:pPr>
            <w:r>
              <w:rPr>
                <w:rFonts w:hint="eastAsia" w:ascii="Times New Roman" w:hAnsi="Times New Roman"/>
                <w:w w:val="66"/>
                <w:sz w:val="21"/>
                <w:szCs w:val="21"/>
              </w:rPr>
              <w:t>19</w:t>
            </w:r>
          </w:p>
        </w:tc>
        <w:tc>
          <w:tcPr>
            <w:tcW w:w="1809" w:type="pct"/>
            <w:noWrap/>
            <w:vAlign w:val="center"/>
          </w:tcPr>
          <w:p w14:paraId="6C18BB97">
            <w:pPr>
              <w:pStyle w:val="121"/>
              <w:rPr>
                <w:rFonts w:ascii="Times New Roman" w:hAnsi="Times New Roman"/>
                <w:w w:val="66"/>
                <w:sz w:val="21"/>
                <w:szCs w:val="21"/>
              </w:rPr>
            </w:pPr>
            <w:r>
              <w:rPr>
                <w:rFonts w:hint="eastAsia" w:ascii="Times New Roman" w:hAnsi="Times New Roman"/>
                <w:w w:val="66"/>
                <w:sz w:val="21"/>
                <w:szCs w:val="21"/>
              </w:rPr>
              <w:t>6</w:t>
            </w:r>
            <w:r>
              <w:rPr>
                <w:rFonts w:ascii="Times New Roman" w:hAnsi="Times New Roman"/>
                <w:w w:val="66"/>
                <w:sz w:val="21"/>
                <w:szCs w:val="21"/>
              </w:rPr>
              <w:t>号</w:t>
            </w:r>
            <w:r>
              <w:rPr>
                <w:rFonts w:hint="eastAsia" w:ascii="Times New Roman" w:hAnsi="Times New Roman"/>
                <w:w w:val="66"/>
                <w:sz w:val="21"/>
                <w:szCs w:val="21"/>
              </w:rPr>
              <w:t>倒段</w:t>
            </w:r>
            <w:r>
              <w:rPr>
                <w:rFonts w:ascii="Times New Roman" w:hAnsi="Times New Roman"/>
                <w:w w:val="66"/>
                <w:sz w:val="21"/>
                <w:szCs w:val="21"/>
              </w:rPr>
              <w:t>采区回风天井</w:t>
            </w:r>
          </w:p>
        </w:tc>
        <w:tc>
          <w:tcPr>
            <w:tcW w:w="524" w:type="pct"/>
            <w:noWrap/>
            <w:vAlign w:val="center"/>
          </w:tcPr>
          <w:p w14:paraId="67B97D42">
            <w:pPr>
              <w:adjustRightInd w:val="0"/>
              <w:snapToGrid w:val="0"/>
              <w:spacing w:line="240" w:lineRule="auto"/>
              <w:ind w:firstLine="0" w:firstLineChars="0"/>
              <w:jc w:val="center"/>
              <w:rPr>
                <w:w w:val="66"/>
                <w:sz w:val="21"/>
                <w:szCs w:val="21"/>
              </w:rPr>
            </w:pPr>
            <w:r>
              <w:rPr>
                <w:rFonts w:hint="eastAsia"/>
                <w:w w:val="66"/>
                <w:sz w:val="21"/>
                <w:szCs w:val="21"/>
              </w:rPr>
              <w:t>9.62</w:t>
            </w:r>
          </w:p>
        </w:tc>
        <w:tc>
          <w:tcPr>
            <w:tcW w:w="568" w:type="pct"/>
            <w:noWrap/>
            <w:vAlign w:val="center"/>
          </w:tcPr>
          <w:p w14:paraId="7D484DF5">
            <w:pPr>
              <w:pStyle w:val="121"/>
              <w:rPr>
                <w:rFonts w:ascii="Times New Roman" w:hAnsi="Times New Roman"/>
                <w:w w:val="66"/>
                <w:sz w:val="21"/>
                <w:szCs w:val="21"/>
              </w:rPr>
            </w:pPr>
            <w:r>
              <w:rPr>
                <w:rFonts w:ascii="Times New Roman" w:hAnsi="Times New Roman"/>
                <w:w w:val="66"/>
                <w:sz w:val="21"/>
                <w:szCs w:val="21"/>
              </w:rPr>
              <w:t>0.005</w:t>
            </w:r>
          </w:p>
        </w:tc>
        <w:tc>
          <w:tcPr>
            <w:tcW w:w="474" w:type="pct"/>
            <w:noWrap/>
            <w:vAlign w:val="center"/>
          </w:tcPr>
          <w:p w14:paraId="59E3A8C9">
            <w:pPr>
              <w:pStyle w:val="121"/>
              <w:rPr>
                <w:rFonts w:ascii="Times New Roman" w:hAnsi="Times New Roman"/>
                <w:w w:val="66"/>
                <w:sz w:val="21"/>
                <w:szCs w:val="21"/>
              </w:rPr>
            </w:pPr>
            <w:r>
              <w:rPr>
                <w:rFonts w:hint="eastAsia" w:ascii="Times New Roman" w:hAnsi="Times New Roman"/>
                <w:w w:val="66"/>
                <w:sz w:val="21"/>
                <w:szCs w:val="21"/>
              </w:rPr>
              <w:t>109.8</w:t>
            </w:r>
          </w:p>
        </w:tc>
        <w:tc>
          <w:tcPr>
            <w:tcW w:w="405" w:type="pct"/>
            <w:noWrap/>
            <w:vAlign w:val="center"/>
          </w:tcPr>
          <w:p w14:paraId="0DCF1FBB">
            <w:pPr>
              <w:pStyle w:val="121"/>
              <w:rPr>
                <w:rFonts w:ascii="Times New Roman" w:hAnsi="Times New Roman"/>
                <w:w w:val="66"/>
                <w:sz w:val="21"/>
                <w:szCs w:val="21"/>
              </w:rPr>
            </w:pPr>
            <w:r>
              <w:rPr>
                <w:rFonts w:hint="eastAsia" w:ascii="Times New Roman" w:hAnsi="Times New Roman"/>
                <w:w w:val="66"/>
                <w:sz w:val="21"/>
                <w:szCs w:val="21"/>
              </w:rPr>
              <w:t>-506.6</w:t>
            </w:r>
          </w:p>
        </w:tc>
        <w:tc>
          <w:tcPr>
            <w:tcW w:w="445" w:type="pct"/>
            <w:noWrap/>
            <w:vAlign w:val="center"/>
          </w:tcPr>
          <w:p w14:paraId="5E01144F">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6A75108F">
            <w:pPr>
              <w:pStyle w:val="121"/>
              <w:rPr>
                <w:rFonts w:ascii="Times New Roman" w:hAnsi="Times New Roman"/>
                <w:w w:val="66"/>
                <w:sz w:val="21"/>
                <w:szCs w:val="21"/>
              </w:rPr>
            </w:pPr>
            <w:r>
              <w:rPr>
                <w:rFonts w:hint="eastAsia" w:ascii="Times New Roman" w:hAnsi="Times New Roman"/>
                <w:w w:val="66"/>
                <w:sz w:val="21"/>
                <w:szCs w:val="21"/>
              </w:rPr>
              <w:t>20</w:t>
            </w:r>
          </w:p>
        </w:tc>
      </w:tr>
      <w:tr w14:paraId="5326C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4072256">
            <w:pPr>
              <w:pStyle w:val="121"/>
              <w:rPr>
                <w:rFonts w:ascii="Times New Roman" w:hAnsi="Times New Roman"/>
                <w:w w:val="66"/>
                <w:sz w:val="21"/>
                <w:szCs w:val="21"/>
              </w:rPr>
            </w:pPr>
            <w:r>
              <w:rPr>
                <w:rFonts w:hint="eastAsia" w:ascii="Times New Roman" w:hAnsi="Times New Roman"/>
                <w:w w:val="66"/>
                <w:sz w:val="21"/>
                <w:szCs w:val="21"/>
              </w:rPr>
              <w:t>20</w:t>
            </w:r>
          </w:p>
        </w:tc>
        <w:tc>
          <w:tcPr>
            <w:tcW w:w="1809" w:type="pct"/>
            <w:noWrap/>
            <w:vAlign w:val="center"/>
          </w:tcPr>
          <w:p w14:paraId="20BCFE22">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524" w:type="pct"/>
            <w:noWrap/>
            <w:vAlign w:val="center"/>
          </w:tcPr>
          <w:p w14:paraId="54696FC5">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568" w:type="pct"/>
            <w:noWrap/>
            <w:vAlign w:val="center"/>
          </w:tcPr>
          <w:p w14:paraId="34E573F8">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619EB7C0">
            <w:pPr>
              <w:pStyle w:val="121"/>
              <w:rPr>
                <w:rFonts w:ascii="Times New Roman" w:hAnsi="Times New Roman"/>
                <w:w w:val="66"/>
                <w:sz w:val="21"/>
                <w:szCs w:val="21"/>
              </w:rPr>
            </w:pPr>
            <w:r>
              <w:rPr>
                <w:rFonts w:hint="eastAsia" w:ascii="Times New Roman" w:hAnsi="Times New Roman"/>
                <w:w w:val="66"/>
                <w:sz w:val="21"/>
                <w:szCs w:val="21"/>
              </w:rPr>
              <w:t>20</w:t>
            </w:r>
          </w:p>
        </w:tc>
        <w:tc>
          <w:tcPr>
            <w:tcW w:w="405" w:type="pct"/>
            <w:noWrap/>
            <w:vAlign w:val="center"/>
          </w:tcPr>
          <w:p w14:paraId="20FC259B">
            <w:pPr>
              <w:pStyle w:val="121"/>
              <w:rPr>
                <w:rFonts w:ascii="Times New Roman" w:hAnsi="Times New Roman"/>
                <w:w w:val="66"/>
                <w:sz w:val="21"/>
                <w:szCs w:val="21"/>
              </w:rPr>
            </w:pPr>
            <w:r>
              <w:rPr>
                <w:rFonts w:hint="eastAsia" w:ascii="Times New Roman" w:hAnsi="Times New Roman"/>
                <w:w w:val="66"/>
                <w:sz w:val="21"/>
                <w:szCs w:val="21"/>
              </w:rPr>
              <w:t>-476.6</w:t>
            </w:r>
          </w:p>
        </w:tc>
        <w:tc>
          <w:tcPr>
            <w:tcW w:w="445" w:type="pct"/>
            <w:noWrap/>
            <w:vAlign w:val="center"/>
          </w:tcPr>
          <w:p w14:paraId="043B7185">
            <w:pPr>
              <w:pStyle w:val="121"/>
              <w:rPr>
                <w:rFonts w:ascii="Times New Roman" w:hAnsi="Times New Roman"/>
                <w:w w:val="66"/>
                <w:sz w:val="21"/>
                <w:szCs w:val="21"/>
              </w:rPr>
            </w:pPr>
            <w:r>
              <w:rPr>
                <w:rFonts w:hint="eastAsia" w:ascii="Times New Roman" w:hAnsi="Times New Roman"/>
                <w:w w:val="66"/>
                <w:sz w:val="21"/>
                <w:szCs w:val="21"/>
              </w:rPr>
              <w:t>2.1</w:t>
            </w:r>
          </w:p>
        </w:tc>
        <w:tc>
          <w:tcPr>
            <w:tcW w:w="458" w:type="pct"/>
            <w:noWrap/>
            <w:vAlign w:val="center"/>
          </w:tcPr>
          <w:p w14:paraId="777EB65B">
            <w:pPr>
              <w:pStyle w:val="121"/>
              <w:rPr>
                <w:rFonts w:ascii="Times New Roman" w:hAnsi="Times New Roman"/>
                <w:w w:val="66"/>
                <w:sz w:val="21"/>
                <w:szCs w:val="21"/>
              </w:rPr>
            </w:pPr>
            <w:r>
              <w:rPr>
                <w:rFonts w:hint="eastAsia" w:ascii="Times New Roman" w:hAnsi="Times New Roman"/>
                <w:w w:val="66"/>
                <w:sz w:val="21"/>
                <w:szCs w:val="21"/>
              </w:rPr>
              <w:t>20</w:t>
            </w:r>
          </w:p>
        </w:tc>
      </w:tr>
      <w:tr w14:paraId="2C067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194704C">
            <w:pPr>
              <w:pStyle w:val="121"/>
              <w:rPr>
                <w:rFonts w:ascii="Times New Roman" w:hAnsi="Times New Roman"/>
                <w:w w:val="66"/>
                <w:sz w:val="21"/>
                <w:szCs w:val="21"/>
              </w:rPr>
            </w:pPr>
            <w:r>
              <w:rPr>
                <w:rFonts w:hint="eastAsia" w:ascii="Times New Roman" w:hAnsi="Times New Roman"/>
                <w:w w:val="66"/>
                <w:sz w:val="21"/>
                <w:szCs w:val="21"/>
              </w:rPr>
              <w:t>21</w:t>
            </w:r>
          </w:p>
        </w:tc>
        <w:tc>
          <w:tcPr>
            <w:tcW w:w="1809" w:type="pct"/>
            <w:noWrap/>
            <w:vAlign w:val="center"/>
          </w:tcPr>
          <w:p w14:paraId="06A4C1EB">
            <w:pPr>
              <w:pStyle w:val="121"/>
              <w:rPr>
                <w:rFonts w:ascii="Times New Roman" w:hAnsi="Times New Roman"/>
                <w:w w:val="66"/>
                <w:sz w:val="21"/>
                <w:szCs w:val="21"/>
              </w:rPr>
            </w:pPr>
            <w:r>
              <w:rPr>
                <w:rFonts w:hint="eastAsia" w:ascii="Times New Roman" w:hAnsi="Times New Roman"/>
                <w:w w:val="66"/>
                <w:sz w:val="21"/>
                <w:szCs w:val="21"/>
              </w:rPr>
              <w:t>7</w:t>
            </w:r>
            <w:r>
              <w:rPr>
                <w:rFonts w:ascii="Times New Roman" w:hAnsi="Times New Roman"/>
                <w:w w:val="66"/>
                <w:sz w:val="21"/>
                <w:szCs w:val="21"/>
              </w:rPr>
              <w:t>号</w:t>
            </w:r>
            <w:r>
              <w:rPr>
                <w:rFonts w:hint="eastAsia" w:ascii="Times New Roman" w:hAnsi="Times New Roman"/>
                <w:w w:val="66"/>
                <w:sz w:val="21"/>
                <w:szCs w:val="21"/>
              </w:rPr>
              <w:t>倒段</w:t>
            </w:r>
            <w:r>
              <w:rPr>
                <w:rFonts w:ascii="Times New Roman" w:hAnsi="Times New Roman"/>
                <w:w w:val="66"/>
                <w:sz w:val="21"/>
                <w:szCs w:val="21"/>
              </w:rPr>
              <w:t>采区</w:t>
            </w:r>
            <w:r>
              <w:rPr>
                <w:rFonts w:hint="eastAsia" w:ascii="Times New Roman" w:hAnsi="Times New Roman"/>
                <w:w w:val="66"/>
                <w:sz w:val="21"/>
                <w:szCs w:val="21"/>
              </w:rPr>
              <w:t>人行</w:t>
            </w:r>
            <w:r>
              <w:rPr>
                <w:rFonts w:ascii="Times New Roman" w:hAnsi="Times New Roman"/>
                <w:w w:val="66"/>
                <w:sz w:val="21"/>
                <w:szCs w:val="21"/>
              </w:rPr>
              <w:t>回风天井</w:t>
            </w:r>
          </w:p>
        </w:tc>
        <w:tc>
          <w:tcPr>
            <w:tcW w:w="524" w:type="pct"/>
            <w:noWrap/>
            <w:vAlign w:val="center"/>
          </w:tcPr>
          <w:p w14:paraId="729F90B0">
            <w:pPr>
              <w:adjustRightInd w:val="0"/>
              <w:snapToGrid w:val="0"/>
              <w:spacing w:line="240" w:lineRule="auto"/>
              <w:ind w:firstLine="0" w:firstLineChars="0"/>
              <w:jc w:val="center"/>
              <w:rPr>
                <w:w w:val="66"/>
                <w:sz w:val="21"/>
                <w:szCs w:val="21"/>
              </w:rPr>
            </w:pPr>
            <w:r>
              <w:rPr>
                <w:rFonts w:hint="eastAsia"/>
                <w:w w:val="66"/>
                <w:sz w:val="21"/>
                <w:szCs w:val="21"/>
              </w:rPr>
              <w:t>12.56</w:t>
            </w:r>
          </w:p>
        </w:tc>
        <w:tc>
          <w:tcPr>
            <w:tcW w:w="568" w:type="pct"/>
            <w:noWrap/>
            <w:vAlign w:val="center"/>
          </w:tcPr>
          <w:p w14:paraId="0D5AA547">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698343C5">
            <w:pPr>
              <w:pStyle w:val="121"/>
              <w:rPr>
                <w:rFonts w:ascii="Times New Roman" w:hAnsi="Times New Roman"/>
                <w:w w:val="66"/>
                <w:sz w:val="21"/>
                <w:szCs w:val="21"/>
              </w:rPr>
            </w:pPr>
            <w:r>
              <w:rPr>
                <w:rFonts w:hint="eastAsia" w:ascii="Times New Roman" w:hAnsi="Times New Roman"/>
                <w:w w:val="66"/>
                <w:sz w:val="21"/>
                <w:szCs w:val="21"/>
              </w:rPr>
              <w:t>109.9</w:t>
            </w:r>
          </w:p>
        </w:tc>
        <w:tc>
          <w:tcPr>
            <w:tcW w:w="405" w:type="pct"/>
            <w:noWrap/>
            <w:vAlign w:val="center"/>
          </w:tcPr>
          <w:p w14:paraId="6BCBD87F">
            <w:pPr>
              <w:pStyle w:val="121"/>
              <w:rPr>
                <w:rFonts w:ascii="Times New Roman" w:hAnsi="Times New Roman"/>
                <w:w w:val="66"/>
                <w:sz w:val="21"/>
                <w:szCs w:val="21"/>
              </w:rPr>
            </w:pPr>
            <w:r>
              <w:rPr>
                <w:rFonts w:hint="eastAsia" w:ascii="Times New Roman" w:hAnsi="Times New Roman"/>
                <w:w w:val="66"/>
                <w:sz w:val="21"/>
                <w:szCs w:val="21"/>
              </w:rPr>
              <w:t>-506.7</w:t>
            </w:r>
          </w:p>
        </w:tc>
        <w:tc>
          <w:tcPr>
            <w:tcW w:w="445" w:type="pct"/>
            <w:noWrap/>
            <w:vAlign w:val="center"/>
          </w:tcPr>
          <w:p w14:paraId="063D6A9D">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7D2FC0DA">
            <w:pPr>
              <w:pStyle w:val="121"/>
              <w:rPr>
                <w:rFonts w:ascii="Times New Roman" w:hAnsi="Times New Roman"/>
                <w:w w:val="66"/>
                <w:sz w:val="21"/>
                <w:szCs w:val="21"/>
              </w:rPr>
            </w:pPr>
            <w:r>
              <w:rPr>
                <w:rFonts w:hint="eastAsia" w:ascii="Times New Roman" w:hAnsi="Times New Roman"/>
                <w:w w:val="66"/>
                <w:sz w:val="21"/>
                <w:szCs w:val="21"/>
              </w:rPr>
              <w:t>20</w:t>
            </w:r>
          </w:p>
        </w:tc>
      </w:tr>
      <w:tr w14:paraId="1B681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F2D4464">
            <w:pPr>
              <w:pStyle w:val="121"/>
              <w:rPr>
                <w:rFonts w:ascii="Times New Roman" w:hAnsi="Times New Roman"/>
                <w:w w:val="66"/>
                <w:sz w:val="21"/>
                <w:szCs w:val="21"/>
              </w:rPr>
            </w:pPr>
            <w:r>
              <w:rPr>
                <w:rFonts w:hint="eastAsia" w:ascii="Times New Roman" w:hAnsi="Times New Roman"/>
                <w:w w:val="66"/>
                <w:sz w:val="21"/>
                <w:szCs w:val="21"/>
              </w:rPr>
              <w:t>22</w:t>
            </w:r>
          </w:p>
        </w:tc>
        <w:tc>
          <w:tcPr>
            <w:tcW w:w="1809" w:type="pct"/>
            <w:noWrap/>
            <w:vAlign w:val="center"/>
          </w:tcPr>
          <w:p w14:paraId="56A56DEB">
            <w:pPr>
              <w:pStyle w:val="121"/>
              <w:rPr>
                <w:rFonts w:ascii="Times New Roman" w:hAnsi="Times New Roman"/>
                <w:w w:val="66"/>
                <w:sz w:val="21"/>
                <w:szCs w:val="21"/>
              </w:rPr>
            </w:pPr>
            <w:r>
              <w:rPr>
                <w:rFonts w:ascii="Times New Roman" w:hAnsi="Times New Roman"/>
                <w:w w:val="66"/>
                <w:sz w:val="21"/>
                <w:szCs w:val="21"/>
              </w:rPr>
              <w:t>溜破系统人行回风天井</w:t>
            </w:r>
          </w:p>
        </w:tc>
        <w:tc>
          <w:tcPr>
            <w:tcW w:w="524" w:type="pct"/>
            <w:noWrap/>
            <w:vAlign w:val="center"/>
          </w:tcPr>
          <w:p w14:paraId="1C32D6DC">
            <w:pPr>
              <w:pStyle w:val="121"/>
              <w:rPr>
                <w:rFonts w:ascii="Times New Roman" w:hAnsi="Times New Roman"/>
                <w:w w:val="66"/>
                <w:sz w:val="21"/>
                <w:szCs w:val="21"/>
              </w:rPr>
            </w:pPr>
            <w:r>
              <w:rPr>
                <w:rFonts w:hint="eastAsia" w:ascii="Times New Roman" w:hAnsi="Times New Roman"/>
                <w:w w:val="66"/>
                <w:sz w:val="21"/>
                <w:szCs w:val="21"/>
              </w:rPr>
              <w:t>9.62</w:t>
            </w:r>
          </w:p>
        </w:tc>
        <w:tc>
          <w:tcPr>
            <w:tcW w:w="568" w:type="pct"/>
            <w:noWrap/>
            <w:vAlign w:val="center"/>
          </w:tcPr>
          <w:p w14:paraId="18143EB2">
            <w:pPr>
              <w:pStyle w:val="121"/>
              <w:rPr>
                <w:rFonts w:ascii="Times New Roman" w:hAnsi="Times New Roman"/>
                <w:w w:val="66"/>
                <w:sz w:val="21"/>
                <w:szCs w:val="21"/>
              </w:rPr>
            </w:pPr>
            <w:r>
              <w:rPr>
                <w:rFonts w:hint="eastAsia" w:ascii="Times New Roman" w:hAnsi="Times New Roman"/>
                <w:w w:val="66"/>
                <w:sz w:val="21"/>
                <w:szCs w:val="21"/>
              </w:rPr>
              <w:t>0.014</w:t>
            </w:r>
          </w:p>
        </w:tc>
        <w:tc>
          <w:tcPr>
            <w:tcW w:w="474" w:type="pct"/>
            <w:noWrap/>
            <w:vAlign w:val="center"/>
          </w:tcPr>
          <w:p w14:paraId="5BB5EB15">
            <w:pPr>
              <w:pStyle w:val="121"/>
              <w:rPr>
                <w:rFonts w:ascii="Times New Roman" w:hAnsi="Times New Roman"/>
                <w:w w:val="66"/>
                <w:sz w:val="21"/>
                <w:szCs w:val="21"/>
              </w:rPr>
            </w:pPr>
            <w:r>
              <w:rPr>
                <w:rFonts w:hint="eastAsia" w:ascii="Times New Roman" w:hAnsi="Times New Roman"/>
                <w:w w:val="66"/>
                <w:sz w:val="21"/>
                <w:szCs w:val="21"/>
              </w:rPr>
              <w:t>30</w:t>
            </w:r>
          </w:p>
        </w:tc>
        <w:tc>
          <w:tcPr>
            <w:tcW w:w="405" w:type="pct"/>
            <w:noWrap/>
            <w:vAlign w:val="center"/>
          </w:tcPr>
          <w:p w14:paraId="6D087C36">
            <w:pPr>
              <w:pStyle w:val="121"/>
              <w:rPr>
                <w:rFonts w:ascii="Times New Roman" w:hAnsi="Times New Roman"/>
                <w:w w:val="66"/>
                <w:sz w:val="21"/>
                <w:szCs w:val="21"/>
              </w:rPr>
            </w:pPr>
            <w:r>
              <w:rPr>
                <w:rFonts w:hint="eastAsia" w:ascii="Times New Roman" w:hAnsi="Times New Roman"/>
                <w:w w:val="66"/>
                <w:sz w:val="21"/>
                <w:szCs w:val="21"/>
              </w:rPr>
              <w:t>-28.4</w:t>
            </w:r>
          </w:p>
        </w:tc>
        <w:tc>
          <w:tcPr>
            <w:tcW w:w="445" w:type="pct"/>
            <w:noWrap/>
            <w:vAlign w:val="center"/>
          </w:tcPr>
          <w:p w14:paraId="79921FEC">
            <w:pPr>
              <w:pStyle w:val="121"/>
              <w:rPr>
                <w:rFonts w:ascii="Times New Roman" w:hAnsi="Times New Roman"/>
                <w:w w:val="66"/>
                <w:sz w:val="21"/>
                <w:szCs w:val="21"/>
              </w:rPr>
            </w:pPr>
            <w:r>
              <w:rPr>
                <w:rFonts w:hint="eastAsia" w:ascii="Times New Roman" w:hAnsi="Times New Roman"/>
                <w:w w:val="66"/>
                <w:sz w:val="21"/>
                <w:szCs w:val="21"/>
              </w:rPr>
              <w:t>3.1</w:t>
            </w:r>
          </w:p>
        </w:tc>
        <w:tc>
          <w:tcPr>
            <w:tcW w:w="458" w:type="pct"/>
            <w:noWrap/>
            <w:vAlign w:val="center"/>
          </w:tcPr>
          <w:p w14:paraId="75DF87C2">
            <w:pPr>
              <w:pStyle w:val="121"/>
              <w:rPr>
                <w:rFonts w:ascii="Times New Roman" w:hAnsi="Times New Roman"/>
                <w:w w:val="66"/>
                <w:sz w:val="21"/>
                <w:szCs w:val="21"/>
              </w:rPr>
            </w:pPr>
            <w:r>
              <w:rPr>
                <w:rFonts w:hint="eastAsia" w:ascii="Times New Roman" w:hAnsi="Times New Roman"/>
                <w:w w:val="66"/>
                <w:sz w:val="21"/>
                <w:szCs w:val="21"/>
              </w:rPr>
              <w:t>20</w:t>
            </w:r>
          </w:p>
        </w:tc>
      </w:tr>
      <w:tr w14:paraId="54897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2E2FE00">
            <w:pPr>
              <w:pStyle w:val="121"/>
              <w:rPr>
                <w:rFonts w:ascii="Times New Roman" w:hAnsi="Times New Roman"/>
                <w:w w:val="66"/>
                <w:sz w:val="21"/>
                <w:szCs w:val="21"/>
              </w:rPr>
            </w:pPr>
            <w:r>
              <w:rPr>
                <w:rFonts w:hint="eastAsia" w:ascii="Times New Roman" w:hAnsi="Times New Roman"/>
                <w:w w:val="66"/>
                <w:sz w:val="21"/>
                <w:szCs w:val="21"/>
              </w:rPr>
              <w:t>三</w:t>
            </w:r>
          </w:p>
        </w:tc>
        <w:tc>
          <w:tcPr>
            <w:tcW w:w="1809" w:type="pct"/>
            <w:noWrap/>
            <w:vAlign w:val="center"/>
          </w:tcPr>
          <w:p w14:paraId="5936E5EB">
            <w:pPr>
              <w:pStyle w:val="121"/>
              <w:rPr>
                <w:rFonts w:ascii="Times New Roman" w:hAnsi="Times New Roman"/>
                <w:w w:val="66"/>
                <w:sz w:val="21"/>
                <w:szCs w:val="21"/>
              </w:rPr>
            </w:pPr>
            <w:r>
              <w:rPr>
                <w:rFonts w:ascii="Times New Roman" w:hAnsi="Times New Roman"/>
                <w:w w:val="66"/>
                <w:sz w:val="21"/>
                <w:szCs w:val="21"/>
              </w:rPr>
              <w:t>-</w:t>
            </w:r>
            <w:r>
              <w:rPr>
                <w:rFonts w:hint="eastAsia" w:ascii="Times New Roman" w:hAnsi="Times New Roman"/>
                <w:w w:val="66"/>
                <w:sz w:val="21"/>
                <w:szCs w:val="21"/>
              </w:rPr>
              <w:t>10</w:t>
            </w:r>
            <w:r>
              <w:rPr>
                <w:rFonts w:ascii="Times New Roman" w:hAnsi="Times New Roman"/>
                <w:w w:val="66"/>
                <w:sz w:val="21"/>
                <w:szCs w:val="21"/>
              </w:rPr>
              <w:t>0m回风</w:t>
            </w:r>
            <w:r>
              <w:rPr>
                <w:rFonts w:hint="eastAsia" w:ascii="Times New Roman" w:hAnsi="Times New Roman"/>
                <w:w w:val="66"/>
                <w:sz w:val="21"/>
                <w:szCs w:val="21"/>
              </w:rPr>
              <w:t>充填</w:t>
            </w:r>
            <w:r>
              <w:rPr>
                <w:rFonts w:ascii="Times New Roman" w:hAnsi="Times New Roman"/>
                <w:w w:val="66"/>
                <w:sz w:val="21"/>
                <w:szCs w:val="21"/>
              </w:rPr>
              <w:t>水平</w:t>
            </w:r>
          </w:p>
        </w:tc>
        <w:tc>
          <w:tcPr>
            <w:tcW w:w="524" w:type="pct"/>
            <w:noWrap/>
            <w:vAlign w:val="center"/>
          </w:tcPr>
          <w:p w14:paraId="0E69A135">
            <w:pPr>
              <w:pStyle w:val="121"/>
              <w:rPr>
                <w:rFonts w:ascii="Times New Roman" w:hAnsi="Times New Roman"/>
                <w:w w:val="66"/>
                <w:sz w:val="21"/>
                <w:szCs w:val="21"/>
              </w:rPr>
            </w:pPr>
          </w:p>
        </w:tc>
        <w:tc>
          <w:tcPr>
            <w:tcW w:w="568" w:type="pct"/>
            <w:noWrap/>
            <w:vAlign w:val="center"/>
          </w:tcPr>
          <w:p w14:paraId="6D4B7A6C">
            <w:pPr>
              <w:pStyle w:val="121"/>
              <w:rPr>
                <w:rFonts w:ascii="Times New Roman" w:hAnsi="Times New Roman"/>
                <w:w w:val="66"/>
                <w:sz w:val="21"/>
                <w:szCs w:val="21"/>
              </w:rPr>
            </w:pPr>
          </w:p>
        </w:tc>
        <w:tc>
          <w:tcPr>
            <w:tcW w:w="474" w:type="pct"/>
            <w:noWrap/>
            <w:vAlign w:val="center"/>
          </w:tcPr>
          <w:p w14:paraId="03A47A9F">
            <w:pPr>
              <w:pStyle w:val="121"/>
              <w:rPr>
                <w:rFonts w:ascii="Times New Roman" w:hAnsi="Times New Roman"/>
                <w:w w:val="66"/>
                <w:sz w:val="21"/>
                <w:szCs w:val="21"/>
              </w:rPr>
            </w:pPr>
          </w:p>
        </w:tc>
        <w:tc>
          <w:tcPr>
            <w:tcW w:w="405" w:type="pct"/>
            <w:noWrap/>
            <w:vAlign w:val="center"/>
          </w:tcPr>
          <w:p w14:paraId="5800E320">
            <w:pPr>
              <w:pStyle w:val="121"/>
              <w:rPr>
                <w:rFonts w:ascii="Times New Roman" w:hAnsi="Times New Roman"/>
                <w:w w:val="66"/>
                <w:sz w:val="21"/>
                <w:szCs w:val="21"/>
              </w:rPr>
            </w:pPr>
          </w:p>
        </w:tc>
        <w:tc>
          <w:tcPr>
            <w:tcW w:w="445" w:type="pct"/>
            <w:noWrap/>
            <w:vAlign w:val="center"/>
          </w:tcPr>
          <w:p w14:paraId="351639C3">
            <w:pPr>
              <w:pStyle w:val="121"/>
              <w:rPr>
                <w:rFonts w:ascii="Times New Roman" w:hAnsi="Times New Roman"/>
                <w:w w:val="66"/>
                <w:sz w:val="21"/>
                <w:szCs w:val="21"/>
              </w:rPr>
            </w:pPr>
          </w:p>
        </w:tc>
        <w:tc>
          <w:tcPr>
            <w:tcW w:w="458" w:type="pct"/>
            <w:noWrap/>
            <w:vAlign w:val="center"/>
          </w:tcPr>
          <w:p w14:paraId="30B2C056">
            <w:pPr>
              <w:pStyle w:val="121"/>
              <w:rPr>
                <w:rFonts w:ascii="Times New Roman" w:hAnsi="Times New Roman"/>
                <w:w w:val="66"/>
                <w:sz w:val="21"/>
                <w:szCs w:val="21"/>
              </w:rPr>
            </w:pPr>
          </w:p>
        </w:tc>
      </w:tr>
      <w:tr w14:paraId="755EC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397C4135">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6EDE5E20">
            <w:pPr>
              <w:pStyle w:val="121"/>
              <w:rPr>
                <w:rFonts w:ascii="Times New Roman" w:hAnsi="Times New Roman"/>
                <w:w w:val="66"/>
                <w:sz w:val="21"/>
                <w:szCs w:val="21"/>
              </w:rPr>
            </w:pPr>
            <w:r>
              <w:rPr>
                <w:rFonts w:ascii="Times New Roman" w:hAnsi="Times New Roman"/>
                <w:w w:val="66"/>
                <w:sz w:val="21"/>
                <w:szCs w:val="21"/>
              </w:rPr>
              <w:t>1号回风井北石门</w:t>
            </w:r>
          </w:p>
        </w:tc>
        <w:tc>
          <w:tcPr>
            <w:tcW w:w="524" w:type="pct"/>
            <w:noWrap/>
            <w:vAlign w:val="center"/>
          </w:tcPr>
          <w:p w14:paraId="6CA0FC55">
            <w:pPr>
              <w:pStyle w:val="121"/>
              <w:rPr>
                <w:rFonts w:ascii="Times New Roman" w:hAnsi="Times New Roman"/>
                <w:w w:val="66"/>
                <w:sz w:val="21"/>
                <w:szCs w:val="21"/>
              </w:rPr>
            </w:pPr>
            <w:r>
              <w:rPr>
                <w:rFonts w:hint="eastAsia" w:ascii="Times New Roman" w:hAnsi="Times New Roman"/>
                <w:w w:val="66"/>
                <w:sz w:val="21"/>
                <w:szCs w:val="21"/>
              </w:rPr>
              <w:t>18.4</w:t>
            </w:r>
          </w:p>
        </w:tc>
        <w:tc>
          <w:tcPr>
            <w:tcW w:w="568" w:type="pct"/>
            <w:noWrap/>
            <w:vAlign w:val="center"/>
          </w:tcPr>
          <w:p w14:paraId="6B7F781A">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142F80F3">
            <w:pPr>
              <w:pStyle w:val="121"/>
              <w:rPr>
                <w:rFonts w:ascii="Times New Roman" w:hAnsi="Times New Roman"/>
                <w:w w:val="66"/>
                <w:sz w:val="21"/>
                <w:szCs w:val="21"/>
              </w:rPr>
            </w:pPr>
            <w:r>
              <w:rPr>
                <w:rFonts w:hint="eastAsia" w:ascii="Times New Roman" w:hAnsi="Times New Roman"/>
                <w:w w:val="66"/>
                <w:sz w:val="21"/>
                <w:szCs w:val="21"/>
              </w:rPr>
              <w:t>180</w:t>
            </w:r>
          </w:p>
        </w:tc>
        <w:tc>
          <w:tcPr>
            <w:tcW w:w="405" w:type="pct"/>
            <w:noWrap/>
            <w:vAlign w:val="center"/>
          </w:tcPr>
          <w:p w14:paraId="7D72955C">
            <w:pPr>
              <w:pStyle w:val="121"/>
              <w:tabs>
                <w:tab w:val="left" w:pos="193"/>
              </w:tabs>
              <w:rPr>
                <w:rFonts w:ascii="Times New Roman" w:hAnsi="Times New Roman"/>
                <w:w w:val="66"/>
                <w:sz w:val="21"/>
                <w:szCs w:val="21"/>
              </w:rPr>
            </w:pPr>
            <w:r>
              <w:rPr>
                <w:rFonts w:hint="eastAsia" w:ascii="Times New Roman" w:hAnsi="Times New Roman"/>
                <w:w w:val="66"/>
                <w:sz w:val="21"/>
                <w:szCs w:val="21"/>
              </w:rPr>
              <w:t>-684.2</w:t>
            </w:r>
          </w:p>
        </w:tc>
        <w:tc>
          <w:tcPr>
            <w:tcW w:w="445" w:type="pct"/>
            <w:noWrap/>
            <w:vAlign w:val="center"/>
          </w:tcPr>
          <w:p w14:paraId="2FD8D545">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2C7A92CE">
            <w:pPr>
              <w:pStyle w:val="121"/>
              <w:rPr>
                <w:rFonts w:ascii="Times New Roman" w:hAnsi="Times New Roman"/>
                <w:w w:val="66"/>
                <w:sz w:val="21"/>
                <w:szCs w:val="21"/>
              </w:rPr>
            </w:pPr>
            <w:r>
              <w:rPr>
                <w:rFonts w:ascii="Times New Roman" w:hAnsi="Times New Roman"/>
                <w:w w:val="66"/>
                <w:sz w:val="21"/>
                <w:szCs w:val="21"/>
              </w:rPr>
              <w:t>20</w:t>
            </w:r>
          </w:p>
        </w:tc>
      </w:tr>
      <w:tr w14:paraId="6A010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F2E5AB8">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405B17A4">
            <w:pPr>
              <w:pStyle w:val="121"/>
              <w:rPr>
                <w:rFonts w:ascii="Times New Roman" w:hAnsi="Times New Roman"/>
                <w:w w:val="66"/>
                <w:sz w:val="21"/>
                <w:szCs w:val="21"/>
              </w:rPr>
            </w:pPr>
            <w:r>
              <w:rPr>
                <w:rFonts w:ascii="Times New Roman" w:hAnsi="Times New Roman"/>
                <w:w w:val="66"/>
                <w:sz w:val="21"/>
                <w:szCs w:val="21"/>
              </w:rPr>
              <w:t>1号回风井南石门</w:t>
            </w:r>
          </w:p>
        </w:tc>
        <w:tc>
          <w:tcPr>
            <w:tcW w:w="524" w:type="pct"/>
            <w:noWrap/>
            <w:vAlign w:val="center"/>
          </w:tcPr>
          <w:p w14:paraId="74BCF58D">
            <w:pPr>
              <w:pStyle w:val="121"/>
              <w:rPr>
                <w:rFonts w:ascii="Times New Roman" w:hAnsi="Times New Roman"/>
                <w:w w:val="66"/>
                <w:sz w:val="21"/>
                <w:szCs w:val="21"/>
              </w:rPr>
            </w:pPr>
            <w:r>
              <w:rPr>
                <w:rFonts w:hint="eastAsia" w:ascii="Times New Roman" w:hAnsi="Times New Roman"/>
                <w:w w:val="66"/>
                <w:sz w:val="21"/>
                <w:szCs w:val="21"/>
              </w:rPr>
              <w:t>18.4</w:t>
            </w:r>
          </w:p>
        </w:tc>
        <w:tc>
          <w:tcPr>
            <w:tcW w:w="568" w:type="pct"/>
            <w:noWrap/>
            <w:vAlign w:val="center"/>
          </w:tcPr>
          <w:p w14:paraId="7A61BB6B">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125FFBE6">
            <w:pPr>
              <w:pStyle w:val="121"/>
              <w:rPr>
                <w:rFonts w:ascii="Times New Roman" w:hAnsi="Times New Roman"/>
                <w:w w:val="66"/>
                <w:sz w:val="21"/>
                <w:szCs w:val="21"/>
              </w:rPr>
            </w:pPr>
            <w:r>
              <w:rPr>
                <w:rFonts w:hint="eastAsia" w:ascii="Times New Roman" w:hAnsi="Times New Roman"/>
                <w:w w:val="66"/>
                <w:sz w:val="21"/>
                <w:szCs w:val="21"/>
              </w:rPr>
              <w:t>180</w:t>
            </w:r>
          </w:p>
        </w:tc>
        <w:tc>
          <w:tcPr>
            <w:tcW w:w="405" w:type="pct"/>
            <w:noWrap/>
            <w:vAlign w:val="center"/>
          </w:tcPr>
          <w:p w14:paraId="074F5C22">
            <w:pPr>
              <w:pStyle w:val="121"/>
              <w:rPr>
                <w:rFonts w:ascii="Times New Roman" w:hAnsi="Times New Roman"/>
                <w:w w:val="66"/>
                <w:sz w:val="21"/>
                <w:szCs w:val="21"/>
              </w:rPr>
            </w:pPr>
            <w:r>
              <w:rPr>
                <w:rFonts w:hint="eastAsia" w:ascii="Times New Roman" w:hAnsi="Times New Roman"/>
                <w:w w:val="66"/>
                <w:sz w:val="21"/>
                <w:szCs w:val="21"/>
              </w:rPr>
              <w:t>-695.4</w:t>
            </w:r>
          </w:p>
        </w:tc>
        <w:tc>
          <w:tcPr>
            <w:tcW w:w="445" w:type="pct"/>
            <w:noWrap/>
            <w:vAlign w:val="center"/>
          </w:tcPr>
          <w:p w14:paraId="0A8E32F6">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0C45BA19">
            <w:pPr>
              <w:pStyle w:val="121"/>
              <w:rPr>
                <w:rFonts w:ascii="Times New Roman" w:hAnsi="Times New Roman"/>
                <w:w w:val="66"/>
                <w:sz w:val="21"/>
                <w:szCs w:val="21"/>
              </w:rPr>
            </w:pPr>
            <w:r>
              <w:rPr>
                <w:rFonts w:ascii="Times New Roman" w:hAnsi="Times New Roman"/>
                <w:w w:val="66"/>
                <w:sz w:val="21"/>
                <w:szCs w:val="21"/>
              </w:rPr>
              <w:t>20</w:t>
            </w:r>
          </w:p>
        </w:tc>
      </w:tr>
      <w:tr w14:paraId="581F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3ED9590">
            <w:pPr>
              <w:pStyle w:val="121"/>
              <w:rPr>
                <w:rFonts w:ascii="Times New Roman" w:hAnsi="Times New Roman"/>
                <w:w w:val="66"/>
                <w:sz w:val="21"/>
                <w:szCs w:val="21"/>
              </w:rPr>
            </w:pPr>
            <w:r>
              <w:rPr>
                <w:rFonts w:hint="eastAsia" w:ascii="Times New Roman" w:hAnsi="Times New Roman"/>
                <w:w w:val="66"/>
                <w:sz w:val="21"/>
                <w:szCs w:val="21"/>
              </w:rPr>
              <w:t>3</w:t>
            </w:r>
          </w:p>
        </w:tc>
        <w:tc>
          <w:tcPr>
            <w:tcW w:w="1809" w:type="pct"/>
            <w:noWrap/>
            <w:vAlign w:val="center"/>
          </w:tcPr>
          <w:p w14:paraId="0C8F7FCB">
            <w:pPr>
              <w:pStyle w:val="121"/>
              <w:rPr>
                <w:rFonts w:ascii="Times New Roman" w:hAnsi="Times New Roman"/>
                <w:w w:val="66"/>
                <w:sz w:val="21"/>
                <w:szCs w:val="21"/>
              </w:rPr>
            </w:pPr>
            <w:r>
              <w:rPr>
                <w:rFonts w:hint="eastAsia" w:ascii="Times New Roman" w:hAnsi="Times New Roman"/>
                <w:w w:val="66"/>
                <w:sz w:val="21"/>
                <w:szCs w:val="21"/>
              </w:rPr>
              <w:t>2</w:t>
            </w:r>
            <w:r>
              <w:rPr>
                <w:rFonts w:ascii="Times New Roman" w:hAnsi="Times New Roman"/>
                <w:w w:val="66"/>
                <w:sz w:val="21"/>
                <w:szCs w:val="21"/>
              </w:rPr>
              <w:t>号回风井北石门</w:t>
            </w:r>
          </w:p>
        </w:tc>
        <w:tc>
          <w:tcPr>
            <w:tcW w:w="524" w:type="pct"/>
            <w:noWrap/>
            <w:vAlign w:val="center"/>
          </w:tcPr>
          <w:p w14:paraId="71F1F1E8">
            <w:pPr>
              <w:pStyle w:val="121"/>
              <w:rPr>
                <w:rFonts w:ascii="Times New Roman" w:hAnsi="Times New Roman"/>
                <w:w w:val="66"/>
                <w:sz w:val="21"/>
                <w:szCs w:val="21"/>
              </w:rPr>
            </w:pPr>
            <w:r>
              <w:rPr>
                <w:rFonts w:hint="eastAsia" w:ascii="Times New Roman" w:hAnsi="Times New Roman"/>
                <w:w w:val="66"/>
                <w:sz w:val="21"/>
                <w:szCs w:val="21"/>
              </w:rPr>
              <w:t>10.8</w:t>
            </w:r>
          </w:p>
        </w:tc>
        <w:tc>
          <w:tcPr>
            <w:tcW w:w="568" w:type="pct"/>
            <w:noWrap/>
            <w:vAlign w:val="center"/>
          </w:tcPr>
          <w:p w14:paraId="75B467F7">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25056C2A">
            <w:pPr>
              <w:pStyle w:val="121"/>
              <w:rPr>
                <w:rFonts w:ascii="Times New Roman" w:hAnsi="Times New Roman"/>
                <w:w w:val="66"/>
                <w:sz w:val="21"/>
                <w:szCs w:val="21"/>
              </w:rPr>
            </w:pPr>
            <w:r>
              <w:rPr>
                <w:rFonts w:hint="eastAsia" w:ascii="Times New Roman" w:hAnsi="Times New Roman"/>
                <w:w w:val="66"/>
                <w:sz w:val="21"/>
                <w:szCs w:val="21"/>
              </w:rPr>
              <w:t>155</w:t>
            </w:r>
          </w:p>
        </w:tc>
        <w:tc>
          <w:tcPr>
            <w:tcW w:w="405" w:type="pct"/>
            <w:noWrap/>
            <w:vAlign w:val="center"/>
          </w:tcPr>
          <w:p w14:paraId="5C133D6E">
            <w:pPr>
              <w:pStyle w:val="121"/>
              <w:rPr>
                <w:rFonts w:ascii="Times New Roman" w:hAnsi="Times New Roman"/>
                <w:w w:val="66"/>
                <w:sz w:val="21"/>
                <w:szCs w:val="21"/>
              </w:rPr>
            </w:pPr>
            <w:r>
              <w:rPr>
                <w:rFonts w:hint="eastAsia" w:ascii="Times New Roman" w:hAnsi="Times New Roman"/>
                <w:w w:val="66"/>
                <w:sz w:val="21"/>
                <w:szCs w:val="21"/>
              </w:rPr>
              <w:t>-700.1</w:t>
            </w:r>
          </w:p>
        </w:tc>
        <w:tc>
          <w:tcPr>
            <w:tcW w:w="445" w:type="pct"/>
            <w:noWrap/>
            <w:vAlign w:val="center"/>
          </w:tcPr>
          <w:p w14:paraId="69288B50">
            <w:pPr>
              <w:pStyle w:val="121"/>
              <w:rPr>
                <w:rFonts w:ascii="Times New Roman" w:hAnsi="Times New Roman"/>
                <w:w w:val="66"/>
                <w:sz w:val="21"/>
                <w:szCs w:val="21"/>
              </w:rPr>
            </w:pPr>
            <w:r>
              <w:rPr>
                <w:rFonts w:hint="eastAsia" w:ascii="Times New Roman" w:hAnsi="Times New Roman"/>
                <w:w w:val="66"/>
                <w:sz w:val="21"/>
                <w:szCs w:val="21"/>
              </w:rPr>
              <w:t>12.1</w:t>
            </w:r>
          </w:p>
        </w:tc>
        <w:tc>
          <w:tcPr>
            <w:tcW w:w="458" w:type="pct"/>
            <w:noWrap/>
            <w:vAlign w:val="center"/>
          </w:tcPr>
          <w:p w14:paraId="53755A8C">
            <w:pPr>
              <w:pStyle w:val="121"/>
              <w:rPr>
                <w:rFonts w:ascii="Times New Roman" w:hAnsi="Times New Roman"/>
                <w:w w:val="66"/>
                <w:sz w:val="21"/>
                <w:szCs w:val="21"/>
              </w:rPr>
            </w:pPr>
            <w:r>
              <w:rPr>
                <w:rFonts w:ascii="Times New Roman" w:hAnsi="Times New Roman"/>
                <w:w w:val="66"/>
                <w:sz w:val="21"/>
                <w:szCs w:val="21"/>
              </w:rPr>
              <w:t>20</w:t>
            </w:r>
          </w:p>
        </w:tc>
      </w:tr>
      <w:tr w14:paraId="26B69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CC72F77">
            <w:pPr>
              <w:pStyle w:val="121"/>
              <w:rPr>
                <w:rFonts w:ascii="Times New Roman" w:hAnsi="Times New Roman"/>
                <w:w w:val="66"/>
                <w:sz w:val="21"/>
                <w:szCs w:val="21"/>
              </w:rPr>
            </w:pPr>
            <w:r>
              <w:rPr>
                <w:rFonts w:hint="eastAsia" w:ascii="Times New Roman" w:hAnsi="Times New Roman"/>
                <w:w w:val="66"/>
                <w:sz w:val="21"/>
                <w:szCs w:val="21"/>
              </w:rPr>
              <w:t>4</w:t>
            </w:r>
          </w:p>
        </w:tc>
        <w:tc>
          <w:tcPr>
            <w:tcW w:w="1809" w:type="pct"/>
            <w:noWrap/>
            <w:vAlign w:val="center"/>
          </w:tcPr>
          <w:p w14:paraId="1074CDB0">
            <w:pPr>
              <w:pStyle w:val="121"/>
              <w:rPr>
                <w:rFonts w:ascii="Times New Roman" w:hAnsi="Times New Roman"/>
                <w:w w:val="66"/>
                <w:sz w:val="21"/>
                <w:szCs w:val="21"/>
              </w:rPr>
            </w:pPr>
            <w:r>
              <w:rPr>
                <w:rFonts w:hint="eastAsia" w:ascii="Times New Roman" w:hAnsi="Times New Roman"/>
                <w:w w:val="66"/>
                <w:sz w:val="21"/>
                <w:szCs w:val="21"/>
              </w:rPr>
              <w:t>2</w:t>
            </w:r>
            <w:r>
              <w:rPr>
                <w:rFonts w:ascii="Times New Roman" w:hAnsi="Times New Roman"/>
                <w:w w:val="66"/>
                <w:sz w:val="21"/>
                <w:szCs w:val="21"/>
              </w:rPr>
              <w:t>号回风井南石门</w:t>
            </w:r>
          </w:p>
        </w:tc>
        <w:tc>
          <w:tcPr>
            <w:tcW w:w="524" w:type="pct"/>
            <w:noWrap/>
            <w:vAlign w:val="center"/>
          </w:tcPr>
          <w:p w14:paraId="5ED8540F">
            <w:pPr>
              <w:pStyle w:val="121"/>
              <w:rPr>
                <w:rFonts w:ascii="Times New Roman" w:hAnsi="Times New Roman"/>
                <w:w w:val="66"/>
                <w:sz w:val="21"/>
                <w:szCs w:val="21"/>
              </w:rPr>
            </w:pPr>
            <w:r>
              <w:rPr>
                <w:rFonts w:hint="eastAsia" w:ascii="Times New Roman" w:hAnsi="Times New Roman"/>
                <w:w w:val="66"/>
                <w:sz w:val="21"/>
                <w:szCs w:val="21"/>
              </w:rPr>
              <w:t>10.8</w:t>
            </w:r>
          </w:p>
        </w:tc>
        <w:tc>
          <w:tcPr>
            <w:tcW w:w="568" w:type="pct"/>
            <w:noWrap/>
            <w:vAlign w:val="center"/>
          </w:tcPr>
          <w:p w14:paraId="085E6397">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281F5A2B">
            <w:pPr>
              <w:pStyle w:val="121"/>
              <w:rPr>
                <w:rFonts w:ascii="Times New Roman" w:hAnsi="Times New Roman"/>
                <w:w w:val="66"/>
                <w:sz w:val="21"/>
                <w:szCs w:val="21"/>
              </w:rPr>
            </w:pPr>
            <w:r>
              <w:rPr>
                <w:rFonts w:hint="eastAsia" w:ascii="Times New Roman" w:hAnsi="Times New Roman"/>
                <w:w w:val="66"/>
                <w:sz w:val="21"/>
                <w:szCs w:val="21"/>
              </w:rPr>
              <w:t>155</w:t>
            </w:r>
          </w:p>
        </w:tc>
        <w:tc>
          <w:tcPr>
            <w:tcW w:w="405" w:type="pct"/>
            <w:noWrap/>
            <w:vAlign w:val="center"/>
          </w:tcPr>
          <w:p w14:paraId="55D2F3F1">
            <w:pPr>
              <w:pStyle w:val="121"/>
              <w:rPr>
                <w:rFonts w:ascii="Times New Roman" w:hAnsi="Times New Roman"/>
                <w:w w:val="66"/>
                <w:sz w:val="21"/>
                <w:szCs w:val="21"/>
              </w:rPr>
            </w:pPr>
            <w:r>
              <w:rPr>
                <w:rFonts w:hint="eastAsia" w:ascii="Times New Roman" w:hAnsi="Times New Roman"/>
                <w:w w:val="66"/>
                <w:sz w:val="21"/>
                <w:szCs w:val="21"/>
              </w:rPr>
              <w:t>-699.0</w:t>
            </w:r>
          </w:p>
        </w:tc>
        <w:tc>
          <w:tcPr>
            <w:tcW w:w="445" w:type="pct"/>
            <w:noWrap/>
            <w:vAlign w:val="center"/>
          </w:tcPr>
          <w:p w14:paraId="18E559F7">
            <w:pPr>
              <w:pStyle w:val="121"/>
              <w:rPr>
                <w:rFonts w:ascii="Times New Roman" w:hAnsi="Times New Roman"/>
                <w:w w:val="66"/>
                <w:sz w:val="21"/>
                <w:szCs w:val="21"/>
              </w:rPr>
            </w:pPr>
            <w:r>
              <w:rPr>
                <w:rFonts w:hint="eastAsia" w:ascii="Times New Roman" w:hAnsi="Times New Roman"/>
                <w:w w:val="66"/>
                <w:sz w:val="21"/>
                <w:szCs w:val="21"/>
              </w:rPr>
              <w:t>12.1</w:t>
            </w:r>
          </w:p>
        </w:tc>
        <w:tc>
          <w:tcPr>
            <w:tcW w:w="458" w:type="pct"/>
            <w:noWrap/>
            <w:vAlign w:val="center"/>
          </w:tcPr>
          <w:p w14:paraId="31B92469">
            <w:pPr>
              <w:pStyle w:val="121"/>
              <w:rPr>
                <w:rFonts w:ascii="Times New Roman" w:hAnsi="Times New Roman"/>
                <w:w w:val="66"/>
                <w:sz w:val="21"/>
                <w:szCs w:val="21"/>
              </w:rPr>
            </w:pPr>
            <w:r>
              <w:rPr>
                <w:rFonts w:ascii="Times New Roman" w:hAnsi="Times New Roman"/>
                <w:w w:val="66"/>
                <w:sz w:val="21"/>
                <w:szCs w:val="21"/>
              </w:rPr>
              <w:t>20</w:t>
            </w:r>
          </w:p>
        </w:tc>
      </w:tr>
      <w:tr w14:paraId="7C7B8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584DE2C">
            <w:pPr>
              <w:pStyle w:val="121"/>
              <w:rPr>
                <w:rFonts w:ascii="Times New Roman" w:hAnsi="Times New Roman"/>
                <w:w w:val="66"/>
                <w:sz w:val="21"/>
                <w:szCs w:val="21"/>
              </w:rPr>
            </w:pPr>
            <w:r>
              <w:rPr>
                <w:rFonts w:hint="eastAsia" w:ascii="Times New Roman" w:hAnsi="Times New Roman"/>
                <w:w w:val="66"/>
                <w:sz w:val="21"/>
                <w:szCs w:val="21"/>
              </w:rPr>
              <w:t>5</w:t>
            </w:r>
          </w:p>
        </w:tc>
        <w:tc>
          <w:tcPr>
            <w:tcW w:w="1809" w:type="pct"/>
            <w:noWrap/>
            <w:vAlign w:val="center"/>
          </w:tcPr>
          <w:p w14:paraId="154C1222">
            <w:pPr>
              <w:pStyle w:val="121"/>
              <w:rPr>
                <w:rFonts w:ascii="Times New Roman" w:hAnsi="Times New Roman"/>
                <w:w w:val="66"/>
                <w:sz w:val="21"/>
                <w:szCs w:val="21"/>
              </w:rPr>
            </w:pPr>
            <w:r>
              <w:rPr>
                <w:rFonts w:ascii="Times New Roman" w:hAnsi="Times New Roman"/>
                <w:w w:val="66"/>
                <w:sz w:val="21"/>
                <w:szCs w:val="21"/>
              </w:rPr>
              <w:t>采区回风天井联络巷</w:t>
            </w:r>
          </w:p>
        </w:tc>
        <w:tc>
          <w:tcPr>
            <w:tcW w:w="524" w:type="pct"/>
            <w:noWrap/>
            <w:vAlign w:val="center"/>
          </w:tcPr>
          <w:p w14:paraId="64AF98D9">
            <w:pPr>
              <w:pStyle w:val="121"/>
              <w:rPr>
                <w:rFonts w:ascii="Times New Roman" w:hAnsi="Times New Roman"/>
                <w:w w:val="66"/>
                <w:sz w:val="21"/>
                <w:szCs w:val="21"/>
              </w:rPr>
            </w:pPr>
            <w:r>
              <w:rPr>
                <w:rFonts w:hint="eastAsia" w:ascii="Times New Roman" w:hAnsi="Times New Roman"/>
                <w:w w:val="66"/>
                <w:sz w:val="21"/>
                <w:szCs w:val="21"/>
              </w:rPr>
              <w:t>12.7</w:t>
            </w:r>
          </w:p>
        </w:tc>
        <w:tc>
          <w:tcPr>
            <w:tcW w:w="568" w:type="pct"/>
            <w:noWrap/>
            <w:vAlign w:val="center"/>
          </w:tcPr>
          <w:p w14:paraId="5529B6EA">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3C5B1A75">
            <w:pPr>
              <w:pStyle w:val="121"/>
              <w:rPr>
                <w:rFonts w:ascii="Times New Roman" w:hAnsi="Times New Roman"/>
                <w:w w:val="66"/>
                <w:sz w:val="21"/>
                <w:szCs w:val="21"/>
              </w:rPr>
            </w:pPr>
            <w:r>
              <w:rPr>
                <w:rFonts w:hint="eastAsia" w:ascii="Times New Roman" w:hAnsi="Times New Roman"/>
                <w:w w:val="66"/>
                <w:sz w:val="21"/>
                <w:szCs w:val="21"/>
              </w:rPr>
              <w:t>114.8</w:t>
            </w:r>
          </w:p>
        </w:tc>
        <w:tc>
          <w:tcPr>
            <w:tcW w:w="405" w:type="pct"/>
            <w:noWrap/>
            <w:vAlign w:val="center"/>
          </w:tcPr>
          <w:p w14:paraId="0E12C01E">
            <w:pPr>
              <w:pStyle w:val="121"/>
              <w:rPr>
                <w:rFonts w:ascii="Times New Roman" w:hAnsi="Times New Roman"/>
                <w:w w:val="66"/>
                <w:sz w:val="21"/>
                <w:szCs w:val="21"/>
              </w:rPr>
            </w:pPr>
            <w:r>
              <w:rPr>
                <w:rFonts w:hint="eastAsia" w:ascii="Times New Roman" w:hAnsi="Times New Roman"/>
                <w:w w:val="66"/>
                <w:sz w:val="21"/>
                <w:szCs w:val="21"/>
              </w:rPr>
              <w:t>-582.7</w:t>
            </w:r>
          </w:p>
        </w:tc>
        <w:tc>
          <w:tcPr>
            <w:tcW w:w="445" w:type="pct"/>
            <w:noWrap/>
            <w:vAlign w:val="center"/>
          </w:tcPr>
          <w:p w14:paraId="0060E890">
            <w:pPr>
              <w:pStyle w:val="121"/>
              <w:rPr>
                <w:rFonts w:ascii="Times New Roman" w:hAnsi="Times New Roman"/>
                <w:w w:val="66"/>
                <w:sz w:val="21"/>
                <w:szCs w:val="21"/>
              </w:rPr>
            </w:pPr>
            <w:r>
              <w:rPr>
                <w:rFonts w:hint="eastAsia" w:ascii="Times New Roman" w:hAnsi="Times New Roman"/>
                <w:w w:val="66"/>
                <w:sz w:val="21"/>
                <w:szCs w:val="21"/>
              </w:rPr>
              <w:t>9.0</w:t>
            </w:r>
          </w:p>
        </w:tc>
        <w:tc>
          <w:tcPr>
            <w:tcW w:w="458" w:type="pct"/>
            <w:noWrap/>
            <w:vAlign w:val="center"/>
          </w:tcPr>
          <w:p w14:paraId="20C68F7E">
            <w:pPr>
              <w:pStyle w:val="121"/>
              <w:rPr>
                <w:rFonts w:ascii="Times New Roman" w:hAnsi="Times New Roman"/>
                <w:w w:val="66"/>
                <w:sz w:val="21"/>
                <w:szCs w:val="21"/>
              </w:rPr>
            </w:pPr>
            <w:r>
              <w:rPr>
                <w:rFonts w:hint="eastAsia" w:ascii="Times New Roman" w:hAnsi="Times New Roman"/>
                <w:w w:val="66"/>
                <w:sz w:val="21"/>
                <w:szCs w:val="21"/>
              </w:rPr>
              <w:t>20</w:t>
            </w:r>
          </w:p>
        </w:tc>
      </w:tr>
      <w:tr w14:paraId="7C424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A7FFB4D">
            <w:pPr>
              <w:pStyle w:val="121"/>
              <w:rPr>
                <w:rFonts w:ascii="Times New Roman" w:hAnsi="Times New Roman"/>
                <w:w w:val="66"/>
                <w:sz w:val="21"/>
                <w:szCs w:val="21"/>
              </w:rPr>
            </w:pPr>
            <w:r>
              <w:rPr>
                <w:rFonts w:hint="eastAsia" w:ascii="Times New Roman" w:hAnsi="Times New Roman"/>
                <w:w w:val="66"/>
                <w:sz w:val="21"/>
                <w:szCs w:val="21"/>
              </w:rPr>
              <w:t>6</w:t>
            </w:r>
          </w:p>
        </w:tc>
        <w:tc>
          <w:tcPr>
            <w:tcW w:w="1809" w:type="pct"/>
            <w:noWrap/>
            <w:vAlign w:val="center"/>
          </w:tcPr>
          <w:p w14:paraId="0AD880FB">
            <w:pPr>
              <w:pStyle w:val="121"/>
              <w:rPr>
                <w:rFonts w:ascii="Times New Roman" w:hAnsi="Times New Roman"/>
                <w:w w:val="66"/>
                <w:sz w:val="21"/>
                <w:szCs w:val="21"/>
              </w:rPr>
            </w:pPr>
            <w:r>
              <w:rPr>
                <w:rFonts w:ascii="Times New Roman" w:hAnsi="Times New Roman"/>
                <w:w w:val="66"/>
                <w:sz w:val="21"/>
                <w:szCs w:val="21"/>
              </w:rPr>
              <w:t>下盘回风联络巷</w:t>
            </w:r>
          </w:p>
        </w:tc>
        <w:tc>
          <w:tcPr>
            <w:tcW w:w="524" w:type="pct"/>
            <w:noWrap/>
            <w:vAlign w:val="center"/>
          </w:tcPr>
          <w:p w14:paraId="51FCF035">
            <w:pPr>
              <w:pStyle w:val="121"/>
              <w:rPr>
                <w:rFonts w:ascii="Times New Roman" w:hAnsi="Times New Roman"/>
                <w:w w:val="66"/>
                <w:sz w:val="21"/>
                <w:szCs w:val="21"/>
              </w:rPr>
            </w:pPr>
            <w:r>
              <w:rPr>
                <w:rFonts w:hint="eastAsia" w:ascii="Times New Roman" w:hAnsi="Times New Roman"/>
                <w:w w:val="66"/>
                <w:sz w:val="21"/>
                <w:szCs w:val="21"/>
              </w:rPr>
              <w:t>18.6</w:t>
            </w:r>
          </w:p>
        </w:tc>
        <w:tc>
          <w:tcPr>
            <w:tcW w:w="568" w:type="pct"/>
            <w:noWrap/>
            <w:vAlign w:val="center"/>
          </w:tcPr>
          <w:p w14:paraId="36ADA0B1">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3DFA6BE9">
            <w:pPr>
              <w:pStyle w:val="121"/>
              <w:rPr>
                <w:rFonts w:ascii="Times New Roman" w:hAnsi="Times New Roman"/>
                <w:w w:val="66"/>
                <w:sz w:val="21"/>
                <w:szCs w:val="21"/>
              </w:rPr>
            </w:pPr>
            <w:r>
              <w:rPr>
                <w:rFonts w:hint="eastAsia" w:ascii="Times New Roman" w:hAnsi="Times New Roman"/>
                <w:w w:val="66"/>
                <w:sz w:val="21"/>
                <w:szCs w:val="21"/>
              </w:rPr>
              <w:t>128.7</w:t>
            </w:r>
          </w:p>
        </w:tc>
        <w:tc>
          <w:tcPr>
            <w:tcW w:w="405" w:type="pct"/>
            <w:noWrap/>
            <w:vAlign w:val="center"/>
          </w:tcPr>
          <w:p w14:paraId="4B0A99AB">
            <w:pPr>
              <w:pStyle w:val="121"/>
              <w:rPr>
                <w:rFonts w:ascii="Times New Roman" w:hAnsi="Times New Roman"/>
                <w:w w:val="66"/>
                <w:sz w:val="21"/>
                <w:szCs w:val="21"/>
              </w:rPr>
            </w:pPr>
            <w:r>
              <w:rPr>
                <w:rFonts w:hint="eastAsia" w:ascii="Times New Roman" w:hAnsi="Times New Roman"/>
                <w:w w:val="66"/>
                <w:sz w:val="21"/>
                <w:szCs w:val="21"/>
              </w:rPr>
              <w:t>-695.4</w:t>
            </w:r>
          </w:p>
        </w:tc>
        <w:tc>
          <w:tcPr>
            <w:tcW w:w="445" w:type="pct"/>
            <w:noWrap/>
            <w:vAlign w:val="center"/>
          </w:tcPr>
          <w:p w14:paraId="70B60EA8">
            <w:pPr>
              <w:pStyle w:val="121"/>
              <w:rPr>
                <w:rFonts w:ascii="Times New Roman" w:hAnsi="Times New Roman"/>
                <w:w w:val="66"/>
                <w:sz w:val="21"/>
                <w:szCs w:val="21"/>
              </w:rPr>
            </w:pPr>
            <w:r>
              <w:rPr>
                <w:rFonts w:hint="eastAsia" w:ascii="Times New Roman" w:hAnsi="Times New Roman"/>
                <w:w w:val="66"/>
                <w:sz w:val="21"/>
                <w:szCs w:val="21"/>
              </w:rPr>
              <w:t>6.9</w:t>
            </w:r>
          </w:p>
        </w:tc>
        <w:tc>
          <w:tcPr>
            <w:tcW w:w="458" w:type="pct"/>
            <w:noWrap/>
            <w:vAlign w:val="center"/>
          </w:tcPr>
          <w:p w14:paraId="135D458F">
            <w:pPr>
              <w:pStyle w:val="121"/>
              <w:rPr>
                <w:rFonts w:ascii="Times New Roman" w:hAnsi="Times New Roman"/>
                <w:w w:val="66"/>
                <w:sz w:val="21"/>
                <w:szCs w:val="21"/>
              </w:rPr>
            </w:pPr>
            <w:r>
              <w:rPr>
                <w:rFonts w:ascii="Times New Roman" w:hAnsi="Times New Roman"/>
                <w:w w:val="66"/>
                <w:sz w:val="21"/>
                <w:szCs w:val="21"/>
              </w:rPr>
              <w:t>20</w:t>
            </w:r>
          </w:p>
        </w:tc>
      </w:tr>
      <w:tr w14:paraId="33B92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5023557">
            <w:pPr>
              <w:pStyle w:val="121"/>
              <w:rPr>
                <w:rFonts w:ascii="Times New Roman" w:hAnsi="Times New Roman"/>
                <w:w w:val="66"/>
                <w:sz w:val="21"/>
                <w:szCs w:val="21"/>
              </w:rPr>
            </w:pPr>
            <w:r>
              <w:rPr>
                <w:rFonts w:hint="eastAsia" w:ascii="Times New Roman" w:hAnsi="Times New Roman"/>
                <w:w w:val="66"/>
                <w:sz w:val="21"/>
                <w:szCs w:val="21"/>
              </w:rPr>
              <w:t>四</w:t>
            </w:r>
          </w:p>
        </w:tc>
        <w:tc>
          <w:tcPr>
            <w:tcW w:w="1809" w:type="pct"/>
            <w:noWrap/>
            <w:vAlign w:val="center"/>
          </w:tcPr>
          <w:p w14:paraId="10C4F5FE">
            <w:pPr>
              <w:pStyle w:val="121"/>
              <w:rPr>
                <w:rFonts w:ascii="Times New Roman" w:hAnsi="Times New Roman"/>
                <w:w w:val="66"/>
                <w:sz w:val="21"/>
                <w:szCs w:val="21"/>
              </w:rPr>
            </w:pPr>
            <w:r>
              <w:rPr>
                <w:rFonts w:ascii="Times New Roman" w:hAnsi="Times New Roman"/>
                <w:w w:val="66"/>
                <w:sz w:val="21"/>
                <w:szCs w:val="21"/>
              </w:rPr>
              <w:t>-</w:t>
            </w:r>
            <w:r>
              <w:rPr>
                <w:rFonts w:hint="eastAsia" w:ascii="Times New Roman" w:hAnsi="Times New Roman"/>
                <w:w w:val="66"/>
                <w:sz w:val="21"/>
                <w:szCs w:val="21"/>
              </w:rPr>
              <w:t>125</w:t>
            </w:r>
            <w:r>
              <w:rPr>
                <w:rFonts w:ascii="Times New Roman" w:hAnsi="Times New Roman"/>
                <w:w w:val="66"/>
                <w:sz w:val="21"/>
                <w:szCs w:val="21"/>
              </w:rPr>
              <w:t>m、-</w:t>
            </w:r>
            <w:r>
              <w:rPr>
                <w:rFonts w:hint="eastAsia" w:ascii="Times New Roman" w:hAnsi="Times New Roman"/>
                <w:w w:val="66"/>
                <w:sz w:val="21"/>
                <w:szCs w:val="21"/>
              </w:rPr>
              <w:t>1</w:t>
            </w:r>
            <w:r>
              <w:rPr>
                <w:rFonts w:ascii="Times New Roman" w:hAnsi="Times New Roman"/>
                <w:w w:val="66"/>
                <w:sz w:val="21"/>
                <w:szCs w:val="21"/>
              </w:rPr>
              <w:t>50m凿岩水平</w:t>
            </w:r>
            <w:r>
              <w:rPr>
                <w:rFonts w:hint="eastAsia" w:ascii="Times New Roman" w:hAnsi="Times New Roman"/>
                <w:w w:val="66"/>
                <w:sz w:val="21"/>
                <w:szCs w:val="21"/>
              </w:rPr>
              <w:t>、-175m出矿水平</w:t>
            </w:r>
          </w:p>
        </w:tc>
        <w:tc>
          <w:tcPr>
            <w:tcW w:w="524" w:type="pct"/>
            <w:noWrap/>
            <w:vAlign w:val="center"/>
          </w:tcPr>
          <w:p w14:paraId="650BE02B">
            <w:pPr>
              <w:pStyle w:val="121"/>
              <w:rPr>
                <w:rFonts w:ascii="Times New Roman" w:hAnsi="Times New Roman"/>
                <w:w w:val="66"/>
                <w:sz w:val="21"/>
                <w:szCs w:val="21"/>
              </w:rPr>
            </w:pPr>
          </w:p>
        </w:tc>
        <w:tc>
          <w:tcPr>
            <w:tcW w:w="568" w:type="pct"/>
            <w:noWrap/>
            <w:vAlign w:val="center"/>
          </w:tcPr>
          <w:p w14:paraId="0CAA34DD">
            <w:pPr>
              <w:pStyle w:val="121"/>
              <w:rPr>
                <w:rFonts w:ascii="Times New Roman" w:hAnsi="Times New Roman"/>
                <w:w w:val="66"/>
                <w:sz w:val="21"/>
                <w:szCs w:val="21"/>
              </w:rPr>
            </w:pPr>
          </w:p>
        </w:tc>
        <w:tc>
          <w:tcPr>
            <w:tcW w:w="474" w:type="pct"/>
            <w:noWrap/>
            <w:vAlign w:val="center"/>
          </w:tcPr>
          <w:p w14:paraId="78BACA70">
            <w:pPr>
              <w:pStyle w:val="121"/>
              <w:rPr>
                <w:rFonts w:ascii="Times New Roman" w:hAnsi="Times New Roman"/>
                <w:w w:val="66"/>
                <w:sz w:val="21"/>
                <w:szCs w:val="21"/>
              </w:rPr>
            </w:pPr>
          </w:p>
        </w:tc>
        <w:tc>
          <w:tcPr>
            <w:tcW w:w="405" w:type="pct"/>
            <w:noWrap/>
            <w:vAlign w:val="center"/>
          </w:tcPr>
          <w:p w14:paraId="30F527D2">
            <w:pPr>
              <w:pStyle w:val="121"/>
              <w:rPr>
                <w:rFonts w:ascii="Times New Roman" w:hAnsi="Times New Roman"/>
                <w:w w:val="66"/>
                <w:sz w:val="21"/>
                <w:szCs w:val="21"/>
              </w:rPr>
            </w:pPr>
          </w:p>
        </w:tc>
        <w:tc>
          <w:tcPr>
            <w:tcW w:w="445" w:type="pct"/>
            <w:noWrap/>
            <w:vAlign w:val="center"/>
          </w:tcPr>
          <w:p w14:paraId="480563F4">
            <w:pPr>
              <w:pStyle w:val="121"/>
              <w:rPr>
                <w:rFonts w:ascii="Times New Roman" w:hAnsi="Times New Roman"/>
                <w:w w:val="66"/>
                <w:sz w:val="21"/>
                <w:szCs w:val="21"/>
              </w:rPr>
            </w:pPr>
          </w:p>
        </w:tc>
        <w:tc>
          <w:tcPr>
            <w:tcW w:w="458" w:type="pct"/>
            <w:noWrap/>
            <w:vAlign w:val="center"/>
          </w:tcPr>
          <w:p w14:paraId="11D8581E">
            <w:pPr>
              <w:pStyle w:val="121"/>
              <w:rPr>
                <w:rFonts w:ascii="Times New Roman" w:hAnsi="Times New Roman"/>
                <w:w w:val="66"/>
                <w:sz w:val="21"/>
                <w:szCs w:val="21"/>
              </w:rPr>
            </w:pPr>
          </w:p>
        </w:tc>
      </w:tr>
      <w:tr w14:paraId="5B57A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214311D">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3BAD11A8">
            <w:pPr>
              <w:pStyle w:val="121"/>
              <w:rPr>
                <w:rFonts w:ascii="Times New Roman" w:hAnsi="Times New Roman"/>
                <w:w w:val="66"/>
                <w:sz w:val="21"/>
                <w:szCs w:val="21"/>
              </w:rPr>
            </w:pPr>
            <w:r>
              <w:rPr>
                <w:rFonts w:ascii="Times New Roman" w:hAnsi="Times New Roman"/>
                <w:w w:val="66"/>
                <w:sz w:val="21"/>
                <w:szCs w:val="21"/>
              </w:rPr>
              <w:t>-</w:t>
            </w:r>
            <w:r>
              <w:rPr>
                <w:rFonts w:hint="eastAsia" w:ascii="Times New Roman" w:hAnsi="Times New Roman"/>
                <w:w w:val="66"/>
                <w:sz w:val="21"/>
                <w:szCs w:val="21"/>
              </w:rPr>
              <w:t>1</w:t>
            </w:r>
            <w:r>
              <w:rPr>
                <w:rFonts w:ascii="Times New Roman" w:hAnsi="Times New Roman"/>
                <w:w w:val="66"/>
                <w:sz w:val="21"/>
                <w:szCs w:val="21"/>
              </w:rPr>
              <w:t>25m水平下盘脉外联络巷</w:t>
            </w:r>
          </w:p>
        </w:tc>
        <w:tc>
          <w:tcPr>
            <w:tcW w:w="524" w:type="pct"/>
            <w:noWrap/>
            <w:vAlign w:val="center"/>
          </w:tcPr>
          <w:p w14:paraId="6CEFDC91">
            <w:pPr>
              <w:pStyle w:val="121"/>
              <w:rPr>
                <w:rFonts w:ascii="Times New Roman" w:hAnsi="Times New Roman"/>
                <w:w w:val="66"/>
                <w:sz w:val="21"/>
                <w:szCs w:val="21"/>
              </w:rPr>
            </w:pPr>
            <w:r>
              <w:rPr>
                <w:rFonts w:hint="eastAsia" w:ascii="Times New Roman" w:hAnsi="Times New Roman"/>
                <w:w w:val="66"/>
                <w:sz w:val="21"/>
                <w:szCs w:val="21"/>
              </w:rPr>
              <w:t>18.6</w:t>
            </w:r>
          </w:p>
        </w:tc>
        <w:tc>
          <w:tcPr>
            <w:tcW w:w="568" w:type="pct"/>
            <w:noWrap/>
            <w:vAlign w:val="center"/>
          </w:tcPr>
          <w:p w14:paraId="60A0920D">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0B0FEFD1">
            <w:pPr>
              <w:pStyle w:val="121"/>
              <w:rPr>
                <w:rFonts w:ascii="Times New Roman" w:hAnsi="Times New Roman"/>
                <w:w w:val="66"/>
                <w:sz w:val="21"/>
                <w:szCs w:val="21"/>
              </w:rPr>
            </w:pPr>
            <w:r>
              <w:rPr>
                <w:rFonts w:hint="eastAsia" w:ascii="Times New Roman" w:hAnsi="Times New Roman"/>
                <w:w w:val="66"/>
                <w:sz w:val="21"/>
                <w:szCs w:val="21"/>
              </w:rPr>
              <w:t>20</w:t>
            </w:r>
          </w:p>
        </w:tc>
        <w:tc>
          <w:tcPr>
            <w:tcW w:w="405" w:type="pct"/>
            <w:noWrap/>
            <w:vAlign w:val="center"/>
          </w:tcPr>
          <w:p w14:paraId="7D6FD866">
            <w:pPr>
              <w:pStyle w:val="121"/>
              <w:rPr>
                <w:rFonts w:ascii="Times New Roman" w:hAnsi="Times New Roman"/>
                <w:w w:val="66"/>
                <w:sz w:val="21"/>
                <w:szCs w:val="21"/>
              </w:rPr>
            </w:pPr>
            <w:r>
              <w:rPr>
                <w:rFonts w:hint="eastAsia" w:ascii="Times New Roman" w:hAnsi="Times New Roman"/>
                <w:w w:val="66"/>
                <w:sz w:val="21"/>
                <w:szCs w:val="21"/>
              </w:rPr>
              <w:t>-478.7</w:t>
            </w:r>
          </w:p>
        </w:tc>
        <w:tc>
          <w:tcPr>
            <w:tcW w:w="445" w:type="pct"/>
            <w:noWrap/>
            <w:vAlign w:val="center"/>
          </w:tcPr>
          <w:p w14:paraId="46CDB917">
            <w:pPr>
              <w:pStyle w:val="121"/>
              <w:rPr>
                <w:rFonts w:ascii="Times New Roman" w:hAnsi="Times New Roman"/>
                <w:w w:val="66"/>
                <w:sz w:val="21"/>
                <w:szCs w:val="21"/>
              </w:rPr>
            </w:pPr>
            <w:r>
              <w:rPr>
                <w:rFonts w:hint="eastAsia" w:ascii="Times New Roman" w:hAnsi="Times New Roman"/>
                <w:w w:val="66"/>
                <w:sz w:val="21"/>
                <w:szCs w:val="21"/>
              </w:rPr>
              <w:t>1.1</w:t>
            </w:r>
          </w:p>
        </w:tc>
        <w:tc>
          <w:tcPr>
            <w:tcW w:w="458" w:type="pct"/>
            <w:noWrap/>
            <w:vAlign w:val="center"/>
          </w:tcPr>
          <w:p w14:paraId="5D4280E5">
            <w:pPr>
              <w:pStyle w:val="121"/>
              <w:rPr>
                <w:rFonts w:ascii="Times New Roman" w:hAnsi="Times New Roman"/>
                <w:w w:val="66"/>
                <w:sz w:val="21"/>
                <w:szCs w:val="21"/>
              </w:rPr>
            </w:pPr>
            <w:r>
              <w:rPr>
                <w:rFonts w:hint="eastAsia" w:ascii="Times New Roman" w:hAnsi="Times New Roman"/>
                <w:w w:val="66"/>
                <w:sz w:val="21"/>
                <w:szCs w:val="21"/>
              </w:rPr>
              <w:t>6</w:t>
            </w:r>
          </w:p>
        </w:tc>
      </w:tr>
      <w:tr w14:paraId="5CF27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DA23F92">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646D90C4">
            <w:pPr>
              <w:pStyle w:val="121"/>
              <w:rPr>
                <w:rFonts w:ascii="Times New Roman" w:hAnsi="Times New Roman"/>
                <w:w w:val="66"/>
                <w:sz w:val="21"/>
                <w:szCs w:val="21"/>
              </w:rPr>
            </w:pPr>
            <w:r>
              <w:rPr>
                <w:rFonts w:ascii="Times New Roman" w:hAnsi="Times New Roman"/>
                <w:w w:val="66"/>
                <w:sz w:val="21"/>
                <w:szCs w:val="21"/>
              </w:rPr>
              <w:t>-</w:t>
            </w:r>
            <w:r>
              <w:rPr>
                <w:rFonts w:hint="eastAsia" w:ascii="Times New Roman" w:hAnsi="Times New Roman"/>
                <w:w w:val="66"/>
                <w:sz w:val="21"/>
                <w:szCs w:val="21"/>
              </w:rPr>
              <w:t>1</w:t>
            </w:r>
            <w:r>
              <w:rPr>
                <w:rFonts w:ascii="Times New Roman" w:hAnsi="Times New Roman"/>
                <w:w w:val="66"/>
                <w:sz w:val="21"/>
                <w:szCs w:val="21"/>
              </w:rPr>
              <w:t>50m水平下盘脉外联络巷</w:t>
            </w:r>
          </w:p>
        </w:tc>
        <w:tc>
          <w:tcPr>
            <w:tcW w:w="524" w:type="pct"/>
            <w:noWrap/>
            <w:vAlign w:val="center"/>
          </w:tcPr>
          <w:p w14:paraId="6B313CAA">
            <w:pPr>
              <w:pStyle w:val="121"/>
              <w:rPr>
                <w:rFonts w:ascii="Times New Roman" w:hAnsi="Times New Roman"/>
                <w:w w:val="66"/>
                <w:sz w:val="21"/>
                <w:szCs w:val="21"/>
              </w:rPr>
            </w:pPr>
            <w:r>
              <w:rPr>
                <w:rFonts w:hint="eastAsia" w:ascii="Times New Roman" w:hAnsi="Times New Roman"/>
                <w:w w:val="66"/>
                <w:sz w:val="21"/>
                <w:szCs w:val="21"/>
              </w:rPr>
              <w:t>18.6</w:t>
            </w:r>
          </w:p>
        </w:tc>
        <w:tc>
          <w:tcPr>
            <w:tcW w:w="568" w:type="pct"/>
            <w:noWrap/>
            <w:vAlign w:val="center"/>
          </w:tcPr>
          <w:p w14:paraId="750480E3">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48D17D8C">
            <w:pPr>
              <w:pStyle w:val="121"/>
              <w:rPr>
                <w:rFonts w:ascii="Times New Roman" w:hAnsi="Times New Roman"/>
                <w:w w:val="66"/>
                <w:sz w:val="21"/>
                <w:szCs w:val="21"/>
              </w:rPr>
            </w:pPr>
            <w:r>
              <w:rPr>
                <w:rFonts w:hint="eastAsia" w:ascii="Times New Roman" w:hAnsi="Times New Roman"/>
                <w:w w:val="66"/>
                <w:sz w:val="21"/>
                <w:szCs w:val="21"/>
              </w:rPr>
              <w:t>19.6</w:t>
            </w:r>
          </w:p>
        </w:tc>
        <w:tc>
          <w:tcPr>
            <w:tcW w:w="405" w:type="pct"/>
            <w:noWrap/>
            <w:vAlign w:val="center"/>
          </w:tcPr>
          <w:p w14:paraId="27CA5215">
            <w:pPr>
              <w:pStyle w:val="121"/>
              <w:rPr>
                <w:rFonts w:ascii="Times New Roman" w:hAnsi="Times New Roman"/>
                <w:w w:val="66"/>
                <w:sz w:val="21"/>
                <w:szCs w:val="21"/>
              </w:rPr>
            </w:pPr>
            <w:r>
              <w:rPr>
                <w:rFonts w:hint="eastAsia" w:ascii="Times New Roman" w:hAnsi="Times New Roman"/>
                <w:w w:val="66"/>
                <w:sz w:val="21"/>
                <w:szCs w:val="21"/>
              </w:rPr>
              <w:t>-474.5</w:t>
            </w:r>
          </w:p>
        </w:tc>
        <w:tc>
          <w:tcPr>
            <w:tcW w:w="445" w:type="pct"/>
            <w:noWrap/>
            <w:vAlign w:val="center"/>
          </w:tcPr>
          <w:p w14:paraId="17BBAA86">
            <w:pPr>
              <w:pStyle w:val="121"/>
              <w:rPr>
                <w:rFonts w:ascii="Times New Roman" w:hAnsi="Times New Roman"/>
                <w:w w:val="66"/>
                <w:sz w:val="21"/>
                <w:szCs w:val="21"/>
              </w:rPr>
            </w:pPr>
            <w:r>
              <w:rPr>
                <w:rFonts w:hint="eastAsia" w:ascii="Times New Roman" w:hAnsi="Times New Roman"/>
                <w:w w:val="66"/>
                <w:sz w:val="21"/>
                <w:szCs w:val="21"/>
              </w:rPr>
              <w:t>1.1</w:t>
            </w:r>
          </w:p>
        </w:tc>
        <w:tc>
          <w:tcPr>
            <w:tcW w:w="458" w:type="pct"/>
            <w:noWrap/>
            <w:vAlign w:val="center"/>
          </w:tcPr>
          <w:p w14:paraId="1589A7AE">
            <w:pPr>
              <w:pStyle w:val="121"/>
              <w:rPr>
                <w:rFonts w:ascii="Times New Roman" w:hAnsi="Times New Roman"/>
                <w:w w:val="66"/>
                <w:sz w:val="21"/>
                <w:szCs w:val="21"/>
              </w:rPr>
            </w:pPr>
            <w:r>
              <w:rPr>
                <w:rFonts w:hint="eastAsia" w:ascii="Times New Roman" w:hAnsi="Times New Roman"/>
                <w:w w:val="66"/>
                <w:sz w:val="21"/>
                <w:szCs w:val="21"/>
              </w:rPr>
              <w:t>6</w:t>
            </w:r>
          </w:p>
        </w:tc>
      </w:tr>
      <w:tr w14:paraId="1AE22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E088733">
            <w:pPr>
              <w:pStyle w:val="121"/>
              <w:rPr>
                <w:rFonts w:ascii="Times New Roman" w:hAnsi="Times New Roman"/>
                <w:w w:val="66"/>
                <w:sz w:val="21"/>
                <w:szCs w:val="21"/>
              </w:rPr>
            </w:pPr>
            <w:r>
              <w:rPr>
                <w:rFonts w:hint="eastAsia" w:ascii="Times New Roman" w:hAnsi="Times New Roman"/>
                <w:w w:val="66"/>
                <w:sz w:val="21"/>
                <w:szCs w:val="21"/>
              </w:rPr>
              <w:t>3</w:t>
            </w:r>
          </w:p>
        </w:tc>
        <w:tc>
          <w:tcPr>
            <w:tcW w:w="1809" w:type="pct"/>
            <w:noWrap/>
            <w:vAlign w:val="center"/>
          </w:tcPr>
          <w:p w14:paraId="08379E46">
            <w:pPr>
              <w:pStyle w:val="121"/>
              <w:rPr>
                <w:rFonts w:ascii="Times New Roman" w:hAnsi="Times New Roman"/>
                <w:w w:val="66"/>
                <w:sz w:val="21"/>
                <w:szCs w:val="21"/>
              </w:rPr>
            </w:pPr>
            <w:r>
              <w:rPr>
                <w:rFonts w:hint="eastAsia" w:ascii="Times New Roman" w:hAnsi="Times New Roman"/>
                <w:w w:val="66"/>
                <w:sz w:val="21"/>
                <w:szCs w:val="21"/>
              </w:rPr>
              <w:t>-175m水平</w:t>
            </w:r>
            <w:r>
              <w:rPr>
                <w:rFonts w:ascii="Times New Roman" w:hAnsi="Times New Roman"/>
                <w:w w:val="66"/>
                <w:sz w:val="21"/>
                <w:szCs w:val="21"/>
              </w:rPr>
              <w:t>下盘脉外联络巷</w:t>
            </w:r>
          </w:p>
        </w:tc>
        <w:tc>
          <w:tcPr>
            <w:tcW w:w="524" w:type="pct"/>
            <w:noWrap/>
            <w:vAlign w:val="center"/>
          </w:tcPr>
          <w:p w14:paraId="4BB9352C">
            <w:pPr>
              <w:pStyle w:val="121"/>
              <w:rPr>
                <w:rFonts w:ascii="Times New Roman" w:hAnsi="Times New Roman"/>
                <w:w w:val="66"/>
                <w:sz w:val="21"/>
                <w:szCs w:val="21"/>
              </w:rPr>
            </w:pPr>
            <w:r>
              <w:rPr>
                <w:rFonts w:hint="eastAsia" w:ascii="Times New Roman" w:hAnsi="Times New Roman"/>
                <w:w w:val="66"/>
                <w:sz w:val="21"/>
                <w:szCs w:val="21"/>
              </w:rPr>
              <w:t>18.6</w:t>
            </w:r>
          </w:p>
        </w:tc>
        <w:tc>
          <w:tcPr>
            <w:tcW w:w="568" w:type="pct"/>
            <w:noWrap/>
            <w:vAlign w:val="center"/>
          </w:tcPr>
          <w:p w14:paraId="11FAFE65">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64FE13EC">
            <w:pPr>
              <w:pStyle w:val="121"/>
              <w:rPr>
                <w:rFonts w:ascii="Times New Roman" w:hAnsi="Times New Roman"/>
                <w:w w:val="66"/>
                <w:sz w:val="21"/>
                <w:szCs w:val="21"/>
              </w:rPr>
            </w:pPr>
            <w:r>
              <w:rPr>
                <w:rFonts w:hint="eastAsia" w:ascii="Times New Roman" w:hAnsi="Times New Roman"/>
                <w:w w:val="66"/>
                <w:sz w:val="21"/>
                <w:szCs w:val="21"/>
              </w:rPr>
              <w:t>21.6</w:t>
            </w:r>
          </w:p>
        </w:tc>
        <w:tc>
          <w:tcPr>
            <w:tcW w:w="405" w:type="pct"/>
            <w:noWrap/>
            <w:vAlign w:val="center"/>
          </w:tcPr>
          <w:p w14:paraId="024F3D86">
            <w:pPr>
              <w:pStyle w:val="121"/>
              <w:rPr>
                <w:rFonts w:ascii="Times New Roman" w:hAnsi="Times New Roman"/>
                <w:w w:val="66"/>
                <w:sz w:val="21"/>
                <w:szCs w:val="21"/>
              </w:rPr>
            </w:pPr>
            <w:r>
              <w:rPr>
                <w:rFonts w:hint="eastAsia" w:ascii="Times New Roman" w:hAnsi="Times New Roman"/>
                <w:w w:val="66"/>
                <w:sz w:val="21"/>
                <w:szCs w:val="21"/>
              </w:rPr>
              <w:t>-470.0</w:t>
            </w:r>
          </w:p>
        </w:tc>
        <w:tc>
          <w:tcPr>
            <w:tcW w:w="445" w:type="pct"/>
            <w:noWrap/>
            <w:vAlign w:val="center"/>
          </w:tcPr>
          <w:p w14:paraId="34F7E9AA">
            <w:pPr>
              <w:pStyle w:val="121"/>
              <w:rPr>
                <w:rFonts w:ascii="Times New Roman" w:hAnsi="Times New Roman"/>
                <w:w w:val="66"/>
                <w:sz w:val="21"/>
                <w:szCs w:val="21"/>
              </w:rPr>
            </w:pPr>
            <w:r>
              <w:rPr>
                <w:rFonts w:hint="eastAsia" w:ascii="Times New Roman" w:hAnsi="Times New Roman"/>
                <w:w w:val="66"/>
                <w:sz w:val="21"/>
                <w:szCs w:val="21"/>
              </w:rPr>
              <w:t>1.2</w:t>
            </w:r>
          </w:p>
        </w:tc>
        <w:tc>
          <w:tcPr>
            <w:tcW w:w="458" w:type="pct"/>
            <w:noWrap/>
            <w:vAlign w:val="center"/>
          </w:tcPr>
          <w:p w14:paraId="25CBEA24">
            <w:pPr>
              <w:pStyle w:val="121"/>
              <w:rPr>
                <w:rFonts w:ascii="Times New Roman" w:hAnsi="Times New Roman"/>
                <w:w w:val="66"/>
                <w:sz w:val="21"/>
                <w:szCs w:val="21"/>
              </w:rPr>
            </w:pPr>
            <w:r>
              <w:rPr>
                <w:rFonts w:hint="eastAsia" w:ascii="Times New Roman" w:hAnsi="Times New Roman"/>
                <w:w w:val="66"/>
                <w:sz w:val="21"/>
                <w:szCs w:val="21"/>
              </w:rPr>
              <w:t>6</w:t>
            </w:r>
          </w:p>
        </w:tc>
      </w:tr>
      <w:tr w14:paraId="6EBFE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71075566">
            <w:pPr>
              <w:pStyle w:val="121"/>
              <w:rPr>
                <w:rFonts w:ascii="Times New Roman" w:hAnsi="Times New Roman"/>
                <w:w w:val="66"/>
                <w:sz w:val="21"/>
                <w:szCs w:val="21"/>
              </w:rPr>
            </w:pPr>
            <w:r>
              <w:rPr>
                <w:rFonts w:hint="eastAsia" w:ascii="Times New Roman" w:hAnsi="Times New Roman"/>
                <w:w w:val="66"/>
                <w:sz w:val="21"/>
                <w:szCs w:val="21"/>
              </w:rPr>
              <w:t>五</w:t>
            </w:r>
          </w:p>
        </w:tc>
        <w:tc>
          <w:tcPr>
            <w:tcW w:w="1809" w:type="pct"/>
            <w:noWrap/>
            <w:vAlign w:val="center"/>
          </w:tcPr>
          <w:p w14:paraId="416423E3">
            <w:pPr>
              <w:pStyle w:val="121"/>
              <w:rPr>
                <w:rFonts w:ascii="Times New Roman" w:hAnsi="Times New Roman"/>
                <w:w w:val="66"/>
                <w:sz w:val="21"/>
                <w:szCs w:val="21"/>
              </w:rPr>
            </w:pPr>
            <w:r>
              <w:rPr>
                <w:rFonts w:ascii="Times New Roman" w:hAnsi="Times New Roman"/>
                <w:w w:val="66"/>
                <w:sz w:val="21"/>
                <w:szCs w:val="21"/>
              </w:rPr>
              <w:t>-475m进风水平</w:t>
            </w:r>
          </w:p>
        </w:tc>
        <w:tc>
          <w:tcPr>
            <w:tcW w:w="524" w:type="pct"/>
            <w:noWrap/>
            <w:vAlign w:val="center"/>
          </w:tcPr>
          <w:p w14:paraId="548F0BBA">
            <w:pPr>
              <w:pStyle w:val="121"/>
              <w:rPr>
                <w:rFonts w:ascii="Times New Roman" w:hAnsi="Times New Roman"/>
                <w:w w:val="66"/>
                <w:sz w:val="21"/>
                <w:szCs w:val="21"/>
              </w:rPr>
            </w:pPr>
          </w:p>
        </w:tc>
        <w:tc>
          <w:tcPr>
            <w:tcW w:w="568" w:type="pct"/>
            <w:noWrap/>
            <w:vAlign w:val="center"/>
          </w:tcPr>
          <w:p w14:paraId="3C8C7A9F">
            <w:pPr>
              <w:pStyle w:val="121"/>
              <w:rPr>
                <w:rFonts w:ascii="Times New Roman" w:hAnsi="Times New Roman"/>
                <w:w w:val="66"/>
                <w:sz w:val="21"/>
                <w:szCs w:val="21"/>
              </w:rPr>
            </w:pPr>
          </w:p>
        </w:tc>
        <w:tc>
          <w:tcPr>
            <w:tcW w:w="474" w:type="pct"/>
            <w:noWrap/>
            <w:vAlign w:val="center"/>
          </w:tcPr>
          <w:p w14:paraId="744903CB">
            <w:pPr>
              <w:pStyle w:val="121"/>
              <w:rPr>
                <w:rFonts w:ascii="Times New Roman" w:hAnsi="Times New Roman"/>
                <w:w w:val="66"/>
                <w:sz w:val="21"/>
                <w:szCs w:val="21"/>
              </w:rPr>
            </w:pPr>
          </w:p>
        </w:tc>
        <w:tc>
          <w:tcPr>
            <w:tcW w:w="405" w:type="pct"/>
            <w:noWrap/>
            <w:vAlign w:val="center"/>
          </w:tcPr>
          <w:p w14:paraId="30238160">
            <w:pPr>
              <w:pStyle w:val="121"/>
              <w:rPr>
                <w:rFonts w:ascii="Times New Roman" w:hAnsi="Times New Roman"/>
                <w:w w:val="66"/>
                <w:sz w:val="21"/>
                <w:szCs w:val="21"/>
              </w:rPr>
            </w:pPr>
          </w:p>
        </w:tc>
        <w:tc>
          <w:tcPr>
            <w:tcW w:w="445" w:type="pct"/>
            <w:noWrap/>
            <w:vAlign w:val="center"/>
          </w:tcPr>
          <w:p w14:paraId="5D2718D0">
            <w:pPr>
              <w:pStyle w:val="121"/>
              <w:rPr>
                <w:rFonts w:ascii="Times New Roman" w:hAnsi="Times New Roman"/>
                <w:w w:val="66"/>
                <w:sz w:val="21"/>
                <w:szCs w:val="21"/>
              </w:rPr>
            </w:pPr>
          </w:p>
        </w:tc>
        <w:tc>
          <w:tcPr>
            <w:tcW w:w="458" w:type="pct"/>
            <w:noWrap/>
            <w:vAlign w:val="center"/>
          </w:tcPr>
          <w:p w14:paraId="3FEFD4B4">
            <w:pPr>
              <w:pStyle w:val="121"/>
              <w:rPr>
                <w:rFonts w:ascii="Times New Roman" w:hAnsi="Times New Roman"/>
                <w:w w:val="66"/>
                <w:sz w:val="21"/>
                <w:szCs w:val="21"/>
              </w:rPr>
            </w:pPr>
          </w:p>
        </w:tc>
      </w:tr>
      <w:tr w14:paraId="73459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248F1BE">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536ED5AC">
            <w:pPr>
              <w:pStyle w:val="121"/>
              <w:rPr>
                <w:rFonts w:ascii="Times New Roman" w:hAnsi="Times New Roman"/>
                <w:w w:val="66"/>
                <w:sz w:val="21"/>
                <w:szCs w:val="21"/>
              </w:rPr>
            </w:pPr>
            <w:r>
              <w:rPr>
                <w:rFonts w:ascii="Times New Roman" w:hAnsi="Times New Roman"/>
                <w:w w:val="66"/>
                <w:sz w:val="21"/>
                <w:szCs w:val="21"/>
              </w:rPr>
              <w:t>副井石门</w:t>
            </w:r>
          </w:p>
        </w:tc>
        <w:tc>
          <w:tcPr>
            <w:tcW w:w="524" w:type="pct"/>
            <w:noWrap/>
            <w:vAlign w:val="center"/>
          </w:tcPr>
          <w:p w14:paraId="74A33943">
            <w:pPr>
              <w:pStyle w:val="121"/>
              <w:rPr>
                <w:rFonts w:ascii="Times New Roman" w:hAnsi="Times New Roman"/>
                <w:w w:val="66"/>
                <w:sz w:val="21"/>
                <w:szCs w:val="21"/>
              </w:rPr>
            </w:pPr>
            <w:r>
              <w:rPr>
                <w:rFonts w:hint="eastAsia" w:ascii="Times New Roman" w:hAnsi="Times New Roman"/>
                <w:w w:val="66"/>
                <w:sz w:val="21"/>
                <w:szCs w:val="21"/>
              </w:rPr>
              <w:t>15.4</w:t>
            </w:r>
          </w:p>
        </w:tc>
        <w:tc>
          <w:tcPr>
            <w:tcW w:w="568" w:type="pct"/>
            <w:noWrap/>
            <w:vAlign w:val="center"/>
          </w:tcPr>
          <w:p w14:paraId="769892F0">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5649F553">
            <w:pPr>
              <w:pStyle w:val="121"/>
              <w:rPr>
                <w:rFonts w:ascii="Times New Roman" w:hAnsi="Times New Roman"/>
                <w:w w:val="66"/>
                <w:sz w:val="21"/>
                <w:szCs w:val="21"/>
              </w:rPr>
            </w:pPr>
            <w:r>
              <w:rPr>
                <w:rFonts w:hint="eastAsia" w:ascii="Times New Roman" w:hAnsi="Times New Roman"/>
                <w:w w:val="66"/>
                <w:sz w:val="21"/>
                <w:szCs w:val="21"/>
              </w:rPr>
              <w:t>110</w:t>
            </w:r>
          </w:p>
        </w:tc>
        <w:tc>
          <w:tcPr>
            <w:tcW w:w="405" w:type="pct"/>
            <w:noWrap/>
            <w:vAlign w:val="center"/>
          </w:tcPr>
          <w:p w14:paraId="6E555FF8">
            <w:pPr>
              <w:pStyle w:val="121"/>
              <w:rPr>
                <w:rFonts w:ascii="Times New Roman" w:hAnsi="Times New Roman"/>
                <w:w w:val="66"/>
                <w:sz w:val="21"/>
                <w:szCs w:val="21"/>
              </w:rPr>
            </w:pPr>
            <w:r>
              <w:rPr>
                <w:rFonts w:hint="eastAsia" w:ascii="Times New Roman" w:hAnsi="Times New Roman"/>
                <w:w w:val="66"/>
                <w:sz w:val="21"/>
                <w:szCs w:val="21"/>
              </w:rPr>
              <w:t>-261.1</w:t>
            </w:r>
          </w:p>
        </w:tc>
        <w:tc>
          <w:tcPr>
            <w:tcW w:w="445" w:type="pct"/>
            <w:noWrap/>
            <w:vAlign w:val="center"/>
          </w:tcPr>
          <w:p w14:paraId="5C4F9FBC">
            <w:pPr>
              <w:pStyle w:val="121"/>
              <w:rPr>
                <w:rFonts w:ascii="Times New Roman" w:hAnsi="Times New Roman"/>
                <w:w w:val="66"/>
                <w:sz w:val="21"/>
                <w:szCs w:val="21"/>
              </w:rPr>
            </w:pPr>
            <w:r>
              <w:rPr>
                <w:rFonts w:hint="eastAsia" w:ascii="Times New Roman" w:hAnsi="Times New Roman"/>
                <w:w w:val="66"/>
                <w:sz w:val="21"/>
                <w:szCs w:val="21"/>
              </w:rPr>
              <w:t>7.2</w:t>
            </w:r>
          </w:p>
        </w:tc>
        <w:tc>
          <w:tcPr>
            <w:tcW w:w="458" w:type="pct"/>
            <w:noWrap/>
            <w:vAlign w:val="center"/>
          </w:tcPr>
          <w:p w14:paraId="75AFC5D6">
            <w:pPr>
              <w:pStyle w:val="121"/>
              <w:rPr>
                <w:rFonts w:ascii="Times New Roman" w:hAnsi="Times New Roman"/>
                <w:w w:val="66"/>
                <w:sz w:val="21"/>
                <w:szCs w:val="21"/>
              </w:rPr>
            </w:pPr>
            <w:r>
              <w:rPr>
                <w:rFonts w:hint="eastAsia" w:ascii="Times New Roman" w:hAnsi="Times New Roman"/>
                <w:w w:val="66"/>
                <w:sz w:val="21"/>
                <w:szCs w:val="21"/>
              </w:rPr>
              <w:t>20</w:t>
            </w:r>
          </w:p>
        </w:tc>
      </w:tr>
      <w:tr w14:paraId="7B608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05B1D50">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5280782D">
            <w:pPr>
              <w:pStyle w:val="121"/>
              <w:rPr>
                <w:rFonts w:ascii="Times New Roman" w:hAnsi="Times New Roman"/>
                <w:w w:val="66"/>
                <w:sz w:val="21"/>
                <w:szCs w:val="21"/>
              </w:rPr>
            </w:pPr>
            <w:r>
              <w:rPr>
                <w:rFonts w:ascii="Times New Roman" w:hAnsi="Times New Roman"/>
                <w:w w:val="66"/>
                <w:sz w:val="21"/>
                <w:szCs w:val="21"/>
              </w:rPr>
              <w:t>进风井北石门</w:t>
            </w:r>
          </w:p>
        </w:tc>
        <w:tc>
          <w:tcPr>
            <w:tcW w:w="524" w:type="pct"/>
            <w:noWrap/>
            <w:vAlign w:val="center"/>
          </w:tcPr>
          <w:p w14:paraId="04E468D3">
            <w:pPr>
              <w:pStyle w:val="121"/>
              <w:rPr>
                <w:rFonts w:ascii="Times New Roman" w:hAnsi="Times New Roman"/>
                <w:w w:val="66"/>
                <w:sz w:val="21"/>
                <w:szCs w:val="21"/>
              </w:rPr>
            </w:pPr>
            <w:r>
              <w:rPr>
                <w:rFonts w:hint="eastAsia" w:ascii="Times New Roman" w:hAnsi="Times New Roman"/>
                <w:w w:val="66"/>
                <w:sz w:val="21"/>
                <w:szCs w:val="21"/>
              </w:rPr>
              <w:t>21.1</w:t>
            </w:r>
          </w:p>
        </w:tc>
        <w:tc>
          <w:tcPr>
            <w:tcW w:w="568" w:type="pct"/>
            <w:noWrap/>
            <w:vAlign w:val="center"/>
          </w:tcPr>
          <w:p w14:paraId="1DA91ED8">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7C110F8B">
            <w:pPr>
              <w:pStyle w:val="121"/>
              <w:rPr>
                <w:rFonts w:ascii="Times New Roman" w:hAnsi="Times New Roman"/>
                <w:w w:val="66"/>
                <w:sz w:val="21"/>
                <w:szCs w:val="21"/>
              </w:rPr>
            </w:pPr>
            <w:r>
              <w:rPr>
                <w:rFonts w:hint="eastAsia" w:ascii="Times New Roman" w:hAnsi="Times New Roman"/>
                <w:w w:val="66"/>
                <w:sz w:val="21"/>
                <w:szCs w:val="21"/>
              </w:rPr>
              <w:t>240</w:t>
            </w:r>
          </w:p>
        </w:tc>
        <w:tc>
          <w:tcPr>
            <w:tcW w:w="405" w:type="pct"/>
            <w:noWrap/>
            <w:vAlign w:val="center"/>
          </w:tcPr>
          <w:p w14:paraId="358E47D9">
            <w:pPr>
              <w:pStyle w:val="121"/>
              <w:rPr>
                <w:rFonts w:ascii="Times New Roman" w:hAnsi="Times New Roman"/>
                <w:w w:val="66"/>
                <w:sz w:val="21"/>
                <w:szCs w:val="21"/>
              </w:rPr>
            </w:pPr>
            <w:r>
              <w:rPr>
                <w:rFonts w:hint="eastAsia" w:ascii="Times New Roman" w:hAnsi="Times New Roman"/>
                <w:w w:val="66"/>
                <w:sz w:val="21"/>
                <w:szCs w:val="21"/>
              </w:rPr>
              <w:t>-261.4</w:t>
            </w:r>
          </w:p>
        </w:tc>
        <w:tc>
          <w:tcPr>
            <w:tcW w:w="445" w:type="pct"/>
            <w:noWrap/>
            <w:vAlign w:val="center"/>
          </w:tcPr>
          <w:p w14:paraId="2E672F84">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4796B312">
            <w:pPr>
              <w:pStyle w:val="121"/>
              <w:rPr>
                <w:rFonts w:ascii="Times New Roman" w:hAnsi="Times New Roman"/>
                <w:w w:val="66"/>
                <w:sz w:val="21"/>
                <w:szCs w:val="21"/>
              </w:rPr>
            </w:pPr>
            <w:r>
              <w:rPr>
                <w:rFonts w:hint="eastAsia" w:ascii="Times New Roman" w:hAnsi="Times New Roman"/>
                <w:w w:val="66"/>
                <w:sz w:val="21"/>
                <w:szCs w:val="21"/>
              </w:rPr>
              <w:t>20</w:t>
            </w:r>
          </w:p>
        </w:tc>
      </w:tr>
      <w:tr w14:paraId="451C3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0C3DBC7">
            <w:pPr>
              <w:pStyle w:val="121"/>
              <w:rPr>
                <w:rFonts w:ascii="Times New Roman" w:hAnsi="Times New Roman"/>
                <w:w w:val="66"/>
                <w:sz w:val="21"/>
                <w:szCs w:val="21"/>
              </w:rPr>
            </w:pPr>
            <w:r>
              <w:rPr>
                <w:rFonts w:ascii="Times New Roman" w:hAnsi="Times New Roman"/>
                <w:w w:val="66"/>
                <w:sz w:val="21"/>
                <w:szCs w:val="21"/>
              </w:rPr>
              <w:t>3</w:t>
            </w:r>
          </w:p>
        </w:tc>
        <w:tc>
          <w:tcPr>
            <w:tcW w:w="1809" w:type="pct"/>
            <w:noWrap/>
            <w:vAlign w:val="center"/>
          </w:tcPr>
          <w:p w14:paraId="34D3270D">
            <w:pPr>
              <w:pStyle w:val="121"/>
              <w:rPr>
                <w:rFonts w:ascii="Times New Roman" w:hAnsi="Times New Roman"/>
                <w:w w:val="66"/>
                <w:sz w:val="21"/>
                <w:szCs w:val="21"/>
              </w:rPr>
            </w:pPr>
            <w:r>
              <w:rPr>
                <w:rFonts w:ascii="Times New Roman" w:hAnsi="Times New Roman"/>
                <w:w w:val="66"/>
                <w:sz w:val="21"/>
                <w:szCs w:val="21"/>
              </w:rPr>
              <w:t>进风井南石门</w:t>
            </w:r>
          </w:p>
        </w:tc>
        <w:tc>
          <w:tcPr>
            <w:tcW w:w="524" w:type="pct"/>
            <w:noWrap/>
            <w:vAlign w:val="center"/>
          </w:tcPr>
          <w:p w14:paraId="18FD39E0">
            <w:pPr>
              <w:pStyle w:val="121"/>
              <w:rPr>
                <w:rFonts w:ascii="Times New Roman" w:hAnsi="Times New Roman"/>
                <w:w w:val="66"/>
                <w:sz w:val="21"/>
                <w:szCs w:val="21"/>
              </w:rPr>
            </w:pPr>
            <w:r>
              <w:rPr>
                <w:rFonts w:hint="eastAsia" w:ascii="Times New Roman" w:hAnsi="Times New Roman"/>
                <w:w w:val="66"/>
                <w:sz w:val="21"/>
                <w:szCs w:val="21"/>
              </w:rPr>
              <w:t>21.1</w:t>
            </w:r>
          </w:p>
        </w:tc>
        <w:tc>
          <w:tcPr>
            <w:tcW w:w="568" w:type="pct"/>
            <w:noWrap/>
            <w:vAlign w:val="center"/>
          </w:tcPr>
          <w:p w14:paraId="7270CC90">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6C64A08D">
            <w:pPr>
              <w:pStyle w:val="121"/>
              <w:rPr>
                <w:rFonts w:ascii="Times New Roman" w:hAnsi="Times New Roman"/>
                <w:w w:val="66"/>
                <w:sz w:val="21"/>
                <w:szCs w:val="21"/>
              </w:rPr>
            </w:pPr>
            <w:r>
              <w:rPr>
                <w:rFonts w:hint="eastAsia" w:ascii="Times New Roman" w:hAnsi="Times New Roman"/>
                <w:w w:val="66"/>
                <w:sz w:val="21"/>
                <w:szCs w:val="21"/>
              </w:rPr>
              <w:t>240</w:t>
            </w:r>
          </w:p>
        </w:tc>
        <w:tc>
          <w:tcPr>
            <w:tcW w:w="405" w:type="pct"/>
            <w:noWrap/>
            <w:vAlign w:val="center"/>
          </w:tcPr>
          <w:p w14:paraId="6B704552">
            <w:pPr>
              <w:pStyle w:val="121"/>
              <w:rPr>
                <w:rFonts w:ascii="Times New Roman" w:hAnsi="Times New Roman"/>
                <w:w w:val="66"/>
                <w:sz w:val="21"/>
                <w:szCs w:val="21"/>
              </w:rPr>
            </w:pPr>
            <w:r>
              <w:rPr>
                <w:rFonts w:hint="eastAsia" w:ascii="Times New Roman" w:hAnsi="Times New Roman"/>
                <w:w w:val="66"/>
                <w:sz w:val="21"/>
                <w:szCs w:val="21"/>
              </w:rPr>
              <w:t>-261.5</w:t>
            </w:r>
          </w:p>
        </w:tc>
        <w:tc>
          <w:tcPr>
            <w:tcW w:w="445" w:type="pct"/>
            <w:noWrap/>
            <w:vAlign w:val="center"/>
          </w:tcPr>
          <w:p w14:paraId="4D203D9E">
            <w:pPr>
              <w:pStyle w:val="121"/>
              <w:rPr>
                <w:rFonts w:ascii="Times New Roman" w:hAnsi="Times New Roman"/>
                <w:w w:val="66"/>
                <w:sz w:val="21"/>
                <w:szCs w:val="21"/>
              </w:rPr>
            </w:pPr>
            <w:r>
              <w:rPr>
                <w:rFonts w:hint="eastAsia" w:ascii="Times New Roman" w:hAnsi="Times New Roman"/>
                <w:w w:val="66"/>
                <w:sz w:val="21"/>
                <w:szCs w:val="21"/>
              </w:rPr>
              <w:t>11.4</w:t>
            </w:r>
          </w:p>
        </w:tc>
        <w:tc>
          <w:tcPr>
            <w:tcW w:w="458" w:type="pct"/>
            <w:noWrap/>
            <w:vAlign w:val="center"/>
          </w:tcPr>
          <w:p w14:paraId="68E8C6B7">
            <w:pPr>
              <w:pStyle w:val="121"/>
              <w:rPr>
                <w:rFonts w:ascii="Times New Roman" w:hAnsi="Times New Roman"/>
                <w:w w:val="66"/>
                <w:sz w:val="21"/>
                <w:szCs w:val="21"/>
              </w:rPr>
            </w:pPr>
            <w:r>
              <w:rPr>
                <w:rFonts w:hint="eastAsia" w:ascii="Times New Roman" w:hAnsi="Times New Roman"/>
                <w:w w:val="66"/>
                <w:sz w:val="21"/>
                <w:szCs w:val="21"/>
              </w:rPr>
              <w:t>20</w:t>
            </w:r>
          </w:p>
        </w:tc>
      </w:tr>
      <w:tr w14:paraId="74A03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7AB0CF7">
            <w:pPr>
              <w:pStyle w:val="121"/>
              <w:rPr>
                <w:rFonts w:ascii="Times New Roman" w:hAnsi="Times New Roman"/>
                <w:w w:val="66"/>
                <w:sz w:val="21"/>
                <w:szCs w:val="21"/>
              </w:rPr>
            </w:pPr>
            <w:r>
              <w:rPr>
                <w:rFonts w:hint="eastAsia" w:ascii="Times New Roman" w:hAnsi="Times New Roman"/>
                <w:w w:val="66"/>
                <w:sz w:val="21"/>
                <w:szCs w:val="21"/>
              </w:rPr>
              <w:t>4</w:t>
            </w:r>
          </w:p>
        </w:tc>
        <w:tc>
          <w:tcPr>
            <w:tcW w:w="1809" w:type="pct"/>
            <w:noWrap/>
            <w:vAlign w:val="center"/>
          </w:tcPr>
          <w:p w14:paraId="281D51A0">
            <w:pPr>
              <w:pStyle w:val="121"/>
              <w:rPr>
                <w:rFonts w:ascii="Times New Roman" w:hAnsi="Times New Roman"/>
                <w:w w:val="66"/>
                <w:sz w:val="21"/>
                <w:szCs w:val="21"/>
              </w:rPr>
            </w:pPr>
            <w:r>
              <w:rPr>
                <w:rFonts w:ascii="Times New Roman" w:hAnsi="Times New Roman"/>
                <w:w w:val="66"/>
                <w:sz w:val="21"/>
                <w:szCs w:val="21"/>
              </w:rPr>
              <w:t>下盘脉外联络巷</w:t>
            </w:r>
          </w:p>
        </w:tc>
        <w:tc>
          <w:tcPr>
            <w:tcW w:w="524" w:type="pct"/>
            <w:noWrap/>
            <w:vAlign w:val="center"/>
          </w:tcPr>
          <w:p w14:paraId="7C805168">
            <w:pPr>
              <w:pStyle w:val="121"/>
              <w:rPr>
                <w:rFonts w:ascii="Times New Roman" w:hAnsi="Times New Roman"/>
                <w:w w:val="66"/>
                <w:sz w:val="21"/>
                <w:szCs w:val="21"/>
              </w:rPr>
            </w:pPr>
            <w:r>
              <w:rPr>
                <w:rFonts w:hint="eastAsia" w:ascii="Times New Roman" w:hAnsi="Times New Roman"/>
                <w:w w:val="66"/>
                <w:sz w:val="21"/>
                <w:szCs w:val="21"/>
              </w:rPr>
              <w:t>18.6</w:t>
            </w:r>
          </w:p>
        </w:tc>
        <w:tc>
          <w:tcPr>
            <w:tcW w:w="568" w:type="pct"/>
            <w:noWrap/>
            <w:vAlign w:val="center"/>
          </w:tcPr>
          <w:p w14:paraId="1D481A6B">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722A3E01">
            <w:pPr>
              <w:pStyle w:val="121"/>
              <w:rPr>
                <w:rFonts w:ascii="Times New Roman" w:hAnsi="Times New Roman"/>
                <w:w w:val="66"/>
                <w:sz w:val="21"/>
                <w:szCs w:val="21"/>
              </w:rPr>
            </w:pPr>
            <w:r>
              <w:rPr>
                <w:rFonts w:hint="eastAsia" w:ascii="Times New Roman" w:hAnsi="Times New Roman"/>
                <w:w w:val="66"/>
                <w:sz w:val="21"/>
                <w:szCs w:val="21"/>
              </w:rPr>
              <w:t>162.3</w:t>
            </w:r>
          </w:p>
        </w:tc>
        <w:tc>
          <w:tcPr>
            <w:tcW w:w="405" w:type="pct"/>
            <w:noWrap/>
            <w:vAlign w:val="center"/>
          </w:tcPr>
          <w:p w14:paraId="5999A2F9">
            <w:pPr>
              <w:pStyle w:val="121"/>
              <w:rPr>
                <w:rFonts w:ascii="Times New Roman" w:hAnsi="Times New Roman"/>
                <w:w w:val="66"/>
                <w:sz w:val="21"/>
                <w:szCs w:val="21"/>
              </w:rPr>
            </w:pPr>
            <w:r>
              <w:rPr>
                <w:rFonts w:hint="eastAsia" w:ascii="Times New Roman" w:hAnsi="Times New Roman"/>
                <w:w w:val="66"/>
                <w:sz w:val="21"/>
                <w:szCs w:val="21"/>
              </w:rPr>
              <w:t>-243.1</w:t>
            </w:r>
          </w:p>
        </w:tc>
        <w:tc>
          <w:tcPr>
            <w:tcW w:w="445" w:type="pct"/>
            <w:noWrap/>
            <w:vAlign w:val="center"/>
          </w:tcPr>
          <w:p w14:paraId="760E18F9">
            <w:pPr>
              <w:pStyle w:val="121"/>
              <w:rPr>
                <w:rFonts w:ascii="Times New Roman" w:hAnsi="Times New Roman"/>
                <w:w w:val="66"/>
                <w:sz w:val="21"/>
                <w:szCs w:val="21"/>
              </w:rPr>
            </w:pPr>
            <w:r>
              <w:rPr>
                <w:rFonts w:hint="eastAsia" w:ascii="Times New Roman" w:hAnsi="Times New Roman"/>
                <w:w w:val="66"/>
                <w:sz w:val="21"/>
                <w:szCs w:val="21"/>
              </w:rPr>
              <w:t>8.7</w:t>
            </w:r>
          </w:p>
        </w:tc>
        <w:tc>
          <w:tcPr>
            <w:tcW w:w="458" w:type="pct"/>
            <w:noWrap/>
            <w:vAlign w:val="center"/>
          </w:tcPr>
          <w:p w14:paraId="15E10597">
            <w:pPr>
              <w:pStyle w:val="121"/>
              <w:rPr>
                <w:rFonts w:ascii="Times New Roman" w:hAnsi="Times New Roman"/>
                <w:w w:val="66"/>
                <w:sz w:val="21"/>
                <w:szCs w:val="21"/>
              </w:rPr>
            </w:pPr>
            <w:r>
              <w:rPr>
                <w:rFonts w:hint="eastAsia" w:ascii="Times New Roman" w:hAnsi="Times New Roman"/>
                <w:w w:val="66"/>
                <w:sz w:val="21"/>
                <w:szCs w:val="21"/>
              </w:rPr>
              <w:t>20</w:t>
            </w:r>
          </w:p>
        </w:tc>
      </w:tr>
      <w:tr w14:paraId="55219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0BEE8CA">
            <w:pPr>
              <w:pStyle w:val="121"/>
              <w:rPr>
                <w:rFonts w:ascii="Times New Roman" w:hAnsi="Times New Roman"/>
                <w:w w:val="66"/>
                <w:sz w:val="21"/>
                <w:szCs w:val="21"/>
              </w:rPr>
            </w:pPr>
            <w:r>
              <w:rPr>
                <w:rFonts w:hint="eastAsia" w:ascii="Times New Roman" w:hAnsi="Times New Roman"/>
                <w:w w:val="66"/>
                <w:sz w:val="21"/>
                <w:szCs w:val="21"/>
              </w:rPr>
              <w:t>5</w:t>
            </w:r>
          </w:p>
        </w:tc>
        <w:tc>
          <w:tcPr>
            <w:tcW w:w="1809" w:type="pct"/>
            <w:noWrap/>
            <w:vAlign w:val="center"/>
          </w:tcPr>
          <w:p w14:paraId="76F56A84">
            <w:pPr>
              <w:pStyle w:val="121"/>
              <w:rPr>
                <w:rFonts w:ascii="Times New Roman" w:hAnsi="Times New Roman"/>
                <w:w w:val="66"/>
                <w:sz w:val="21"/>
                <w:szCs w:val="21"/>
              </w:rPr>
            </w:pPr>
            <w:r>
              <w:rPr>
                <w:rFonts w:ascii="Times New Roman" w:hAnsi="Times New Roman"/>
                <w:w w:val="66"/>
                <w:sz w:val="21"/>
                <w:szCs w:val="21"/>
              </w:rPr>
              <w:t>采区进风天井联络巷</w:t>
            </w:r>
          </w:p>
        </w:tc>
        <w:tc>
          <w:tcPr>
            <w:tcW w:w="524" w:type="pct"/>
            <w:noWrap/>
            <w:vAlign w:val="center"/>
          </w:tcPr>
          <w:p w14:paraId="7E58E0F7">
            <w:pPr>
              <w:pStyle w:val="121"/>
              <w:rPr>
                <w:rFonts w:ascii="Times New Roman" w:hAnsi="Times New Roman"/>
                <w:w w:val="66"/>
                <w:sz w:val="21"/>
                <w:szCs w:val="21"/>
              </w:rPr>
            </w:pPr>
            <w:r>
              <w:rPr>
                <w:rFonts w:hint="eastAsia" w:ascii="Times New Roman" w:hAnsi="Times New Roman"/>
                <w:w w:val="66"/>
                <w:sz w:val="21"/>
                <w:szCs w:val="21"/>
              </w:rPr>
              <w:t>12.7</w:t>
            </w:r>
          </w:p>
        </w:tc>
        <w:tc>
          <w:tcPr>
            <w:tcW w:w="568" w:type="pct"/>
            <w:noWrap/>
            <w:vAlign w:val="center"/>
          </w:tcPr>
          <w:p w14:paraId="57075B66">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504A40CE">
            <w:pPr>
              <w:pStyle w:val="121"/>
              <w:rPr>
                <w:rFonts w:ascii="Times New Roman" w:hAnsi="Times New Roman"/>
                <w:w w:val="66"/>
                <w:sz w:val="21"/>
                <w:szCs w:val="21"/>
              </w:rPr>
            </w:pPr>
            <w:r>
              <w:rPr>
                <w:rFonts w:hint="eastAsia" w:ascii="Times New Roman" w:hAnsi="Times New Roman"/>
                <w:w w:val="66"/>
                <w:sz w:val="21"/>
                <w:szCs w:val="21"/>
              </w:rPr>
              <w:t>114.0</w:t>
            </w:r>
          </w:p>
        </w:tc>
        <w:tc>
          <w:tcPr>
            <w:tcW w:w="405" w:type="pct"/>
            <w:noWrap/>
            <w:vAlign w:val="center"/>
          </w:tcPr>
          <w:p w14:paraId="4BA4F621">
            <w:pPr>
              <w:pStyle w:val="121"/>
              <w:rPr>
                <w:rFonts w:ascii="Times New Roman" w:hAnsi="Times New Roman"/>
                <w:w w:val="66"/>
                <w:sz w:val="21"/>
                <w:szCs w:val="21"/>
              </w:rPr>
            </w:pPr>
            <w:r>
              <w:rPr>
                <w:rFonts w:hint="eastAsia" w:ascii="Times New Roman" w:hAnsi="Times New Roman"/>
                <w:w w:val="66"/>
                <w:sz w:val="21"/>
                <w:szCs w:val="21"/>
              </w:rPr>
              <w:t>-85.5</w:t>
            </w:r>
          </w:p>
        </w:tc>
        <w:tc>
          <w:tcPr>
            <w:tcW w:w="445" w:type="pct"/>
            <w:noWrap/>
            <w:vAlign w:val="center"/>
          </w:tcPr>
          <w:p w14:paraId="12831AEB">
            <w:pPr>
              <w:pStyle w:val="121"/>
              <w:rPr>
                <w:rFonts w:ascii="Times New Roman" w:hAnsi="Times New Roman"/>
                <w:w w:val="66"/>
                <w:sz w:val="21"/>
                <w:szCs w:val="21"/>
              </w:rPr>
            </w:pPr>
            <w:r>
              <w:rPr>
                <w:rFonts w:hint="eastAsia" w:ascii="Times New Roman" w:hAnsi="Times New Roman"/>
                <w:w w:val="66"/>
                <w:sz w:val="21"/>
                <w:szCs w:val="21"/>
              </w:rPr>
              <w:t>8.9</w:t>
            </w:r>
          </w:p>
        </w:tc>
        <w:tc>
          <w:tcPr>
            <w:tcW w:w="458" w:type="pct"/>
            <w:noWrap/>
            <w:vAlign w:val="center"/>
          </w:tcPr>
          <w:p w14:paraId="4AAC756C">
            <w:pPr>
              <w:pStyle w:val="121"/>
              <w:rPr>
                <w:rFonts w:ascii="Times New Roman" w:hAnsi="Times New Roman"/>
                <w:w w:val="66"/>
                <w:sz w:val="21"/>
                <w:szCs w:val="21"/>
              </w:rPr>
            </w:pPr>
            <w:r>
              <w:rPr>
                <w:rFonts w:hint="eastAsia" w:ascii="Times New Roman" w:hAnsi="Times New Roman"/>
                <w:w w:val="66"/>
                <w:sz w:val="21"/>
                <w:szCs w:val="21"/>
              </w:rPr>
              <w:t>20</w:t>
            </w:r>
          </w:p>
        </w:tc>
      </w:tr>
      <w:tr w14:paraId="1B01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04D45465">
            <w:pPr>
              <w:pStyle w:val="121"/>
              <w:rPr>
                <w:rFonts w:ascii="Times New Roman" w:hAnsi="Times New Roman"/>
                <w:w w:val="66"/>
                <w:sz w:val="21"/>
                <w:szCs w:val="21"/>
              </w:rPr>
            </w:pPr>
            <w:r>
              <w:rPr>
                <w:rFonts w:hint="eastAsia" w:ascii="Times New Roman" w:hAnsi="Times New Roman"/>
                <w:w w:val="66"/>
                <w:sz w:val="21"/>
                <w:szCs w:val="21"/>
              </w:rPr>
              <w:t>六</w:t>
            </w:r>
          </w:p>
        </w:tc>
        <w:tc>
          <w:tcPr>
            <w:tcW w:w="1809" w:type="pct"/>
            <w:noWrap/>
            <w:vAlign w:val="center"/>
          </w:tcPr>
          <w:p w14:paraId="60B65658">
            <w:pPr>
              <w:pStyle w:val="121"/>
              <w:rPr>
                <w:rFonts w:ascii="Times New Roman" w:hAnsi="Times New Roman"/>
                <w:w w:val="66"/>
                <w:sz w:val="21"/>
                <w:szCs w:val="21"/>
              </w:rPr>
            </w:pPr>
            <w:r>
              <w:rPr>
                <w:rFonts w:ascii="Times New Roman" w:hAnsi="Times New Roman"/>
                <w:w w:val="66"/>
                <w:sz w:val="21"/>
                <w:szCs w:val="21"/>
              </w:rPr>
              <w:t>-505m运输水平</w:t>
            </w:r>
          </w:p>
        </w:tc>
        <w:tc>
          <w:tcPr>
            <w:tcW w:w="524" w:type="pct"/>
            <w:noWrap/>
            <w:vAlign w:val="center"/>
          </w:tcPr>
          <w:p w14:paraId="0AA0FF37">
            <w:pPr>
              <w:pStyle w:val="121"/>
              <w:rPr>
                <w:rFonts w:ascii="Times New Roman" w:hAnsi="Times New Roman"/>
                <w:w w:val="66"/>
                <w:sz w:val="21"/>
                <w:szCs w:val="21"/>
              </w:rPr>
            </w:pPr>
          </w:p>
        </w:tc>
        <w:tc>
          <w:tcPr>
            <w:tcW w:w="568" w:type="pct"/>
            <w:noWrap/>
            <w:vAlign w:val="center"/>
          </w:tcPr>
          <w:p w14:paraId="045050FD">
            <w:pPr>
              <w:pStyle w:val="121"/>
              <w:rPr>
                <w:rFonts w:ascii="Times New Roman" w:hAnsi="Times New Roman"/>
                <w:w w:val="66"/>
                <w:sz w:val="21"/>
                <w:szCs w:val="21"/>
              </w:rPr>
            </w:pPr>
          </w:p>
        </w:tc>
        <w:tc>
          <w:tcPr>
            <w:tcW w:w="474" w:type="pct"/>
            <w:noWrap/>
            <w:vAlign w:val="center"/>
          </w:tcPr>
          <w:p w14:paraId="183FAE96">
            <w:pPr>
              <w:pStyle w:val="121"/>
              <w:rPr>
                <w:rFonts w:ascii="Times New Roman" w:hAnsi="Times New Roman"/>
                <w:w w:val="66"/>
                <w:sz w:val="21"/>
                <w:szCs w:val="21"/>
              </w:rPr>
            </w:pPr>
          </w:p>
        </w:tc>
        <w:tc>
          <w:tcPr>
            <w:tcW w:w="405" w:type="pct"/>
            <w:noWrap/>
            <w:vAlign w:val="center"/>
          </w:tcPr>
          <w:p w14:paraId="5E197E91">
            <w:pPr>
              <w:pStyle w:val="121"/>
              <w:rPr>
                <w:rFonts w:ascii="Times New Roman" w:hAnsi="Times New Roman"/>
                <w:w w:val="66"/>
                <w:sz w:val="21"/>
                <w:szCs w:val="21"/>
              </w:rPr>
            </w:pPr>
          </w:p>
        </w:tc>
        <w:tc>
          <w:tcPr>
            <w:tcW w:w="445" w:type="pct"/>
            <w:noWrap/>
            <w:vAlign w:val="center"/>
          </w:tcPr>
          <w:p w14:paraId="131964DC">
            <w:pPr>
              <w:pStyle w:val="121"/>
              <w:rPr>
                <w:rFonts w:ascii="Times New Roman" w:hAnsi="Times New Roman"/>
                <w:w w:val="66"/>
                <w:sz w:val="21"/>
                <w:szCs w:val="21"/>
              </w:rPr>
            </w:pPr>
          </w:p>
        </w:tc>
        <w:tc>
          <w:tcPr>
            <w:tcW w:w="458" w:type="pct"/>
            <w:noWrap/>
            <w:vAlign w:val="center"/>
          </w:tcPr>
          <w:p w14:paraId="503EF9C7">
            <w:pPr>
              <w:pStyle w:val="121"/>
              <w:rPr>
                <w:rFonts w:ascii="Times New Roman" w:hAnsi="Times New Roman"/>
                <w:w w:val="66"/>
                <w:sz w:val="21"/>
                <w:szCs w:val="21"/>
              </w:rPr>
            </w:pPr>
          </w:p>
        </w:tc>
      </w:tr>
      <w:tr w14:paraId="78657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6525C2A">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70A66962">
            <w:pPr>
              <w:pStyle w:val="121"/>
              <w:rPr>
                <w:rFonts w:ascii="Times New Roman" w:hAnsi="Times New Roman"/>
                <w:w w:val="66"/>
                <w:sz w:val="21"/>
                <w:szCs w:val="21"/>
              </w:rPr>
            </w:pPr>
            <w:r>
              <w:rPr>
                <w:rFonts w:ascii="Times New Roman" w:hAnsi="Times New Roman"/>
                <w:w w:val="66"/>
                <w:sz w:val="21"/>
                <w:szCs w:val="21"/>
              </w:rPr>
              <w:t>副井石门（东侧）</w:t>
            </w:r>
          </w:p>
        </w:tc>
        <w:tc>
          <w:tcPr>
            <w:tcW w:w="524" w:type="pct"/>
            <w:noWrap/>
            <w:vAlign w:val="center"/>
          </w:tcPr>
          <w:p w14:paraId="329BB474">
            <w:pPr>
              <w:pStyle w:val="121"/>
              <w:rPr>
                <w:rFonts w:ascii="Times New Roman" w:hAnsi="Times New Roman"/>
                <w:w w:val="66"/>
                <w:sz w:val="21"/>
                <w:szCs w:val="21"/>
              </w:rPr>
            </w:pPr>
            <w:r>
              <w:rPr>
                <w:rFonts w:hint="eastAsia" w:ascii="Times New Roman" w:hAnsi="Times New Roman"/>
                <w:w w:val="66"/>
                <w:sz w:val="21"/>
                <w:szCs w:val="21"/>
              </w:rPr>
              <w:t>13.1</w:t>
            </w:r>
          </w:p>
        </w:tc>
        <w:tc>
          <w:tcPr>
            <w:tcW w:w="568" w:type="pct"/>
            <w:noWrap/>
            <w:vAlign w:val="center"/>
          </w:tcPr>
          <w:p w14:paraId="6B53F18A">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0E6620BD">
            <w:pPr>
              <w:pStyle w:val="121"/>
              <w:rPr>
                <w:rFonts w:ascii="Times New Roman" w:hAnsi="Times New Roman"/>
                <w:w w:val="66"/>
                <w:sz w:val="21"/>
                <w:szCs w:val="21"/>
              </w:rPr>
            </w:pPr>
            <w:r>
              <w:rPr>
                <w:rFonts w:hint="eastAsia" w:ascii="Times New Roman" w:hAnsi="Times New Roman"/>
                <w:w w:val="66"/>
                <w:sz w:val="21"/>
                <w:szCs w:val="21"/>
              </w:rPr>
              <w:t>14.7</w:t>
            </w:r>
          </w:p>
        </w:tc>
        <w:tc>
          <w:tcPr>
            <w:tcW w:w="405" w:type="pct"/>
            <w:noWrap/>
            <w:vAlign w:val="center"/>
          </w:tcPr>
          <w:p w14:paraId="7F02B1D2">
            <w:pPr>
              <w:pStyle w:val="121"/>
              <w:rPr>
                <w:rFonts w:ascii="Times New Roman" w:hAnsi="Times New Roman"/>
                <w:w w:val="66"/>
                <w:sz w:val="21"/>
                <w:szCs w:val="21"/>
              </w:rPr>
            </w:pPr>
            <w:r>
              <w:rPr>
                <w:rFonts w:hint="eastAsia" w:ascii="Times New Roman" w:hAnsi="Times New Roman"/>
                <w:w w:val="66"/>
                <w:sz w:val="21"/>
                <w:szCs w:val="21"/>
              </w:rPr>
              <w:t>-21.9</w:t>
            </w:r>
          </w:p>
        </w:tc>
        <w:tc>
          <w:tcPr>
            <w:tcW w:w="445" w:type="pct"/>
            <w:noWrap/>
            <w:vAlign w:val="center"/>
          </w:tcPr>
          <w:p w14:paraId="256CCA37">
            <w:pPr>
              <w:pStyle w:val="121"/>
              <w:rPr>
                <w:rFonts w:ascii="Times New Roman" w:hAnsi="Times New Roman"/>
                <w:w w:val="66"/>
                <w:sz w:val="21"/>
                <w:szCs w:val="21"/>
              </w:rPr>
            </w:pPr>
            <w:r>
              <w:rPr>
                <w:rFonts w:hint="eastAsia" w:ascii="Times New Roman" w:hAnsi="Times New Roman"/>
                <w:w w:val="66"/>
                <w:sz w:val="21"/>
                <w:szCs w:val="21"/>
              </w:rPr>
              <w:t>1.2</w:t>
            </w:r>
          </w:p>
        </w:tc>
        <w:tc>
          <w:tcPr>
            <w:tcW w:w="458" w:type="pct"/>
            <w:noWrap/>
            <w:vAlign w:val="center"/>
          </w:tcPr>
          <w:p w14:paraId="59965C72">
            <w:pPr>
              <w:pStyle w:val="121"/>
              <w:rPr>
                <w:rFonts w:ascii="Times New Roman" w:hAnsi="Times New Roman"/>
                <w:w w:val="66"/>
                <w:sz w:val="21"/>
                <w:szCs w:val="21"/>
              </w:rPr>
            </w:pPr>
            <w:r>
              <w:rPr>
                <w:rFonts w:ascii="Times New Roman" w:hAnsi="Times New Roman"/>
                <w:w w:val="66"/>
                <w:sz w:val="21"/>
                <w:szCs w:val="21"/>
              </w:rPr>
              <w:t>6</w:t>
            </w:r>
          </w:p>
        </w:tc>
      </w:tr>
      <w:tr w14:paraId="3BCAB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6C6179D">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5884DD4B">
            <w:pPr>
              <w:pStyle w:val="121"/>
              <w:rPr>
                <w:rFonts w:ascii="Times New Roman" w:hAnsi="Times New Roman"/>
                <w:w w:val="66"/>
                <w:sz w:val="21"/>
                <w:szCs w:val="21"/>
              </w:rPr>
            </w:pPr>
            <w:r>
              <w:rPr>
                <w:rFonts w:ascii="Times New Roman" w:hAnsi="Times New Roman"/>
                <w:w w:val="66"/>
                <w:sz w:val="21"/>
                <w:szCs w:val="21"/>
              </w:rPr>
              <w:t>副井石门（西侧）</w:t>
            </w:r>
          </w:p>
        </w:tc>
        <w:tc>
          <w:tcPr>
            <w:tcW w:w="524" w:type="pct"/>
            <w:noWrap/>
            <w:vAlign w:val="center"/>
          </w:tcPr>
          <w:p w14:paraId="7F8CEAFB">
            <w:pPr>
              <w:pStyle w:val="121"/>
              <w:rPr>
                <w:rFonts w:ascii="Times New Roman" w:hAnsi="Times New Roman"/>
                <w:w w:val="66"/>
                <w:sz w:val="21"/>
                <w:szCs w:val="21"/>
              </w:rPr>
            </w:pPr>
            <w:r>
              <w:rPr>
                <w:rFonts w:hint="eastAsia" w:ascii="Times New Roman" w:hAnsi="Times New Roman"/>
                <w:w w:val="66"/>
                <w:sz w:val="21"/>
                <w:szCs w:val="21"/>
              </w:rPr>
              <w:t>13.1</w:t>
            </w:r>
          </w:p>
        </w:tc>
        <w:tc>
          <w:tcPr>
            <w:tcW w:w="568" w:type="pct"/>
            <w:noWrap/>
            <w:vAlign w:val="center"/>
          </w:tcPr>
          <w:p w14:paraId="4482E717">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6CE83D69">
            <w:pPr>
              <w:pStyle w:val="121"/>
              <w:rPr>
                <w:rFonts w:ascii="Times New Roman" w:hAnsi="Times New Roman"/>
                <w:w w:val="66"/>
                <w:sz w:val="21"/>
                <w:szCs w:val="21"/>
              </w:rPr>
            </w:pPr>
            <w:r>
              <w:rPr>
                <w:rFonts w:hint="eastAsia" w:ascii="Times New Roman" w:hAnsi="Times New Roman"/>
                <w:w w:val="66"/>
                <w:sz w:val="21"/>
                <w:szCs w:val="21"/>
              </w:rPr>
              <w:t>19.7</w:t>
            </w:r>
          </w:p>
        </w:tc>
        <w:tc>
          <w:tcPr>
            <w:tcW w:w="405" w:type="pct"/>
            <w:noWrap/>
            <w:vAlign w:val="center"/>
          </w:tcPr>
          <w:p w14:paraId="2488E01B">
            <w:pPr>
              <w:pStyle w:val="121"/>
              <w:rPr>
                <w:rFonts w:ascii="Times New Roman" w:hAnsi="Times New Roman"/>
                <w:w w:val="66"/>
                <w:sz w:val="21"/>
                <w:szCs w:val="21"/>
              </w:rPr>
            </w:pPr>
            <w:r>
              <w:rPr>
                <w:rFonts w:hint="eastAsia" w:ascii="Times New Roman" w:hAnsi="Times New Roman"/>
                <w:w w:val="66"/>
                <w:sz w:val="21"/>
                <w:szCs w:val="21"/>
              </w:rPr>
              <w:t>-21.8</w:t>
            </w:r>
          </w:p>
        </w:tc>
        <w:tc>
          <w:tcPr>
            <w:tcW w:w="445" w:type="pct"/>
            <w:noWrap/>
            <w:vAlign w:val="center"/>
          </w:tcPr>
          <w:p w14:paraId="320A2222">
            <w:pPr>
              <w:pStyle w:val="121"/>
              <w:rPr>
                <w:rFonts w:ascii="Times New Roman" w:hAnsi="Times New Roman"/>
                <w:w w:val="66"/>
                <w:sz w:val="21"/>
                <w:szCs w:val="21"/>
              </w:rPr>
            </w:pPr>
            <w:r>
              <w:rPr>
                <w:rFonts w:hint="eastAsia" w:ascii="Times New Roman" w:hAnsi="Times New Roman"/>
                <w:w w:val="66"/>
                <w:sz w:val="21"/>
                <w:szCs w:val="21"/>
              </w:rPr>
              <w:t>1.6</w:t>
            </w:r>
          </w:p>
        </w:tc>
        <w:tc>
          <w:tcPr>
            <w:tcW w:w="458" w:type="pct"/>
            <w:noWrap/>
            <w:vAlign w:val="center"/>
          </w:tcPr>
          <w:p w14:paraId="49CC4047">
            <w:pPr>
              <w:pStyle w:val="121"/>
              <w:rPr>
                <w:rFonts w:ascii="Times New Roman" w:hAnsi="Times New Roman"/>
                <w:w w:val="66"/>
                <w:sz w:val="21"/>
                <w:szCs w:val="21"/>
              </w:rPr>
            </w:pPr>
            <w:r>
              <w:rPr>
                <w:rFonts w:ascii="Times New Roman" w:hAnsi="Times New Roman"/>
                <w:w w:val="66"/>
                <w:sz w:val="21"/>
                <w:szCs w:val="21"/>
              </w:rPr>
              <w:t>6</w:t>
            </w:r>
          </w:p>
        </w:tc>
      </w:tr>
      <w:tr w14:paraId="6B274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6B4FC7BB">
            <w:pPr>
              <w:pStyle w:val="121"/>
              <w:rPr>
                <w:rFonts w:ascii="Times New Roman" w:hAnsi="Times New Roman"/>
                <w:w w:val="66"/>
                <w:sz w:val="21"/>
                <w:szCs w:val="21"/>
              </w:rPr>
            </w:pPr>
            <w:r>
              <w:rPr>
                <w:rFonts w:ascii="Times New Roman" w:hAnsi="Times New Roman"/>
                <w:w w:val="66"/>
                <w:sz w:val="21"/>
                <w:szCs w:val="21"/>
              </w:rPr>
              <w:t>3</w:t>
            </w:r>
          </w:p>
        </w:tc>
        <w:tc>
          <w:tcPr>
            <w:tcW w:w="1809" w:type="pct"/>
            <w:noWrap/>
            <w:vAlign w:val="center"/>
          </w:tcPr>
          <w:p w14:paraId="6EAE3051">
            <w:pPr>
              <w:pStyle w:val="121"/>
              <w:rPr>
                <w:rFonts w:ascii="Times New Roman" w:hAnsi="Times New Roman"/>
                <w:w w:val="66"/>
                <w:sz w:val="21"/>
                <w:szCs w:val="21"/>
              </w:rPr>
            </w:pPr>
            <w:r>
              <w:rPr>
                <w:rFonts w:ascii="Times New Roman" w:hAnsi="Times New Roman"/>
                <w:w w:val="66"/>
                <w:sz w:val="21"/>
                <w:szCs w:val="21"/>
              </w:rPr>
              <w:t>沿脉运输巷道</w:t>
            </w:r>
          </w:p>
        </w:tc>
        <w:tc>
          <w:tcPr>
            <w:tcW w:w="524" w:type="pct"/>
            <w:noWrap/>
            <w:vAlign w:val="center"/>
          </w:tcPr>
          <w:p w14:paraId="7A3FCC30">
            <w:pPr>
              <w:pStyle w:val="121"/>
              <w:rPr>
                <w:rFonts w:ascii="Times New Roman" w:hAnsi="Times New Roman"/>
                <w:w w:val="66"/>
                <w:sz w:val="21"/>
                <w:szCs w:val="21"/>
              </w:rPr>
            </w:pPr>
            <w:r>
              <w:rPr>
                <w:rFonts w:hint="eastAsia" w:ascii="Times New Roman" w:hAnsi="Times New Roman"/>
                <w:w w:val="66"/>
                <w:sz w:val="21"/>
                <w:szCs w:val="21"/>
              </w:rPr>
              <w:t>12.4</w:t>
            </w:r>
          </w:p>
        </w:tc>
        <w:tc>
          <w:tcPr>
            <w:tcW w:w="568" w:type="pct"/>
            <w:noWrap/>
            <w:vAlign w:val="center"/>
          </w:tcPr>
          <w:p w14:paraId="378BDFBF">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0C137509">
            <w:pPr>
              <w:pStyle w:val="121"/>
              <w:rPr>
                <w:rFonts w:ascii="Times New Roman" w:hAnsi="Times New Roman"/>
                <w:w w:val="66"/>
                <w:sz w:val="21"/>
                <w:szCs w:val="21"/>
              </w:rPr>
            </w:pPr>
            <w:r>
              <w:rPr>
                <w:rFonts w:hint="eastAsia" w:ascii="Times New Roman" w:hAnsi="Times New Roman"/>
                <w:w w:val="66"/>
                <w:sz w:val="21"/>
                <w:szCs w:val="21"/>
              </w:rPr>
              <w:t>40.5</w:t>
            </w:r>
          </w:p>
        </w:tc>
        <w:tc>
          <w:tcPr>
            <w:tcW w:w="405" w:type="pct"/>
            <w:noWrap/>
            <w:vAlign w:val="center"/>
          </w:tcPr>
          <w:p w14:paraId="617D9B28">
            <w:pPr>
              <w:pStyle w:val="121"/>
              <w:rPr>
                <w:rFonts w:ascii="Times New Roman" w:hAnsi="Times New Roman"/>
                <w:w w:val="66"/>
                <w:sz w:val="21"/>
                <w:szCs w:val="21"/>
              </w:rPr>
            </w:pPr>
            <w:r>
              <w:rPr>
                <w:rFonts w:hint="eastAsia" w:ascii="Times New Roman" w:hAnsi="Times New Roman"/>
                <w:w w:val="66"/>
                <w:sz w:val="21"/>
                <w:szCs w:val="21"/>
              </w:rPr>
              <w:t>-81.5</w:t>
            </w:r>
          </w:p>
        </w:tc>
        <w:tc>
          <w:tcPr>
            <w:tcW w:w="445" w:type="pct"/>
            <w:noWrap/>
            <w:vAlign w:val="center"/>
          </w:tcPr>
          <w:p w14:paraId="2AB632E9">
            <w:pPr>
              <w:pStyle w:val="121"/>
              <w:rPr>
                <w:rFonts w:ascii="Times New Roman" w:hAnsi="Times New Roman"/>
                <w:w w:val="66"/>
                <w:sz w:val="21"/>
                <w:szCs w:val="21"/>
              </w:rPr>
            </w:pPr>
            <w:r>
              <w:rPr>
                <w:rFonts w:hint="eastAsia" w:ascii="Times New Roman" w:hAnsi="Times New Roman"/>
                <w:w w:val="66"/>
                <w:sz w:val="21"/>
                <w:szCs w:val="21"/>
              </w:rPr>
              <w:t>3.2</w:t>
            </w:r>
          </w:p>
        </w:tc>
        <w:tc>
          <w:tcPr>
            <w:tcW w:w="458" w:type="pct"/>
            <w:noWrap/>
            <w:vAlign w:val="center"/>
          </w:tcPr>
          <w:p w14:paraId="2ACBE545">
            <w:pPr>
              <w:pStyle w:val="121"/>
              <w:rPr>
                <w:rFonts w:ascii="Times New Roman" w:hAnsi="Times New Roman"/>
                <w:w w:val="66"/>
                <w:sz w:val="21"/>
                <w:szCs w:val="21"/>
              </w:rPr>
            </w:pPr>
            <w:r>
              <w:rPr>
                <w:rFonts w:ascii="Times New Roman" w:hAnsi="Times New Roman"/>
                <w:w w:val="66"/>
                <w:sz w:val="21"/>
                <w:szCs w:val="21"/>
              </w:rPr>
              <w:t>6</w:t>
            </w:r>
          </w:p>
        </w:tc>
      </w:tr>
      <w:tr w14:paraId="378C1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DB377AE">
            <w:pPr>
              <w:pStyle w:val="121"/>
              <w:rPr>
                <w:rFonts w:ascii="Times New Roman" w:hAnsi="Times New Roman"/>
                <w:w w:val="66"/>
                <w:sz w:val="21"/>
                <w:szCs w:val="21"/>
              </w:rPr>
            </w:pPr>
            <w:r>
              <w:rPr>
                <w:rFonts w:ascii="Times New Roman" w:hAnsi="Times New Roman"/>
                <w:w w:val="66"/>
                <w:sz w:val="21"/>
                <w:szCs w:val="21"/>
              </w:rPr>
              <w:t>4</w:t>
            </w:r>
          </w:p>
        </w:tc>
        <w:tc>
          <w:tcPr>
            <w:tcW w:w="1809" w:type="pct"/>
            <w:noWrap/>
            <w:vAlign w:val="center"/>
          </w:tcPr>
          <w:p w14:paraId="49033B3B">
            <w:pPr>
              <w:pStyle w:val="121"/>
              <w:rPr>
                <w:rFonts w:ascii="Times New Roman" w:hAnsi="Times New Roman"/>
                <w:w w:val="66"/>
                <w:sz w:val="21"/>
                <w:szCs w:val="21"/>
              </w:rPr>
            </w:pPr>
            <w:r>
              <w:rPr>
                <w:rFonts w:ascii="Times New Roman" w:hAnsi="Times New Roman"/>
                <w:w w:val="66"/>
                <w:sz w:val="21"/>
                <w:szCs w:val="21"/>
              </w:rPr>
              <w:t>穿脉运输巷道</w:t>
            </w:r>
          </w:p>
        </w:tc>
        <w:tc>
          <w:tcPr>
            <w:tcW w:w="524" w:type="pct"/>
            <w:noWrap/>
            <w:vAlign w:val="center"/>
          </w:tcPr>
          <w:p w14:paraId="66FD7C17">
            <w:pPr>
              <w:pStyle w:val="121"/>
              <w:rPr>
                <w:rFonts w:ascii="Times New Roman" w:hAnsi="Times New Roman"/>
                <w:w w:val="66"/>
                <w:sz w:val="21"/>
                <w:szCs w:val="21"/>
              </w:rPr>
            </w:pPr>
            <w:r>
              <w:rPr>
                <w:rFonts w:hint="eastAsia" w:ascii="Times New Roman" w:hAnsi="Times New Roman"/>
                <w:w w:val="66"/>
                <w:sz w:val="21"/>
                <w:szCs w:val="21"/>
              </w:rPr>
              <w:t>12.4</w:t>
            </w:r>
          </w:p>
        </w:tc>
        <w:tc>
          <w:tcPr>
            <w:tcW w:w="568" w:type="pct"/>
            <w:noWrap/>
            <w:vAlign w:val="center"/>
          </w:tcPr>
          <w:p w14:paraId="61FC9AC6">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32CA7D17">
            <w:pPr>
              <w:pStyle w:val="121"/>
              <w:rPr>
                <w:rFonts w:ascii="Times New Roman" w:hAnsi="Times New Roman"/>
                <w:w w:val="66"/>
                <w:sz w:val="21"/>
                <w:szCs w:val="21"/>
              </w:rPr>
            </w:pPr>
            <w:r>
              <w:rPr>
                <w:rFonts w:hint="eastAsia" w:ascii="Times New Roman" w:hAnsi="Times New Roman"/>
                <w:w w:val="66"/>
                <w:sz w:val="21"/>
                <w:szCs w:val="21"/>
              </w:rPr>
              <w:t>15.3</w:t>
            </w:r>
          </w:p>
        </w:tc>
        <w:tc>
          <w:tcPr>
            <w:tcW w:w="405" w:type="pct"/>
            <w:noWrap/>
            <w:vAlign w:val="center"/>
          </w:tcPr>
          <w:p w14:paraId="1D2DA90F">
            <w:pPr>
              <w:pStyle w:val="121"/>
              <w:rPr>
                <w:rFonts w:ascii="Times New Roman" w:hAnsi="Times New Roman"/>
                <w:w w:val="66"/>
                <w:sz w:val="21"/>
                <w:szCs w:val="21"/>
              </w:rPr>
            </w:pPr>
            <w:r>
              <w:rPr>
                <w:rFonts w:hint="eastAsia" w:ascii="Times New Roman" w:hAnsi="Times New Roman"/>
                <w:w w:val="66"/>
                <w:sz w:val="21"/>
                <w:szCs w:val="21"/>
              </w:rPr>
              <w:t>-34.7</w:t>
            </w:r>
          </w:p>
        </w:tc>
        <w:tc>
          <w:tcPr>
            <w:tcW w:w="445" w:type="pct"/>
            <w:noWrap/>
            <w:vAlign w:val="center"/>
          </w:tcPr>
          <w:p w14:paraId="7BBB65C9">
            <w:pPr>
              <w:pStyle w:val="121"/>
              <w:rPr>
                <w:rFonts w:ascii="Times New Roman" w:hAnsi="Times New Roman"/>
                <w:w w:val="66"/>
                <w:sz w:val="21"/>
                <w:szCs w:val="21"/>
              </w:rPr>
            </w:pPr>
            <w:r>
              <w:rPr>
                <w:rFonts w:hint="eastAsia" w:ascii="Times New Roman" w:hAnsi="Times New Roman"/>
                <w:w w:val="66"/>
                <w:sz w:val="21"/>
                <w:szCs w:val="21"/>
              </w:rPr>
              <w:t>1.2</w:t>
            </w:r>
          </w:p>
        </w:tc>
        <w:tc>
          <w:tcPr>
            <w:tcW w:w="458" w:type="pct"/>
            <w:noWrap/>
            <w:vAlign w:val="center"/>
          </w:tcPr>
          <w:p w14:paraId="5F3CB8D8">
            <w:pPr>
              <w:pStyle w:val="121"/>
              <w:rPr>
                <w:rFonts w:ascii="Times New Roman" w:hAnsi="Times New Roman"/>
                <w:w w:val="66"/>
                <w:sz w:val="21"/>
                <w:szCs w:val="21"/>
              </w:rPr>
            </w:pPr>
            <w:r>
              <w:rPr>
                <w:rFonts w:ascii="Times New Roman" w:hAnsi="Times New Roman"/>
                <w:w w:val="66"/>
                <w:sz w:val="21"/>
                <w:szCs w:val="21"/>
              </w:rPr>
              <w:t>6</w:t>
            </w:r>
          </w:p>
        </w:tc>
      </w:tr>
      <w:tr w14:paraId="5092B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406F09D">
            <w:pPr>
              <w:pStyle w:val="121"/>
              <w:rPr>
                <w:rFonts w:ascii="Times New Roman" w:hAnsi="Times New Roman"/>
                <w:w w:val="66"/>
                <w:sz w:val="21"/>
                <w:szCs w:val="21"/>
              </w:rPr>
            </w:pPr>
            <w:r>
              <w:rPr>
                <w:rFonts w:ascii="Times New Roman" w:hAnsi="Times New Roman"/>
                <w:w w:val="66"/>
                <w:sz w:val="21"/>
                <w:szCs w:val="21"/>
              </w:rPr>
              <w:t>5</w:t>
            </w:r>
          </w:p>
        </w:tc>
        <w:tc>
          <w:tcPr>
            <w:tcW w:w="1809" w:type="pct"/>
            <w:noWrap/>
            <w:vAlign w:val="center"/>
          </w:tcPr>
          <w:p w14:paraId="69497F57">
            <w:pPr>
              <w:pStyle w:val="121"/>
              <w:rPr>
                <w:rFonts w:ascii="Times New Roman" w:hAnsi="Times New Roman"/>
                <w:w w:val="66"/>
                <w:sz w:val="21"/>
                <w:szCs w:val="21"/>
              </w:rPr>
            </w:pPr>
            <w:r>
              <w:rPr>
                <w:rFonts w:ascii="Times New Roman" w:hAnsi="Times New Roman"/>
                <w:w w:val="66"/>
                <w:sz w:val="21"/>
                <w:szCs w:val="21"/>
              </w:rPr>
              <w:t>溜破系统回风天井联络巷</w:t>
            </w:r>
          </w:p>
        </w:tc>
        <w:tc>
          <w:tcPr>
            <w:tcW w:w="524" w:type="pct"/>
            <w:noWrap/>
            <w:vAlign w:val="center"/>
          </w:tcPr>
          <w:p w14:paraId="7B4FE255">
            <w:pPr>
              <w:pStyle w:val="121"/>
              <w:rPr>
                <w:rFonts w:ascii="Times New Roman" w:hAnsi="Times New Roman"/>
                <w:w w:val="66"/>
                <w:sz w:val="21"/>
                <w:szCs w:val="21"/>
              </w:rPr>
            </w:pPr>
            <w:r>
              <w:rPr>
                <w:rFonts w:hint="eastAsia" w:ascii="Times New Roman" w:hAnsi="Times New Roman"/>
                <w:w w:val="66"/>
                <w:sz w:val="21"/>
                <w:szCs w:val="21"/>
              </w:rPr>
              <w:t>8.2</w:t>
            </w:r>
          </w:p>
        </w:tc>
        <w:tc>
          <w:tcPr>
            <w:tcW w:w="568" w:type="pct"/>
            <w:noWrap/>
            <w:vAlign w:val="center"/>
          </w:tcPr>
          <w:p w14:paraId="2BA8D961">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07A82C05">
            <w:pPr>
              <w:pStyle w:val="121"/>
              <w:rPr>
                <w:rFonts w:ascii="Times New Roman" w:hAnsi="Times New Roman"/>
                <w:w w:val="66"/>
                <w:sz w:val="21"/>
                <w:szCs w:val="21"/>
              </w:rPr>
            </w:pPr>
            <w:r>
              <w:rPr>
                <w:rFonts w:hint="eastAsia" w:ascii="Times New Roman" w:hAnsi="Times New Roman"/>
                <w:w w:val="66"/>
                <w:sz w:val="21"/>
                <w:szCs w:val="21"/>
              </w:rPr>
              <w:t>30</w:t>
            </w:r>
          </w:p>
        </w:tc>
        <w:tc>
          <w:tcPr>
            <w:tcW w:w="405" w:type="pct"/>
            <w:noWrap/>
            <w:vAlign w:val="center"/>
          </w:tcPr>
          <w:p w14:paraId="59AD5DC2">
            <w:pPr>
              <w:pStyle w:val="121"/>
              <w:rPr>
                <w:rFonts w:ascii="Times New Roman" w:hAnsi="Times New Roman"/>
                <w:w w:val="66"/>
                <w:sz w:val="21"/>
                <w:szCs w:val="21"/>
              </w:rPr>
            </w:pPr>
            <w:r>
              <w:rPr>
                <w:rFonts w:hint="eastAsia" w:ascii="Times New Roman" w:hAnsi="Times New Roman"/>
                <w:w w:val="66"/>
                <w:sz w:val="21"/>
                <w:szCs w:val="21"/>
              </w:rPr>
              <w:t>-28.4</w:t>
            </w:r>
          </w:p>
        </w:tc>
        <w:tc>
          <w:tcPr>
            <w:tcW w:w="445" w:type="pct"/>
            <w:noWrap/>
            <w:vAlign w:val="center"/>
          </w:tcPr>
          <w:p w14:paraId="6AF2C02E">
            <w:pPr>
              <w:pStyle w:val="121"/>
              <w:rPr>
                <w:rFonts w:ascii="Times New Roman" w:hAnsi="Times New Roman"/>
                <w:w w:val="66"/>
                <w:sz w:val="21"/>
                <w:szCs w:val="21"/>
              </w:rPr>
            </w:pPr>
            <w:r>
              <w:rPr>
                <w:rFonts w:hint="eastAsia" w:ascii="Times New Roman" w:hAnsi="Times New Roman"/>
                <w:w w:val="66"/>
                <w:sz w:val="21"/>
                <w:szCs w:val="21"/>
              </w:rPr>
              <w:t>3.7</w:t>
            </w:r>
          </w:p>
        </w:tc>
        <w:tc>
          <w:tcPr>
            <w:tcW w:w="458" w:type="pct"/>
            <w:noWrap/>
            <w:vAlign w:val="center"/>
          </w:tcPr>
          <w:p w14:paraId="7DC38358">
            <w:pPr>
              <w:pStyle w:val="121"/>
              <w:rPr>
                <w:rFonts w:ascii="Times New Roman" w:hAnsi="Times New Roman"/>
                <w:w w:val="66"/>
                <w:sz w:val="21"/>
                <w:szCs w:val="21"/>
              </w:rPr>
            </w:pPr>
            <w:r>
              <w:rPr>
                <w:rFonts w:ascii="Times New Roman" w:hAnsi="Times New Roman"/>
                <w:w w:val="66"/>
                <w:sz w:val="21"/>
                <w:szCs w:val="21"/>
              </w:rPr>
              <w:t>6</w:t>
            </w:r>
          </w:p>
        </w:tc>
      </w:tr>
      <w:tr w14:paraId="426DD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6915B88">
            <w:pPr>
              <w:pStyle w:val="121"/>
              <w:rPr>
                <w:rFonts w:ascii="Times New Roman" w:hAnsi="Times New Roman"/>
                <w:w w:val="66"/>
                <w:sz w:val="21"/>
                <w:szCs w:val="21"/>
              </w:rPr>
            </w:pPr>
            <w:r>
              <w:rPr>
                <w:rFonts w:hint="eastAsia" w:ascii="Times New Roman" w:hAnsi="Times New Roman"/>
                <w:w w:val="66"/>
                <w:sz w:val="21"/>
                <w:szCs w:val="21"/>
              </w:rPr>
              <w:t>七</w:t>
            </w:r>
          </w:p>
        </w:tc>
        <w:tc>
          <w:tcPr>
            <w:tcW w:w="1809" w:type="pct"/>
            <w:noWrap/>
            <w:vAlign w:val="center"/>
          </w:tcPr>
          <w:p w14:paraId="31713318">
            <w:pPr>
              <w:pStyle w:val="121"/>
              <w:rPr>
                <w:rFonts w:ascii="Times New Roman" w:hAnsi="Times New Roman"/>
                <w:w w:val="66"/>
                <w:sz w:val="21"/>
                <w:szCs w:val="21"/>
              </w:rPr>
            </w:pPr>
            <w:r>
              <w:rPr>
                <w:rFonts w:ascii="Times New Roman" w:hAnsi="Times New Roman"/>
                <w:w w:val="66"/>
                <w:sz w:val="21"/>
                <w:szCs w:val="21"/>
              </w:rPr>
              <w:t>溜破系统</w:t>
            </w:r>
          </w:p>
        </w:tc>
        <w:tc>
          <w:tcPr>
            <w:tcW w:w="524" w:type="pct"/>
            <w:noWrap/>
            <w:vAlign w:val="center"/>
          </w:tcPr>
          <w:p w14:paraId="509B8B20">
            <w:pPr>
              <w:pStyle w:val="121"/>
              <w:rPr>
                <w:rFonts w:ascii="Times New Roman" w:hAnsi="Times New Roman"/>
                <w:w w:val="66"/>
                <w:sz w:val="21"/>
                <w:szCs w:val="21"/>
              </w:rPr>
            </w:pPr>
          </w:p>
        </w:tc>
        <w:tc>
          <w:tcPr>
            <w:tcW w:w="568" w:type="pct"/>
            <w:noWrap/>
            <w:vAlign w:val="center"/>
          </w:tcPr>
          <w:p w14:paraId="61ED501C">
            <w:pPr>
              <w:pStyle w:val="121"/>
              <w:rPr>
                <w:rFonts w:ascii="Times New Roman" w:hAnsi="Times New Roman"/>
                <w:w w:val="66"/>
                <w:sz w:val="21"/>
                <w:szCs w:val="21"/>
              </w:rPr>
            </w:pPr>
          </w:p>
        </w:tc>
        <w:tc>
          <w:tcPr>
            <w:tcW w:w="474" w:type="pct"/>
            <w:noWrap/>
            <w:vAlign w:val="center"/>
          </w:tcPr>
          <w:p w14:paraId="68273363">
            <w:pPr>
              <w:pStyle w:val="121"/>
              <w:rPr>
                <w:rFonts w:ascii="Times New Roman" w:hAnsi="Times New Roman"/>
                <w:w w:val="66"/>
                <w:sz w:val="21"/>
                <w:szCs w:val="21"/>
              </w:rPr>
            </w:pPr>
          </w:p>
        </w:tc>
        <w:tc>
          <w:tcPr>
            <w:tcW w:w="405" w:type="pct"/>
            <w:noWrap/>
            <w:vAlign w:val="center"/>
          </w:tcPr>
          <w:p w14:paraId="42EB486A">
            <w:pPr>
              <w:pStyle w:val="121"/>
              <w:rPr>
                <w:rFonts w:ascii="Times New Roman" w:hAnsi="Times New Roman"/>
                <w:w w:val="66"/>
                <w:sz w:val="21"/>
                <w:szCs w:val="21"/>
              </w:rPr>
            </w:pPr>
          </w:p>
        </w:tc>
        <w:tc>
          <w:tcPr>
            <w:tcW w:w="445" w:type="pct"/>
            <w:noWrap/>
            <w:vAlign w:val="center"/>
          </w:tcPr>
          <w:p w14:paraId="5745D01D">
            <w:pPr>
              <w:pStyle w:val="121"/>
              <w:rPr>
                <w:rFonts w:ascii="Times New Roman" w:hAnsi="Times New Roman"/>
                <w:w w:val="66"/>
                <w:sz w:val="21"/>
                <w:szCs w:val="21"/>
              </w:rPr>
            </w:pPr>
          </w:p>
        </w:tc>
        <w:tc>
          <w:tcPr>
            <w:tcW w:w="458" w:type="pct"/>
            <w:noWrap/>
            <w:vAlign w:val="center"/>
          </w:tcPr>
          <w:p w14:paraId="2C4DDEEC">
            <w:pPr>
              <w:pStyle w:val="121"/>
              <w:rPr>
                <w:rFonts w:ascii="Times New Roman" w:hAnsi="Times New Roman"/>
                <w:w w:val="66"/>
                <w:sz w:val="21"/>
                <w:szCs w:val="21"/>
              </w:rPr>
            </w:pPr>
          </w:p>
        </w:tc>
      </w:tr>
      <w:tr w14:paraId="0CC90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317" w:type="pct"/>
            <w:noWrap/>
            <w:vAlign w:val="center"/>
          </w:tcPr>
          <w:p w14:paraId="0BCEA298">
            <w:pPr>
              <w:pStyle w:val="121"/>
              <w:rPr>
                <w:rFonts w:ascii="Times New Roman" w:hAnsi="Times New Roman"/>
                <w:w w:val="66"/>
                <w:sz w:val="21"/>
                <w:szCs w:val="21"/>
              </w:rPr>
            </w:pPr>
            <w:r>
              <w:rPr>
                <w:rFonts w:ascii="Times New Roman" w:hAnsi="Times New Roman"/>
                <w:w w:val="66"/>
                <w:sz w:val="21"/>
                <w:szCs w:val="21"/>
              </w:rPr>
              <w:t>1</w:t>
            </w:r>
          </w:p>
        </w:tc>
        <w:tc>
          <w:tcPr>
            <w:tcW w:w="1809" w:type="pct"/>
            <w:noWrap/>
            <w:vAlign w:val="center"/>
          </w:tcPr>
          <w:p w14:paraId="114064BB">
            <w:pPr>
              <w:pStyle w:val="121"/>
              <w:rPr>
                <w:rFonts w:ascii="Times New Roman" w:hAnsi="Times New Roman"/>
                <w:w w:val="66"/>
                <w:sz w:val="21"/>
                <w:szCs w:val="21"/>
              </w:rPr>
            </w:pPr>
            <w:r>
              <w:rPr>
                <w:rFonts w:ascii="Times New Roman" w:hAnsi="Times New Roman"/>
                <w:w w:val="66"/>
              </w:rPr>
              <w:t>-</w:t>
            </w:r>
            <w:r>
              <w:rPr>
                <w:rFonts w:hint="eastAsia" w:ascii="Times New Roman" w:hAnsi="Times New Roman"/>
                <w:w w:val="66"/>
              </w:rPr>
              <w:t>565</w:t>
            </w:r>
            <w:r>
              <w:rPr>
                <w:rFonts w:ascii="Times New Roman" w:hAnsi="Times New Roman"/>
                <w:w w:val="66"/>
              </w:rPr>
              <w:t>m破碎水平副井石门</w:t>
            </w:r>
          </w:p>
        </w:tc>
        <w:tc>
          <w:tcPr>
            <w:tcW w:w="524" w:type="pct"/>
            <w:noWrap/>
            <w:vAlign w:val="center"/>
          </w:tcPr>
          <w:p w14:paraId="3988FB3C">
            <w:pPr>
              <w:pStyle w:val="121"/>
              <w:rPr>
                <w:rFonts w:ascii="Times New Roman" w:hAnsi="Times New Roman"/>
                <w:w w:val="66"/>
                <w:sz w:val="21"/>
                <w:szCs w:val="21"/>
              </w:rPr>
            </w:pPr>
            <w:r>
              <w:rPr>
                <w:rFonts w:hint="eastAsia" w:ascii="Times New Roman" w:hAnsi="Times New Roman"/>
                <w:w w:val="66"/>
                <w:sz w:val="21"/>
                <w:szCs w:val="21"/>
              </w:rPr>
              <w:t>11.9</w:t>
            </w:r>
          </w:p>
        </w:tc>
        <w:tc>
          <w:tcPr>
            <w:tcW w:w="568" w:type="pct"/>
            <w:noWrap/>
            <w:vAlign w:val="center"/>
          </w:tcPr>
          <w:p w14:paraId="41A3FADB">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4ADB6DAA">
            <w:pPr>
              <w:pStyle w:val="121"/>
              <w:rPr>
                <w:rFonts w:ascii="Times New Roman" w:hAnsi="Times New Roman"/>
                <w:w w:val="66"/>
                <w:sz w:val="21"/>
                <w:szCs w:val="21"/>
              </w:rPr>
            </w:pPr>
            <w:r>
              <w:rPr>
                <w:rFonts w:hint="eastAsia" w:ascii="Times New Roman" w:hAnsi="Times New Roman"/>
                <w:w w:val="66"/>
                <w:sz w:val="21"/>
                <w:szCs w:val="21"/>
              </w:rPr>
              <w:t>12.5</w:t>
            </w:r>
          </w:p>
        </w:tc>
        <w:tc>
          <w:tcPr>
            <w:tcW w:w="405" w:type="pct"/>
            <w:noWrap/>
            <w:vAlign w:val="center"/>
          </w:tcPr>
          <w:p w14:paraId="5F0ADEE2">
            <w:pPr>
              <w:pStyle w:val="121"/>
              <w:rPr>
                <w:rFonts w:ascii="Times New Roman" w:hAnsi="Times New Roman"/>
                <w:w w:val="66"/>
                <w:sz w:val="21"/>
                <w:szCs w:val="21"/>
              </w:rPr>
            </w:pPr>
            <w:r>
              <w:rPr>
                <w:rFonts w:hint="eastAsia" w:ascii="Times New Roman" w:hAnsi="Times New Roman"/>
                <w:w w:val="66"/>
                <w:sz w:val="21"/>
                <w:szCs w:val="21"/>
              </w:rPr>
              <w:t>-22.4</w:t>
            </w:r>
          </w:p>
        </w:tc>
        <w:tc>
          <w:tcPr>
            <w:tcW w:w="445" w:type="pct"/>
            <w:noWrap/>
            <w:vAlign w:val="center"/>
          </w:tcPr>
          <w:p w14:paraId="3F1572EC">
            <w:pPr>
              <w:pStyle w:val="121"/>
              <w:rPr>
                <w:rFonts w:ascii="Times New Roman" w:hAnsi="Times New Roman"/>
                <w:w w:val="66"/>
                <w:sz w:val="21"/>
                <w:szCs w:val="21"/>
              </w:rPr>
            </w:pPr>
            <w:r>
              <w:rPr>
                <w:rFonts w:hint="eastAsia" w:ascii="Times New Roman" w:hAnsi="Times New Roman"/>
                <w:w w:val="66"/>
                <w:sz w:val="21"/>
                <w:szCs w:val="21"/>
              </w:rPr>
              <w:t>1.1</w:t>
            </w:r>
          </w:p>
        </w:tc>
        <w:tc>
          <w:tcPr>
            <w:tcW w:w="458" w:type="pct"/>
            <w:noWrap/>
            <w:vAlign w:val="center"/>
          </w:tcPr>
          <w:p w14:paraId="34E69403">
            <w:pPr>
              <w:pStyle w:val="121"/>
              <w:rPr>
                <w:rFonts w:ascii="Times New Roman" w:hAnsi="Times New Roman"/>
                <w:w w:val="66"/>
                <w:sz w:val="21"/>
                <w:szCs w:val="21"/>
              </w:rPr>
            </w:pPr>
            <w:r>
              <w:rPr>
                <w:rFonts w:ascii="Times New Roman" w:hAnsi="Times New Roman"/>
                <w:w w:val="66"/>
                <w:sz w:val="21"/>
                <w:szCs w:val="21"/>
              </w:rPr>
              <w:t>6</w:t>
            </w:r>
          </w:p>
        </w:tc>
      </w:tr>
      <w:tr w14:paraId="1D68F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18171216">
            <w:pPr>
              <w:pStyle w:val="121"/>
              <w:rPr>
                <w:rFonts w:ascii="Times New Roman" w:hAnsi="Times New Roman"/>
                <w:w w:val="66"/>
                <w:sz w:val="21"/>
                <w:szCs w:val="21"/>
              </w:rPr>
            </w:pPr>
            <w:r>
              <w:rPr>
                <w:rFonts w:ascii="Times New Roman" w:hAnsi="Times New Roman"/>
                <w:w w:val="66"/>
                <w:sz w:val="21"/>
                <w:szCs w:val="21"/>
              </w:rPr>
              <w:t>2</w:t>
            </w:r>
          </w:p>
        </w:tc>
        <w:tc>
          <w:tcPr>
            <w:tcW w:w="1809" w:type="pct"/>
            <w:noWrap/>
            <w:vAlign w:val="center"/>
          </w:tcPr>
          <w:p w14:paraId="481D86C5">
            <w:pPr>
              <w:pStyle w:val="121"/>
              <w:rPr>
                <w:rFonts w:ascii="Times New Roman" w:hAnsi="Times New Roman"/>
                <w:w w:val="66"/>
                <w:sz w:val="21"/>
                <w:szCs w:val="21"/>
              </w:rPr>
            </w:pPr>
            <w:r>
              <w:rPr>
                <w:rFonts w:ascii="Times New Roman" w:hAnsi="Times New Roman"/>
                <w:w w:val="66"/>
              </w:rPr>
              <w:t>-</w:t>
            </w:r>
            <w:r>
              <w:rPr>
                <w:rFonts w:hint="eastAsia" w:ascii="Times New Roman" w:hAnsi="Times New Roman"/>
                <w:w w:val="66"/>
              </w:rPr>
              <w:t>565</w:t>
            </w:r>
            <w:r>
              <w:rPr>
                <w:rFonts w:ascii="Times New Roman" w:hAnsi="Times New Roman"/>
                <w:w w:val="66"/>
              </w:rPr>
              <w:t>m破碎水平回风联络巷</w:t>
            </w:r>
          </w:p>
        </w:tc>
        <w:tc>
          <w:tcPr>
            <w:tcW w:w="524" w:type="pct"/>
            <w:noWrap/>
            <w:vAlign w:val="center"/>
          </w:tcPr>
          <w:p w14:paraId="2A243008">
            <w:pPr>
              <w:pStyle w:val="121"/>
              <w:rPr>
                <w:rFonts w:ascii="Times New Roman" w:hAnsi="Times New Roman"/>
                <w:w w:val="66"/>
                <w:sz w:val="21"/>
                <w:szCs w:val="21"/>
              </w:rPr>
            </w:pPr>
            <w:r>
              <w:rPr>
                <w:rFonts w:hint="eastAsia" w:ascii="Times New Roman" w:hAnsi="Times New Roman"/>
                <w:w w:val="66"/>
                <w:sz w:val="21"/>
                <w:szCs w:val="21"/>
              </w:rPr>
              <w:t>8.2</w:t>
            </w:r>
          </w:p>
        </w:tc>
        <w:tc>
          <w:tcPr>
            <w:tcW w:w="568" w:type="pct"/>
            <w:noWrap/>
            <w:vAlign w:val="center"/>
          </w:tcPr>
          <w:p w14:paraId="1F228863">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0AD6F078">
            <w:pPr>
              <w:pStyle w:val="121"/>
              <w:rPr>
                <w:rFonts w:ascii="Times New Roman" w:hAnsi="Times New Roman"/>
                <w:w w:val="66"/>
                <w:sz w:val="21"/>
                <w:szCs w:val="21"/>
              </w:rPr>
            </w:pPr>
            <w:r>
              <w:rPr>
                <w:rFonts w:hint="eastAsia" w:ascii="Times New Roman" w:hAnsi="Times New Roman"/>
                <w:w w:val="66"/>
                <w:sz w:val="21"/>
                <w:szCs w:val="21"/>
              </w:rPr>
              <w:t>12.5</w:t>
            </w:r>
          </w:p>
        </w:tc>
        <w:tc>
          <w:tcPr>
            <w:tcW w:w="405" w:type="pct"/>
            <w:noWrap/>
            <w:vAlign w:val="center"/>
          </w:tcPr>
          <w:p w14:paraId="72D3EF67">
            <w:pPr>
              <w:pStyle w:val="121"/>
              <w:rPr>
                <w:rFonts w:ascii="Times New Roman" w:hAnsi="Times New Roman"/>
                <w:w w:val="66"/>
                <w:sz w:val="21"/>
                <w:szCs w:val="21"/>
              </w:rPr>
            </w:pPr>
            <w:r>
              <w:rPr>
                <w:rFonts w:hint="eastAsia" w:ascii="Times New Roman" w:hAnsi="Times New Roman"/>
                <w:w w:val="66"/>
                <w:sz w:val="21"/>
                <w:szCs w:val="21"/>
              </w:rPr>
              <w:t>-24.3</w:t>
            </w:r>
          </w:p>
        </w:tc>
        <w:tc>
          <w:tcPr>
            <w:tcW w:w="445" w:type="pct"/>
            <w:noWrap/>
            <w:vAlign w:val="center"/>
          </w:tcPr>
          <w:p w14:paraId="47942B05">
            <w:pPr>
              <w:pStyle w:val="121"/>
              <w:rPr>
                <w:rFonts w:ascii="Times New Roman" w:hAnsi="Times New Roman"/>
                <w:w w:val="66"/>
                <w:sz w:val="21"/>
                <w:szCs w:val="21"/>
              </w:rPr>
            </w:pPr>
            <w:r>
              <w:rPr>
                <w:rFonts w:hint="eastAsia" w:ascii="Times New Roman" w:hAnsi="Times New Roman"/>
                <w:w w:val="66"/>
                <w:sz w:val="21"/>
                <w:szCs w:val="21"/>
              </w:rPr>
              <w:t>1.5</w:t>
            </w:r>
          </w:p>
        </w:tc>
        <w:tc>
          <w:tcPr>
            <w:tcW w:w="458" w:type="pct"/>
            <w:noWrap/>
            <w:vAlign w:val="center"/>
          </w:tcPr>
          <w:p w14:paraId="1A43282D">
            <w:pPr>
              <w:pStyle w:val="121"/>
              <w:rPr>
                <w:rFonts w:ascii="Times New Roman" w:hAnsi="Times New Roman"/>
                <w:w w:val="66"/>
                <w:sz w:val="21"/>
                <w:szCs w:val="21"/>
              </w:rPr>
            </w:pPr>
            <w:r>
              <w:rPr>
                <w:rFonts w:ascii="Times New Roman" w:hAnsi="Times New Roman"/>
                <w:w w:val="66"/>
                <w:sz w:val="21"/>
                <w:szCs w:val="21"/>
              </w:rPr>
              <w:t>6</w:t>
            </w:r>
          </w:p>
        </w:tc>
      </w:tr>
      <w:tr w14:paraId="40A92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5E4510D5">
            <w:pPr>
              <w:pStyle w:val="121"/>
              <w:rPr>
                <w:rFonts w:ascii="Times New Roman" w:hAnsi="Times New Roman"/>
                <w:w w:val="66"/>
                <w:sz w:val="21"/>
                <w:szCs w:val="21"/>
              </w:rPr>
            </w:pPr>
            <w:r>
              <w:rPr>
                <w:rFonts w:ascii="Times New Roman" w:hAnsi="Times New Roman"/>
                <w:w w:val="66"/>
                <w:sz w:val="21"/>
                <w:szCs w:val="21"/>
              </w:rPr>
              <w:t>3</w:t>
            </w:r>
          </w:p>
        </w:tc>
        <w:tc>
          <w:tcPr>
            <w:tcW w:w="1809" w:type="pct"/>
            <w:noWrap/>
            <w:vAlign w:val="center"/>
          </w:tcPr>
          <w:p w14:paraId="1AA3AA46">
            <w:pPr>
              <w:pStyle w:val="121"/>
              <w:rPr>
                <w:rFonts w:ascii="Times New Roman" w:hAnsi="Times New Roman"/>
                <w:w w:val="66"/>
                <w:sz w:val="21"/>
                <w:szCs w:val="21"/>
              </w:rPr>
            </w:pPr>
            <w:r>
              <w:rPr>
                <w:rFonts w:ascii="Times New Roman" w:hAnsi="Times New Roman"/>
                <w:w w:val="66"/>
              </w:rPr>
              <w:t>-6</w:t>
            </w:r>
            <w:r>
              <w:rPr>
                <w:rFonts w:hint="eastAsia" w:ascii="Times New Roman" w:hAnsi="Times New Roman"/>
                <w:w w:val="66"/>
              </w:rPr>
              <w:t>2</w:t>
            </w:r>
            <w:r>
              <w:rPr>
                <w:rFonts w:ascii="Times New Roman" w:hAnsi="Times New Roman"/>
                <w:w w:val="66"/>
              </w:rPr>
              <w:t>5m皮带道水平联络巷</w:t>
            </w:r>
          </w:p>
        </w:tc>
        <w:tc>
          <w:tcPr>
            <w:tcW w:w="524" w:type="pct"/>
            <w:noWrap/>
            <w:vAlign w:val="center"/>
          </w:tcPr>
          <w:p w14:paraId="7D81491E">
            <w:pPr>
              <w:pStyle w:val="121"/>
              <w:rPr>
                <w:rFonts w:ascii="Times New Roman" w:hAnsi="Times New Roman"/>
                <w:w w:val="66"/>
                <w:sz w:val="21"/>
                <w:szCs w:val="21"/>
              </w:rPr>
            </w:pPr>
            <w:r>
              <w:rPr>
                <w:rFonts w:hint="eastAsia" w:ascii="Times New Roman" w:hAnsi="Times New Roman"/>
                <w:w w:val="66"/>
                <w:sz w:val="21"/>
                <w:szCs w:val="21"/>
              </w:rPr>
              <w:t>11.9</w:t>
            </w:r>
          </w:p>
        </w:tc>
        <w:tc>
          <w:tcPr>
            <w:tcW w:w="568" w:type="pct"/>
            <w:noWrap/>
            <w:vAlign w:val="center"/>
          </w:tcPr>
          <w:p w14:paraId="7A77102D">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44B48A6E">
            <w:pPr>
              <w:pStyle w:val="121"/>
              <w:rPr>
                <w:rFonts w:ascii="Times New Roman" w:hAnsi="Times New Roman"/>
                <w:w w:val="66"/>
                <w:sz w:val="21"/>
                <w:szCs w:val="21"/>
              </w:rPr>
            </w:pPr>
            <w:r>
              <w:rPr>
                <w:rFonts w:hint="eastAsia" w:ascii="Times New Roman" w:hAnsi="Times New Roman"/>
                <w:w w:val="66"/>
                <w:sz w:val="21"/>
                <w:szCs w:val="21"/>
              </w:rPr>
              <w:t>9.2</w:t>
            </w:r>
          </w:p>
        </w:tc>
        <w:tc>
          <w:tcPr>
            <w:tcW w:w="405" w:type="pct"/>
            <w:noWrap/>
            <w:vAlign w:val="center"/>
          </w:tcPr>
          <w:p w14:paraId="5D2F7002">
            <w:pPr>
              <w:pStyle w:val="121"/>
              <w:rPr>
                <w:rFonts w:ascii="Times New Roman" w:hAnsi="Times New Roman"/>
                <w:w w:val="66"/>
                <w:sz w:val="21"/>
                <w:szCs w:val="21"/>
              </w:rPr>
            </w:pPr>
            <w:r>
              <w:rPr>
                <w:rFonts w:hint="eastAsia" w:ascii="Times New Roman" w:hAnsi="Times New Roman"/>
                <w:w w:val="66"/>
                <w:sz w:val="21"/>
                <w:szCs w:val="21"/>
              </w:rPr>
              <w:t>-21.81</w:t>
            </w:r>
          </w:p>
        </w:tc>
        <w:tc>
          <w:tcPr>
            <w:tcW w:w="445" w:type="pct"/>
            <w:noWrap/>
            <w:vAlign w:val="center"/>
          </w:tcPr>
          <w:p w14:paraId="7FE8D297">
            <w:pPr>
              <w:pStyle w:val="121"/>
              <w:rPr>
                <w:rFonts w:ascii="Times New Roman" w:hAnsi="Times New Roman"/>
                <w:w w:val="66"/>
                <w:sz w:val="21"/>
                <w:szCs w:val="21"/>
              </w:rPr>
            </w:pPr>
            <w:r>
              <w:rPr>
                <w:rFonts w:hint="eastAsia" w:ascii="Times New Roman" w:hAnsi="Times New Roman"/>
                <w:w w:val="66"/>
                <w:sz w:val="21"/>
                <w:szCs w:val="21"/>
              </w:rPr>
              <w:t>0.8</w:t>
            </w:r>
          </w:p>
        </w:tc>
        <w:tc>
          <w:tcPr>
            <w:tcW w:w="458" w:type="pct"/>
            <w:noWrap/>
            <w:vAlign w:val="center"/>
          </w:tcPr>
          <w:p w14:paraId="21E3F134">
            <w:pPr>
              <w:pStyle w:val="121"/>
              <w:rPr>
                <w:rFonts w:ascii="Times New Roman" w:hAnsi="Times New Roman"/>
                <w:w w:val="66"/>
                <w:sz w:val="21"/>
                <w:szCs w:val="21"/>
              </w:rPr>
            </w:pPr>
            <w:r>
              <w:rPr>
                <w:rFonts w:ascii="Times New Roman" w:hAnsi="Times New Roman"/>
                <w:w w:val="66"/>
                <w:sz w:val="21"/>
                <w:szCs w:val="21"/>
              </w:rPr>
              <w:t>6</w:t>
            </w:r>
          </w:p>
        </w:tc>
      </w:tr>
      <w:tr w14:paraId="43CCE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3413F98F">
            <w:pPr>
              <w:pStyle w:val="121"/>
              <w:rPr>
                <w:rFonts w:ascii="Times New Roman" w:hAnsi="Times New Roman"/>
                <w:w w:val="66"/>
                <w:sz w:val="21"/>
                <w:szCs w:val="21"/>
              </w:rPr>
            </w:pPr>
            <w:r>
              <w:rPr>
                <w:rFonts w:ascii="Times New Roman" w:hAnsi="Times New Roman"/>
                <w:w w:val="66"/>
                <w:sz w:val="21"/>
                <w:szCs w:val="21"/>
              </w:rPr>
              <w:t>4</w:t>
            </w:r>
          </w:p>
        </w:tc>
        <w:tc>
          <w:tcPr>
            <w:tcW w:w="1809" w:type="pct"/>
            <w:noWrap/>
            <w:vAlign w:val="center"/>
          </w:tcPr>
          <w:p w14:paraId="7D59A568">
            <w:pPr>
              <w:pStyle w:val="121"/>
              <w:rPr>
                <w:rFonts w:ascii="Times New Roman" w:hAnsi="Times New Roman"/>
                <w:w w:val="66"/>
                <w:sz w:val="21"/>
                <w:szCs w:val="21"/>
              </w:rPr>
            </w:pPr>
            <w:r>
              <w:rPr>
                <w:rFonts w:ascii="Times New Roman" w:hAnsi="Times New Roman"/>
                <w:w w:val="66"/>
              </w:rPr>
              <w:t>-6</w:t>
            </w:r>
            <w:r>
              <w:rPr>
                <w:rFonts w:hint="eastAsia" w:ascii="Times New Roman" w:hAnsi="Times New Roman"/>
                <w:w w:val="66"/>
              </w:rPr>
              <w:t>2</w:t>
            </w:r>
            <w:r>
              <w:rPr>
                <w:rFonts w:ascii="Times New Roman" w:hAnsi="Times New Roman"/>
                <w:w w:val="66"/>
              </w:rPr>
              <w:t>5m皮带道水平回风联络巷</w:t>
            </w:r>
          </w:p>
        </w:tc>
        <w:tc>
          <w:tcPr>
            <w:tcW w:w="524" w:type="pct"/>
            <w:noWrap/>
            <w:vAlign w:val="center"/>
          </w:tcPr>
          <w:p w14:paraId="688FDBBC">
            <w:pPr>
              <w:pStyle w:val="121"/>
              <w:rPr>
                <w:rFonts w:ascii="Times New Roman" w:hAnsi="Times New Roman"/>
                <w:w w:val="66"/>
                <w:sz w:val="21"/>
                <w:szCs w:val="21"/>
              </w:rPr>
            </w:pPr>
            <w:r>
              <w:rPr>
                <w:rFonts w:hint="eastAsia" w:ascii="Times New Roman" w:hAnsi="Times New Roman"/>
                <w:w w:val="66"/>
                <w:sz w:val="21"/>
                <w:szCs w:val="21"/>
              </w:rPr>
              <w:t>8.2</w:t>
            </w:r>
          </w:p>
        </w:tc>
        <w:tc>
          <w:tcPr>
            <w:tcW w:w="568" w:type="pct"/>
            <w:noWrap/>
            <w:vAlign w:val="center"/>
          </w:tcPr>
          <w:p w14:paraId="4855EE23">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239D93A7">
            <w:pPr>
              <w:pStyle w:val="121"/>
              <w:rPr>
                <w:rFonts w:ascii="Times New Roman" w:hAnsi="Times New Roman"/>
                <w:w w:val="66"/>
                <w:sz w:val="21"/>
                <w:szCs w:val="21"/>
              </w:rPr>
            </w:pPr>
            <w:r>
              <w:rPr>
                <w:rFonts w:hint="eastAsia" w:ascii="Times New Roman" w:hAnsi="Times New Roman"/>
                <w:w w:val="66"/>
                <w:sz w:val="21"/>
                <w:szCs w:val="21"/>
              </w:rPr>
              <w:t>9.2</w:t>
            </w:r>
          </w:p>
        </w:tc>
        <w:tc>
          <w:tcPr>
            <w:tcW w:w="405" w:type="pct"/>
            <w:noWrap/>
            <w:vAlign w:val="center"/>
          </w:tcPr>
          <w:p w14:paraId="6F362676">
            <w:pPr>
              <w:pStyle w:val="121"/>
              <w:rPr>
                <w:rFonts w:ascii="Times New Roman" w:hAnsi="Times New Roman"/>
                <w:w w:val="66"/>
                <w:sz w:val="21"/>
                <w:szCs w:val="21"/>
              </w:rPr>
            </w:pPr>
            <w:r>
              <w:rPr>
                <w:rFonts w:hint="eastAsia" w:ascii="Times New Roman" w:hAnsi="Times New Roman"/>
                <w:w w:val="66"/>
                <w:sz w:val="21"/>
                <w:szCs w:val="21"/>
              </w:rPr>
              <w:t>-22.8</w:t>
            </w:r>
          </w:p>
        </w:tc>
        <w:tc>
          <w:tcPr>
            <w:tcW w:w="445" w:type="pct"/>
            <w:noWrap/>
            <w:vAlign w:val="center"/>
          </w:tcPr>
          <w:p w14:paraId="0B6E70EF">
            <w:pPr>
              <w:pStyle w:val="121"/>
              <w:rPr>
                <w:rFonts w:ascii="Times New Roman" w:hAnsi="Times New Roman"/>
                <w:w w:val="66"/>
                <w:sz w:val="21"/>
                <w:szCs w:val="21"/>
              </w:rPr>
            </w:pPr>
            <w:r>
              <w:rPr>
                <w:rFonts w:hint="eastAsia" w:ascii="Times New Roman" w:hAnsi="Times New Roman"/>
                <w:w w:val="66"/>
                <w:sz w:val="21"/>
                <w:szCs w:val="21"/>
              </w:rPr>
              <w:t>1.1</w:t>
            </w:r>
          </w:p>
        </w:tc>
        <w:tc>
          <w:tcPr>
            <w:tcW w:w="458" w:type="pct"/>
            <w:noWrap/>
            <w:vAlign w:val="center"/>
          </w:tcPr>
          <w:p w14:paraId="26EF423D">
            <w:pPr>
              <w:pStyle w:val="121"/>
              <w:rPr>
                <w:rFonts w:ascii="Times New Roman" w:hAnsi="Times New Roman"/>
                <w:w w:val="66"/>
                <w:sz w:val="21"/>
                <w:szCs w:val="21"/>
              </w:rPr>
            </w:pPr>
            <w:r>
              <w:rPr>
                <w:rFonts w:ascii="Times New Roman" w:hAnsi="Times New Roman"/>
                <w:w w:val="66"/>
                <w:sz w:val="21"/>
                <w:szCs w:val="21"/>
              </w:rPr>
              <w:t>6</w:t>
            </w:r>
          </w:p>
        </w:tc>
      </w:tr>
      <w:tr w14:paraId="31775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26DD65FF">
            <w:pPr>
              <w:pStyle w:val="121"/>
              <w:rPr>
                <w:rFonts w:ascii="Times New Roman" w:hAnsi="Times New Roman"/>
                <w:w w:val="66"/>
                <w:sz w:val="21"/>
                <w:szCs w:val="21"/>
              </w:rPr>
            </w:pPr>
            <w:r>
              <w:rPr>
                <w:rFonts w:ascii="Times New Roman" w:hAnsi="Times New Roman"/>
                <w:w w:val="66"/>
                <w:sz w:val="21"/>
                <w:szCs w:val="21"/>
              </w:rPr>
              <w:t>5</w:t>
            </w:r>
          </w:p>
        </w:tc>
        <w:tc>
          <w:tcPr>
            <w:tcW w:w="1809" w:type="pct"/>
            <w:noWrap/>
            <w:vAlign w:val="center"/>
          </w:tcPr>
          <w:p w14:paraId="169EAED2">
            <w:pPr>
              <w:pStyle w:val="121"/>
              <w:rPr>
                <w:rFonts w:ascii="Times New Roman" w:hAnsi="Times New Roman"/>
                <w:w w:val="66"/>
                <w:sz w:val="21"/>
                <w:szCs w:val="21"/>
              </w:rPr>
            </w:pPr>
            <w:r>
              <w:rPr>
                <w:rFonts w:ascii="Times New Roman" w:hAnsi="Times New Roman"/>
                <w:w w:val="66"/>
              </w:rPr>
              <w:t>-</w:t>
            </w:r>
            <w:r>
              <w:rPr>
                <w:rFonts w:hint="eastAsia" w:ascii="Times New Roman" w:hAnsi="Times New Roman"/>
                <w:w w:val="66"/>
              </w:rPr>
              <w:t>685</w:t>
            </w:r>
            <w:r>
              <w:rPr>
                <w:rFonts w:ascii="Times New Roman" w:hAnsi="Times New Roman"/>
                <w:w w:val="66"/>
              </w:rPr>
              <w:t>m粉矿清理水平联络巷</w:t>
            </w:r>
          </w:p>
        </w:tc>
        <w:tc>
          <w:tcPr>
            <w:tcW w:w="524" w:type="pct"/>
            <w:noWrap/>
            <w:vAlign w:val="center"/>
          </w:tcPr>
          <w:p w14:paraId="46DA88E3">
            <w:pPr>
              <w:pStyle w:val="121"/>
              <w:rPr>
                <w:rFonts w:ascii="Times New Roman" w:hAnsi="Times New Roman"/>
                <w:w w:val="66"/>
                <w:sz w:val="21"/>
                <w:szCs w:val="21"/>
              </w:rPr>
            </w:pPr>
            <w:r>
              <w:rPr>
                <w:rFonts w:hint="eastAsia" w:ascii="Times New Roman" w:hAnsi="Times New Roman"/>
                <w:w w:val="66"/>
                <w:sz w:val="21"/>
                <w:szCs w:val="21"/>
              </w:rPr>
              <w:t>11.9</w:t>
            </w:r>
          </w:p>
        </w:tc>
        <w:tc>
          <w:tcPr>
            <w:tcW w:w="568" w:type="pct"/>
            <w:noWrap/>
            <w:vAlign w:val="center"/>
          </w:tcPr>
          <w:p w14:paraId="6196DE6B">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73DF973E">
            <w:pPr>
              <w:pStyle w:val="121"/>
              <w:rPr>
                <w:rFonts w:ascii="Times New Roman" w:hAnsi="Times New Roman"/>
                <w:w w:val="66"/>
                <w:sz w:val="21"/>
                <w:szCs w:val="21"/>
              </w:rPr>
            </w:pPr>
            <w:r>
              <w:rPr>
                <w:rFonts w:hint="eastAsia" w:ascii="Times New Roman" w:hAnsi="Times New Roman"/>
                <w:w w:val="66"/>
                <w:sz w:val="21"/>
                <w:szCs w:val="21"/>
              </w:rPr>
              <w:t>8.3</w:t>
            </w:r>
          </w:p>
        </w:tc>
        <w:tc>
          <w:tcPr>
            <w:tcW w:w="405" w:type="pct"/>
            <w:noWrap/>
            <w:vAlign w:val="center"/>
          </w:tcPr>
          <w:p w14:paraId="63BA26B3">
            <w:pPr>
              <w:pStyle w:val="121"/>
              <w:rPr>
                <w:rFonts w:ascii="Times New Roman" w:hAnsi="Times New Roman"/>
                <w:w w:val="66"/>
                <w:sz w:val="21"/>
                <w:szCs w:val="21"/>
              </w:rPr>
            </w:pPr>
            <w:r>
              <w:rPr>
                <w:rFonts w:hint="eastAsia" w:ascii="Times New Roman" w:hAnsi="Times New Roman"/>
                <w:w w:val="66"/>
                <w:sz w:val="21"/>
                <w:szCs w:val="21"/>
              </w:rPr>
              <w:t>-21.7</w:t>
            </w:r>
          </w:p>
        </w:tc>
        <w:tc>
          <w:tcPr>
            <w:tcW w:w="445" w:type="pct"/>
            <w:noWrap/>
            <w:vAlign w:val="center"/>
          </w:tcPr>
          <w:p w14:paraId="776B808F">
            <w:pPr>
              <w:pStyle w:val="121"/>
              <w:rPr>
                <w:rFonts w:ascii="Times New Roman" w:hAnsi="Times New Roman"/>
                <w:w w:val="66"/>
                <w:sz w:val="21"/>
                <w:szCs w:val="21"/>
              </w:rPr>
            </w:pPr>
            <w:r>
              <w:rPr>
                <w:rFonts w:hint="eastAsia" w:ascii="Times New Roman" w:hAnsi="Times New Roman"/>
                <w:w w:val="66"/>
                <w:sz w:val="21"/>
                <w:szCs w:val="21"/>
              </w:rPr>
              <w:t>0.7</w:t>
            </w:r>
          </w:p>
        </w:tc>
        <w:tc>
          <w:tcPr>
            <w:tcW w:w="458" w:type="pct"/>
            <w:noWrap/>
            <w:vAlign w:val="center"/>
          </w:tcPr>
          <w:p w14:paraId="722FDE7D">
            <w:pPr>
              <w:pStyle w:val="121"/>
              <w:rPr>
                <w:rFonts w:ascii="Times New Roman" w:hAnsi="Times New Roman"/>
                <w:w w:val="66"/>
                <w:sz w:val="21"/>
                <w:szCs w:val="21"/>
              </w:rPr>
            </w:pPr>
            <w:r>
              <w:rPr>
                <w:rFonts w:ascii="Times New Roman" w:hAnsi="Times New Roman"/>
                <w:w w:val="66"/>
                <w:sz w:val="21"/>
                <w:szCs w:val="21"/>
              </w:rPr>
              <w:t>6</w:t>
            </w:r>
          </w:p>
        </w:tc>
      </w:tr>
      <w:tr w14:paraId="6F2B7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17" w:type="pct"/>
            <w:noWrap/>
            <w:vAlign w:val="center"/>
          </w:tcPr>
          <w:p w14:paraId="4AEBA12A">
            <w:pPr>
              <w:pStyle w:val="121"/>
              <w:rPr>
                <w:rFonts w:ascii="Times New Roman" w:hAnsi="Times New Roman"/>
                <w:w w:val="66"/>
                <w:sz w:val="21"/>
                <w:szCs w:val="21"/>
              </w:rPr>
            </w:pPr>
            <w:r>
              <w:rPr>
                <w:rFonts w:ascii="Times New Roman" w:hAnsi="Times New Roman"/>
                <w:w w:val="66"/>
                <w:sz w:val="21"/>
                <w:szCs w:val="21"/>
              </w:rPr>
              <w:t>6</w:t>
            </w:r>
          </w:p>
        </w:tc>
        <w:tc>
          <w:tcPr>
            <w:tcW w:w="1809" w:type="pct"/>
            <w:noWrap/>
            <w:vAlign w:val="center"/>
          </w:tcPr>
          <w:p w14:paraId="4C9293A3">
            <w:pPr>
              <w:pStyle w:val="121"/>
              <w:rPr>
                <w:rFonts w:ascii="Times New Roman" w:hAnsi="Times New Roman"/>
                <w:w w:val="66"/>
                <w:sz w:val="21"/>
                <w:szCs w:val="21"/>
              </w:rPr>
            </w:pPr>
            <w:r>
              <w:rPr>
                <w:rFonts w:ascii="Times New Roman" w:hAnsi="Times New Roman"/>
                <w:w w:val="66"/>
              </w:rPr>
              <w:t>-</w:t>
            </w:r>
            <w:r>
              <w:rPr>
                <w:rFonts w:hint="eastAsia" w:ascii="Times New Roman" w:hAnsi="Times New Roman"/>
                <w:w w:val="66"/>
              </w:rPr>
              <w:t>685</w:t>
            </w:r>
            <w:r>
              <w:rPr>
                <w:rFonts w:ascii="Times New Roman" w:hAnsi="Times New Roman"/>
                <w:w w:val="66"/>
              </w:rPr>
              <w:t>m粉矿清理水平回风联络巷</w:t>
            </w:r>
          </w:p>
        </w:tc>
        <w:tc>
          <w:tcPr>
            <w:tcW w:w="524" w:type="pct"/>
            <w:noWrap/>
            <w:vAlign w:val="center"/>
          </w:tcPr>
          <w:p w14:paraId="0133729C">
            <w:pPr>
              <w:pStyle w:val="121"/>
              <w:rPr>
                <w:rFonts w:ascii="Times New Roman" w:hAnsi="Times New Roman"/>
                <w:w w:val="66"/>
                <w:sz w:val="21"/>
                <w:szCs w:val="21"/>
              </w:rPr>
            </w:pPr>
            <w:r>
              <w:rPr>
                <w:rFonts w:hint="eastAsia" w:ascii="Times New Roman" w:hAnsi="Times New Roman"/>
                <w:w w:val="66"/>
                <w:sz w:val="21"/>
                <w:szCs w:val="21"/>
              </w:rPr>
              <w:t>8.2</w:t>
            </w:r>
          </w:p>
        </w:tc>
        <w:tc>
          <w:tcPr>
            <w:tcW w:w="568" w:type="pct"/>
            <w:noWrap/>
            <w:vAlign w:val="center"/>
          </w:tcPr>
          <w:p w14:paraId="4BA055E5">
            <w:pPr>
              <w:pStyle w:val="121"/>
              <w:rPr>
                <w:rFonts w:ascii="Times New Roman" w:hAnsi="Times New Roman"/>
                <w:w w:val="66"/>
                <w:sz w:val="21"/>
                <w:szCs w:val="21"/>
              </w:rPr>
            </w:pPr>
            <w:r>
              <w:rPr>
                <w:rFonts w:ascii="Times New Roman" w:hAnsi="Times New Roman"/>
                <w:w w:val="66"/>
                <w:sz w:val="21"/>
                <w:szCs w:val="21"/>
              </w:rPr>
              <w:t>0.012</w:t>
            </w:r>
          </w:p>
        </w:tc>
        <w:tc>
          <w:tcPr>
            <w:tcW w:w="474" w:type="pct"/>
            <w:noWrap/>
            <w:vAlign w:val="center"/>
          </w:tcPr>
          <w:p w14:paraId="610BFCB5">
            <w:pPr>
              <w:pStyle w:val="121"/>
              <w:rPr>
                <w:rFonts w:ascii="Times New Roman" w:hAnsi="Times New Roman"/>
                <w:w w:val="66"/>
                <w:sz w:val="21"/>
                <w:szCs w:val="21"/>
              </w:rPr>
            </w:pPr>
            <w:r>
              <w:rPr>
                <w:rFonts w:hint="eastAsia" w:ascii="Times New Roman" w:hAnsi="Times New Roman"/>
                <w:w w:val="66"/>
                <w:sz w:val="21"/>
                <w:szCs w:val="21"/>
              </w:rPr>
              <w:t>8.3</w:t>
            </w:r>
          </w:p>
        </w:tc>
        <w:tc>
          <w:tcPr>
            <w:tcW w:w="405" w:type="pct"/>
            <w:noWrap/>
            <w:vAlign w:val="center"/>
          </w:tcPr>
          <w:p w14:paraId="23EA8B11">
            <w:pPr>
              <w:pStyle w:val="121"/>
              <w:rPr>
                <w:rFonts w:ascii="Times New Roman" w:hAnsi="Times New Roman"/>
                <w:w w:val="66"/>
                <w:sz w:val="21"/>
                <w:szCs w:val="21"/>
              </w:rPr>
            </w:pPr>
            <w:r>
              <w:rPr>
                <w:rFonts w:hint="eastAsia" w:ascii="Times New Roman" w:hAnsi="Times New Roman"/>
                <w:w w:val="66"/>
                <w:sz w:val="21"/>
                <w:szCs w:val="21"/>
              </w:rPr>
              <w:t>-22.5</w:t>
            </w:r>
          </w:p>
        </w:tc>
        <w:tc>
          <w:tcPr>
            <w:tcW w:w="445" w:type="pct"/>
            <w:noWrap/>
            <w:vAlign w:val="center"/>
          </w:tcPr>
          <w:p w14:paraId="77E5C072">
            <w:pPr>
              <w:pStyle w:val="121"/>
              <w:rPr>
                <w:rFonts w:ascii="Times New Roman" w:hAnsi="Times New Roman"/>
                <w:w w:val="66"/>
                <w:sz w:val="21"/>
                <w:szCs w:val="21"/>
              </w:rPr>
            </w:pPr>
            <w:r>
              <w:rPr>
                <w:rFonts w:hint="eastAsia" w:ascii="Times New Roman" w:hAnsi="Times New Roman"/>
                <w:w w:val="66"/>
                <w:sz w:val="21"/>
                <w:szCs w:val="21"/>
              </w:rPr>
              <w:t>1.0</w:t>
            </w:r>
          </w:p>
        </w:tc>
        <w:tc>
          <w:tcPr>
            <w:tcW w:w="458" w:type="pct"/>
            <w:noWrap/>
            <w:vAlign w:val="center"/>
          </w:tcPr>
          <w:p w14:paraId="4414DB3C">
            <w:pPr>
              <w:pStyle w:val="121"/>
              <w:rPr>
                <w:rFonts w:ascii="Times New Roman" w:hAnsi="Times New Roman"/>
                <w:w w:val="66"/>
                <w:sz w:val="21"/>
                <w:szCs w:val="21"/>
              </w:rPr>
            </w:pPr>
            <w:r>
              <w:rPr>
                <w:rFonts w:ascii="Times New Roman" w:hAnsi="Times New Roman"/>
                <w:w w:val="66"/>
                <w:sz w:val="21"/>
                <w:szCs w:val="21"/>
              </w:rPr>
              <w:t>6</w:t>
            </w:r>
          </w:p>
        </w:tc>
      </w:tr>
    </w:tbl>
    <w:p w14:paraId="3A94636B">
      <w:pPr>
        <w:snapToGrid w:val="0"/>
        <w:spacing w:line="360" w:lineRule="auto"/>
        <w:ind w:firstLine="0" w:firstLineChars="0"/>
        <w:jc w:val="center"/>
        <w:rPr>
          <w:rFonts w:asciiTheme="minorHAnsi" w:hAnsiTheme="minorHAnsi" w:eastAsiaTheme="minorEastAsia" w:cstheme="minorHAnsi"/>
          <w:szCs w:val="28"/>
        </w:rPr>
      </w:pPr>
    </w:p>
    <w:p w14:paraId="7691A306">
      <w:pPr>
        <w:snapToGrid w:val="0"/>
        <w:spacing w:line="360" w:lineRule="auto"/>
        <w:ind w:firstLine="0" w:firstLineChars="0"/>
        <w:jc w:val="center"/>
        <w:rPr>
          <w:rFonts w:asciiTheme="minorHAnsi" w:hAnsiTheme="minorHAnsi" w:eastAsiaTheme="minorEastAsia" w:cstheme="minorHAnsi"/>
          <w:szCs w:val="28"/>
        </w:rPr>
      </w:pPr>
      <w:r>
        <w:rPr>
          <w:rFonts w:asciiTheme="minorHAnsi" w:hAnsiTheme="minorHAnsi" w:eastAsiaTheme="minorEastAsia" w:cstheme="minorHAnsi"/>
          <w:szCs w:val="28"/>
        </w:rPr>
        <w:t xml:space="preserve">表3.6-9 </w:t>
      </w:r>
      <w:r>
        <w:rPr>
          <w:rFonts w:hint="eastAsia" w:cs="Times New Roman"/>
          <w:szCs w:val="28"/>
        </w:rPr>
        <w:t>二期达产规模450万t/a生产阶段</w:t>
      </w:r>
      <w:r>
        <w:rPr>
          <w:rFonts w:asciiTheme="minorHAnsi" w:hAnsiTheme="minorHAnsi" w:eastAsiaTheme="minorEastAsia" w:cstheme="minorHAnsi"/>
          <w:szCs w:val="28"/>
        </w:rPr>
        <w:t>主要井筒、巷道风速表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3052"/>
        <w:gridCol w:w="870"/>
        <w:gridCol w:w="1204"/>
        <w:gridCol w:w="999"/>
        <w:gridCol w:w="866"/>
        <w:gridCol w:w="936"/>
        <w:gridCol w:w="934"/>
      </w:tblGrid>
      <w:tr w14:paraId="4A94A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43" w:type="pct"/>
            <w:noWrap/>
            <w:vAlign w:val="center"/>
          </w:tcPr>
          <w:p w14:paraId="43FBD9FF">
            <w:pPr>
              <w:pStyle w:val="121"/>
              <w:rPr>
                <w:rFonts w:ascii="Times New Roman" w:hAnsi="Times New Roman"/>
                <w:w w:val="66"/>
              </w:rPr>
            </w:pPr>
            <w:r>
              <w:rPr>
                <w:rFonts w:ascii="Times New Roman" w:hAnsi="Times New Roman"/>
                <w:w w:val="66"/>
              </w:rPr>
              <w:t>序号</w:t>
            </w:r>
          </w:p>
        </w:tc>
        <w:tc>
          <w:tcPr>
            <w:tcW w:w="1604" w:type="pct"/>
            <w:noWrap/>
            <w:vAlign w:val="center"/>
          </w:tcPr>
          <w:p w14:paraId="2FE6E9F9">
            <w:pPr>
              <w:pStyle w:val="121"/>
              <w:rPr>
                <w:rFonts w:ascii="Times New Roman" w:hAnsi="Times New Roman"/>
                <w:w w:val="66"/>
              </w:rPr>
            </w:pPr>
            <w:r>
              <w:rPr>
                <w:rFonts w:ascii="Times New Roman" w:hAnsi="Times New Roman"/>
                <w:w w:val="66"/>
              </w:rPr>
              <w:t>断面名称</w:t>
            </w:r>
          </w:p>
        </w:tc>
        <w:tc>
          <w:tcPr>
            <w:tcW w:w="457" w:type="pct"/>
            <w:vAlign w:val="center"/>
          </w:tcPr>
          <w:p w14:paraId="4A67D326">
            <w:pPr>
              <w:pStyle w:val="121"/>
              <w:rPr>
                <w:rFonts w:ascii="Times New Roman" w:hAnsi="Times New Roman"/>
                <w:w w:val="66"/>
              </w:rPr>
            </w:pPr>
            <w:r>
              <w:rPr>
                <w:rFonts w:ascii="Times New Roman" w:hAnsi="Times New Roman"/>
                <w:w w:val="66"/>
              </w:rPr>
              <w:t>净断面</w:t>
            </w:r>
          </w:p>
          <w:p w14:paraId="0C1C3771">
            <w:pPr>
              <w:pStyle w:val="121"/>
              <w:rPr>
                <w:rFonts w:ascii="Times New Roman" w:hAnsi="Times New Roman"/>
                <w:w w:val="66"/>
              </w:rPr>
            </w:pPr>
            <w:r>
              <w:rPr>
                <w:rFonts w:ascii="Times New Roman" w:hAnsi="Times New Roman"/>
                <w:w w:val="66"/>
              </w:rPr>
              <w:t>（m</w:t>
            </w:r>
            <w:r>
              <w:rPr>
                <w:rFonts w:ascii="Times New Roman" w:hAnsi="Times New Roman"/>
                <w:w w:val="66"/>
                <w:vertAlign w:val="superscript"/>
              </w:rPr>
              <w:t>2</w:t>
            </w:r>
            <w:r>
              <w:rPr>
                <w:rFonts w:ascii="Times New Roman" w:hAnsi="Times New Roman"/>
                <w:w w:val="66"/>
              </w:rPr>
              <w:t>）</w:t>
            </w:r>
          </w:p>
        </w:tc>
        <w:tc>
          <w:tcPr>
            <w:tcW w:w="633" w:type="pct"/>
            <w:noWrap/>
            <w:vAlign w:val="center"/>
          </w:tcPr>
          <w:p w14:paraId="675E2DCC">
            <w:pPr>
              <w:pStyle w:val="121"/>
              <w:rPr>
                <w:rFonts w:ascii="Times New Roman" w:hAnsi="Times New Roman"/>
                <w:w w:val="66"/>
              </w:rPr>
            </w:pPr>
            <w:r>
              <w:rPr>
                <w:rFonts w:ascii="Times New Roman" w:hAnsi="Times New Roman"/>
                <w:w w:val="66"/>
              </w:rPr>
              <w:t>摩阻系数</w:t>
            </w:r>
          </w:p>
          <w:p w14:paraId="230FE206">
            <w:pPr>
              <w:pStyle w:val="121"/>
              <w:rPr>
                <w:rFonts w:ascii="Times New Roman" w:hAnsi="Times New Roman"/>
                <w:w w:val="66"/>
              </w:rPr>
            </w:pPr>
            <w:r>
              <w:rPr>
                <w:rFonts w:ascii="Times New Roman" w:hAnsi="Times New Roman"/>
                <w:w w:val="66"/>
              </w:rPr>
              <w:t>（Ns</w:t>
            </w:r>
            <w:r>
              <w:rPr>
                <w:rFonts w:ascii="Times New Roman" w:hAnsi="Times New Roman"/>
                <w:w w:val="66"/>
                <w:vertAlign w:val="superscript"/>
              </w:rPr>
              <w:t>2</w:t>
            </w:r>
            <w:r>
              <w:rPr>
                <w:rFonts w:ascii="Times New Roman" w:hAnsi="Times New Roman"/>
                <w:w w:val="66"/>
              </w:rPr>
              <w:t>/m</w:t>
            </w:r>
            <w:r>
              <w:rPr>
                <w:rFonts w:ascii="Times New Roman" w:hAnsi="Times New Roman"/>
                <w:w w:val="66"/>
                <w:vertAlign w:val="superscript"/>
              </w:rPr>
              <w:t>4</w:t>
            </w:r>
            <w:r>
              <w:rPr>
                <w:rFonts w:ascii="Times New Roman" w:hAnsi="Times New Roman"/>
                <w:w w:val="66"/>
              </w:rPr>
              <w:t>）</w:t>
            </w:r>
          </w:p>
        </w:tc>
        <w:tc>
          <w:tcPr>
            <w:tcW w:w="525" w:type="pct"/>
            <w:noWrap/>
            <w:vAlign w:val="center"/>
          </w:tcPr>
          <w:p w14:paraId="335EBDC6">
            <w:pPr>
              <w:pStyle w:val="121"/>
              <w:rPr>
                <w:rFonts w:ascii="Times New Roman" w:hAnsi="Times New Roman"/>
                <w:w w:val="66"/>
              </w:rPr>
            </w:pPr>
            <w:r>
              <w:rPr>
                <w:rFonts w:ascii="Times New Roman" w:hAnsi="Times New Roman"/>
                <w:w w:val="66"/>
              </w:rPr>
              <w:t>风量</w:t>
            </w:r>
          </w:p>
          <w:p w14:paraId="54A3143E">
            <w:pPr>
              <w:pStyle w:val="121"/>
              <w:rPr>
                <w:rFonts w:ascii="Times New Roman" w:hAnsi="Times New Roman"/>
                <w:w w:val="66"/>
              </w:rPr>
            </w:pPr>
            <w:r>
              <w:rPr>
                <w:rFonts w:ascii="Times New Roman" w:hAnsi="Times New Roman"/>
                <w:w w:val="66"/>
              </w:rPr>
              <w:t>（m</w:t>
            </w:r>
            <w:r>
              <w:rPr>
                <w:rFonts w:ascii="Times New Roman" w:hAnsi="Times New Roman"/>
                <w:w w:val="66"/>
                <w:vertAlign w:val="superscript"/>
              </w:rPr>
              <w:t>3</w:t>
            </w:r>
            <w:r>
              <w:rPr>
                <w:rFonts w:ascii="Times New Roman" w:hAnsi="Times New Roman"/>
                <w:w w:val="66"/>
              </w:rPr>
              <w:t>/s）</w:t>
            </w:r>
          </w:p>
        </w:tc>
        <w:tc>
          <w:tcPr>
            <w:tcW w:w="455" w:type="pct"/>
            <w:vAlign w:val="center"/>
          </w:tcPr>
          <w:p w14:paraId="0F4C7B06">
            <w:pPr>
              <w:pStyle w:val="121"/>
              <w:rPr>
                <w:rFonts w:ascii="Times New Roman" w:hAnsi="Times New Roman"/>
                <w:w w:val="66"/>
              </w:rPr>
            </w:pPr>
            <w:r>
              <w:rPr>
                <w:rFonts w:hint="eastAsia" w:ascii="Times New Roman" w:hAnsi="Times New Roman"/>
                <w:w w:val="66"/>
              </w:rPr>
              <w:t>风压</w:t>
            </w:r>
          </w:p>
          <w:p w14:paraId="04184942">
            <w:pPr>
              <w:pStyle w:val="121"/>
              <w:rPr>
                <w:rFonts w:ascii="Times New Roman" w:hAnsi="Times New Roman"/>
                <w:w w:val="66"/>
              </w:rPr>
            </w:pPr>
            <w:r>
              <w:rPr>
                <w:rFonts w:hint="eastAsia" w:ascii="Times New Roman" w:hAnsi="Times New Roman"/>
                <w:w w:val="66"/>
              </w:rPr>
              <w:t>（Pa）</w:t>
            </w:r>
          </w:p>
        </w:tc>
        <w:tc>
          <w:tcPr>
            <w:tcW w:w="492" w:type="pct"/>
            <w:vAlign w:val="center"/>
          </w:tcPr>
          <w:p w14:paraId="32BF25AB">
            <w:pPr>
              <w:pStyle w:val="121"/>
              <w:rPr>
                <w:rFonts w:ascii="Times New Roman" w:hAnsi="Times New Roman"/>
                <w:w w:val="66"/>
              </w:rPr>
            </w:pPr>
            <w:r>
              <w:rPr>
                <w:rFonts w:ascii="Times New Roman" w:hAnsi="Times New Roman"/>
                <w:w w:val="66"/>
              </w:rPr>
              <w:t>风速</w:t>
            </w:r>
          </w:p>
          <w:p w14:paraId="6A14EFE7">
            <w:pPr>
              <w:pStyle w:val="121"/>
              <w:rPr>
                <w:rFonts w:ascii="Times New Roman" w:hAnsi="Times New Roman"/>
                <w:w w:val="66"/>
              </w:rPr>
            </w:pPr>
            <w:r>
              <w:rPr>
                <w:rFonts w:ascii="Times New Roman" w:hAnsi="Times New Roman"/>
                <w:w w:val="66"/>
              </w:rPr>
              <w:t>（m/s）</w:t>
            </w:r>
          </w:p>
        </w:tc>
        <w:tc>
          <w:tcPr>
            <w:tcW w:w="491" w:type="pct"/>
            <w:vAlign w:val="center"/>
          </w:tcPr>
          <w:p w14:paraId="40446881">
            <w:pPr>
              <w:pStyle w:val="121"/>
              <w:rPr>
                <w:rFonts w:ascii="Times New Roman" w:hAnsi="Times New Roman"/>
                <w:w w:val="66"/>
              </w:rPr>
            </w:pPr>
            <w:r>
              <w:rPr>
                <w:rFonts w:ascii="Times New Roman" w:hAnsi="Times New Roman"/>
                <w:w w:val="66"/>
              </w:rPr>
              <w:t>风速限值</w:t>
            </w:r>
          </w:p>
          <w:p w14:paraId="1B69F2CF">
            <w:pPr>
              <w:pStyle w:val="121"/>
              <w:rPr>
                <w:rFonts w:ascii="Times New Roman" w:hAnsi="Times New Roman"/>
                <w:w w:val="66"/>
              </w:rPr>
            </w:pPr>
            <w:r>
              <w:rPr>
                <w:rFonts w:ascii="Times New Roman" w:hAnsi="Times New Roman"/>
                <w:w w:val="66"/>
              </w:rPr>
              <w:t>（m/s）</w:t>
            </w:r>
          </w:p>
        </w:tc>
      </w:tr>
      <w:tr w14:paraId="0A9EB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528A1E3">
            <w:pPr>
              <w:pStyle w:val="121"/>
              <w:rPr>
                <w:rFonts w:ascii="Times New Roman" w:hAnsi="Times New Roman"/>
                <w:w w:val="66"/>
              </w:rPr>
            </w:pPr>
            <w:r>
              <w:rPr>
                <w:rFonts w:ascii="Times New Roman" w:hAnsi="Times New Roman"/>
                <w:w w:val="66"/>
              </w:rPr>
              <w:t>一</w:t>
            </w:r>
          </w:p>
        </w:tc>
        <w:tc>
          <w:tcPr>
            <w:tcW w:w="1604" w:type="pct"/>
            <w:noWrap/>
            <w:vAlign w:val="center"/>
          </w:tcPr>
          <w:p w14:paraId="42D76292">
            <w:pPr>
              <w:pStyle w:val="121"/>
              <w:rPr>
                <w:rFonts w:ascii="Times New Roman" w:hAnsi="Times New Roman"/>
                <w:w w:val="66"/>
              </w:rPr>
            </w:pPr>
            <w:r>
              <w:rPr>
                <w:rFonts w:ascii="Times New Roman" w:hAnsi="Times New Roman"/>
                <w:w w:val="66"/>
              </w:rPr>
              <w:t>主要井筒</w:t>
            </w:r>
          </w:p>
        </w:tc>
        <w:tc>
          <w:tcPr>
            <w:tcW w:w="457" w:type="pct"/>
            <w:noWrap/>
            <w:vAlign w:val="center"/>
          </w:tcPr>
          <w:p w14:paraId="3D33F283">
            <w:pPr>
              <w:pStyle w:val="121"/>
              <w:rPr>
                <w:rFonts w:ascii="Times New Roman" w:hAnsi="Times New Roman"/>
                <w:w w:val="66"/>
              </w:rPr>
            </w:pPr>
          </w:p>
        </w:tc>
        <w:tc>
          <w:tcPr>
            <w:tcW w:w="633" w:type="pct"/>
            <w:noWrap/>
            <w:vAlign w:val="center"/>
          </w:tcPr>
          <w:p w14:paraId="3B93D62C">
            <w:pPr>
              <w:pStyle w:val="121"/>
              <w:rPr>
                <w:rFonts w:ascii="Times New Roman" w:hAnsi="Times New Roman"/>
                <w:w w:val="66"/>
              </w:rPr>
            </w:pPr>
          </w:p>
        </w:tc>
        <w:tc>
          <w:tcPr>
            <w:tcW w:w="525" w:type="pct"/>
            <w:noWrap/>
            <w:vAlign w:val="center"/>
          </w:tcPr>
          <w:p w14:paraId="318C1E24">
            <w:pPr>
              <w:pStyle w:val="121"/>
              <w:rPr>
                <w:rFonts w:ascii="Times New Roman" w:hAnsi="Times New Roman"/>
                <w:w w:val="66"/>
              </w:rPr>
            </w:pPr>
          </w:p>
        </w:tc>
        <w:tc>
          <w:tcPr>
            <w:tcW w:w="455" w:type="pct"/>
            <w:noWrap/>
            <w:vAlign w:val="center"/>
          </w:tcPr>
          <w:p w14:paraId="676D21D8">
            <w:pPr>
              <w:pStyle w:val="121"/>
              <w:rPr>
                <w:rFonts w:ascii="Times New Roman" w:hAnsi="Times New Roman"/>
                <w:w w:val="66"/>
              </w:rPr>
            </w:pPr>
          </w:p>
        </w:tc>
        <w:tc>
          <w:tcPr>
            <w:tcW w:w="492" w:type="pct"/>
            <w:noWrap/>
            <w:vAlign w:val="center"/>
          </w:tcPr>
          <w:p w14:paraId="60B84258">
            <w:pPr>
              <w:pStyle w:val="121"/>
              <w:rPr>
                <w:rFonts w:ascii="Times New Roman" w:hAnsi="Times New Roman"/>
                <w:w w:val="66"/>
              </w:rPr>
            </w:pPr>
          </w:p>
        </w:tc>
        <w:tc>
          <w:tcPr>
            <w:tcW w:w="491" w:type="pct"/>
            <w:noWrap/>
            <w:vAlign w:val="center"/>
          </w:tcPr>
          <w:p w14:paraId="17D612DF">
            <w:pPr>
              <w:pStyle w:val="121"/>
              <w:rPr>
                <w:rFonts w:ascii="Times New Roman" w:hAnsi="Times New Roman"/>
                <w:w w:val="66"/>
              </w:rPr>
            </w:pPr>
          </w:p>
        </w:tc>
      </w:tr>
      <w:tr w14:paraId="037BC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567816E">
            <w:pPr>
              <w:pStyle w:val="121"/>
              <w:rPr>
                <w:rFonts w:ascii="Times New Roman" w:hAnsi="Times New Roman"/>
                <w:w w:val="66"/>
              </w:rPr>
            </w:pPr>
            <w:r>
              <w:rPr>
                <w:rFonts w:ascii="Times New Roman" w:hAnsi="Times New Roman"/>
                <w:w w:val="66"/>
              </w:rPr>
              <w:t>1</w:t>
            </w:r>
          </w:p>
        </w:tc>
        <w:tc>
          <w:tcPr>
            <w:tcW w:w="1604" w:type="pct"/>
            <w:noWrap/>
            <w:vAlign w:val="center"/>
          </w:tcPr>
          <w:p w14:paraId="6EDCFF66">
            <w:pPr>
              <w:pStyle w:val="121"/>
              <w:rPr>
                <w:rFonts w:ascii="Times New Roman" w:hAnsi="Times New Roman"/>
                <w:w w:val="66"/>
              </w:rPr>
            </w:pPr>
            <w:r>
              <w:rPr>
                <w:rFonts w:ascii="Times New Roman" w:hAnsi="Times New Roman"/>
                <w:w w:val="66"/>
              </w:rPr>
              <w:t>副井</w:t>
            </w:r>
          </w:p>
        </w:tc>
        <w:tc>
          <w:tcPr>
            <w:tcW w:w="457" w:type="pct"/>
            <w:noWrap/>
            <w:vAlign w:val="center"/>
          </w:tcPr>
          <w:p w14:paraId="174607D7">
            <w:pPr>
              <w:pStyle w:val="121"/>
              <w:rPr>
                <w:rFonts w:ascii="Times New Roman" w:hAnsi="Times New Roman"/>
                <w:w w:val="66"/>
              </w:rPr>
            </w:pPr>
            <w:r>
              <w:rPr>
                <w:rFonts w:hint="eastAsia" w:ascii="Times New Roman" w:hAnsi="Times New Roman"/>
                <w:w w:val="66"/>
              </w:rPr>
              <w:t>50.2</w:t>
            </w:r>
          </w:p>
        </w:tc>
        <w:tc>
          <w:tcPr>
            <w:tcW w:w="633" w:type="pct"/>
            <w:noWrap/>
            <w:vAlign w:val="center"/>
          </w:tcPr>
          <w:p w14:paraId="577A23EE">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03C13F0D">
            <w:pPr>
              <w:pStyle w:val="121"/>
              <w:rPr>
                <w:rFonts w:ascii="Times New Roman" w:hAnsi="Times New Roman"/>
                <w:w w:val="66"/>
              </w:rPr>
            </w:pPr>
            <w:r>
              <w:rPr>
                <w:rFonts w:hint="eastAsia" w:ascii="Times New Roman" w:hAnsi="Times New Roman"/>
                <w:w w:val="66"/>
              </w:rPr>
              <w:t>140</w:t>
            </w:r>
          </w:p>
        </w:tc>
        <w:tc>
          <w:tcPr>
            <w:tcW w:w="455" w:type="pct"/>
            <w:noWrap/>
            <w:vAlign w:val="center"/>
          </w:tcPr>
          <w:p w14:paraId="279C842E">
            <w:pPr>
              <w:pStyle w:val="121"/>
              <w:rPr>
                <w:rFonts w:ascii="Times New Roman" w:hAnsi="Times New Roman"/>
                <w:w w:val="66"/>
              </w:rPr>
            </w:pPr>
            <w:r>
              <w:rPr>
                <w:rFonts w:hint="eastAsia" w:ascii="Times New Roman" w:hAnsi="Times New Roman"/>
                <w:w w:val="66"/>
              </w:rPr>
              <w:t>-10.7</w:t>
            </w:r>
          </w:p>
        </w:tc>
        <w:tc>
          <w:tcPr>
            <w:tcW w:w="492" w:type="pct"/>
            <w:noWrap/>
            <w:vAlign w:val="center"/>
          </w:tcPr>
          <w:p w14:paraId="3A87A3DD">
            <w:pPr>
              <w:pStyle w:val="121"/>
              <w:rPr>
                <w:rFonts w:ascii="Times New Roman" w:hAnsi="Times New Roman"/>
                <w:w w:val="66"/>
              </w:rPr>
            </w:pPr>
            <w:r>
              <w:rPr>
                <w:rFonts w:hint="eastAsia" w:ascii="Times New Roman" w:hAnsi="Times New Roman"/>
                <w:w w:val="66"/>
              </w:rPr>
              <w:t>2.8</w:t>
            </w:r>
          </w:p>
        </w:tc>
        <w:tc>
          <w:tcPr>
            <w:tcW w:w="491" w:type="pct"/>
            <w:noWrap/>
            <w:vAlign w:val="center"/>
          </w:tcPr>
          <w:p w14:paraId="00A6363F">
            <w:pPr>
              <w:pStyle w:val="121"/>
              <w:rPr>
                <w:rFonts w:ascii="Times New Roman" w:hAnsi="Times New Roman"/>
                <w:w w:val="66"/>
              </w:rPr>
            </w:pPr>
            <w:r>
              <w:rPr>
                <w:rFonts w:ascii="Times New Roman" w:hAnsi="Times New Roman"/>
                <w:w w:val="66"/>
              </w:rPr>
              <w:t>8</w:t>
            </w:r>
          </w:p>
        </w:tc>
      </w:tr>
      <w:tr w14:paraId="7A18A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3E1B789D">
            <w:pPr>
              <w:pStyle w:val="121"/>
              <w:rPr>
                <w:rFonts w:ascii="Times New Roman" w:hAnsi="Times New Roman"/>
                <w:w w:val="66"/>
              </w:rPr>
            </w:pPr>
            <w:r>
              <w:rPr>
                <w:rFonts w:ascii="Times New Roman" w:hAnsi="Times New Roman"/>
                <w:w w:val="66"/>
              </w:rPr>
              <w:t>2</w:t>
            </w:r>
          </w:p>
        </w:tc>
        <w:tc>
          <w:tcPr>
            <w:tcW w:w="1604" w:type="pct"/>
            <w:noWrap/>
            <w:vAlign w:val="center"/>
          </w:tcPr>
          <w:p w14:paraId="3EEEF5FC">
            <w:pPr>
              <w:pStyle w:val="121"/>
              <w:rPr>
                <w:rFonts w:ascii="Times New Roman" w:hAnsi="Times New Roman"/>
                <w:w w:val="66"/>
              </w:rPr>
            </w:pPr>
            <w:r>
              <w:rPr>
                <w:rFonts w:ascii="Times New Roman" w:hAnsi="Times New Roman"/>
                <w:w w:val="66"/>
              </w:rPr>
              <w:t>进风井</w:t>
            </w:r>
          </w:p>
        </w:tc>
        <w:tc>
          <w:tcPr>
            <w:tcW w:w="457" w:type="pct"/>
            <w:noWrap/>
            <w:vAlign w:val="center"/>
          </w:tcPr>
          <w:p w14:paraId="1FD8E74D">
            <w:pPr>
              <w:pStyle w:val="121"/>
              <w:rPr>
                <w:rFonts w:ascii="Times New Roman" w:hAnsi="Times New Roman"/>
                <w:w w:val="66"/>
              </w:rPr>
            </w:pPr>
            <w:r>
              <w:rPr>
                <w:rFonts w:hint="eastAsia" w:ascii="Times New Roman" w:hAnsi="Times New Roman"/>
                <w:w w:val="66"/>
              </w:rPr>
              <w:t>38.5</w:t>
            </w:r>
          </w:p>
        </w:tc>
        <w:tc>
          <w:tcPr>
            <w:tcW w:w="633" w:type="pct"/>
            <w:noWrap/>
            <w:vAlign w:val="center"/>
          </w:tcPr>
          <w:p w14:paraId="0CFFE558">
            <w:pPr>
              <w:pStyle w:val="121"/>
              <w:rPr>
                <w:rFonts w:ascii="Times New Roman" w:hAnsi="Times New Roman"/>
                <w:w w:val="66"/>
              </w:rPr>
            </w:pPr>
            <w:r>
              <w:rPr>
                <w:rFonts w:ascii="Times New Roman" w:hAnsi="Times New Roman"/>
                <w:w w:val="66"/>
              </w:rPr>
              <w:t>0.005</w:t>
            </w:r>
          </w:p>
        </w:tc>
        <w:tc>
          <w:tcPr>
            <w:tcW w:w="525" w:type="pct"/>
            <w:noWrap/>
            <w:vAlign w:val="center"/>
          </w:tcPr>
          <w:p w14:paraId="500E157E">
            <w:pPr>
              <w:pStyle w:val="121"/>
              <w:rPr>
                <w:rFonts w:ascii="Times New Roman" w:hAnsi="Times New Roman"/>
                <w:w w:val="66"/>
              </w:rPr>
            </w:pPr>
            <w:r>
              <w:rPr>
                <w:rFonts w:hint="eastAsia" w:ascii="Times New Roman" w:hAnsi="Times New Roman"/>
                <w:w w:val="66"/>
              </w:rPr>
              <w:t>240</w:t>
            </w:r>
          </w:p>
        </w:tc>
        <w:tc>
          <w:tcPr>
            <w:tcW w:w="455" w:type="pct"/>
            <w:noWrap/>
            <w:vAlign w:val="center"/>
          </w:tcPr>
          <w:p w14:paraId="475B6946">
            <w:pPr>
              <w:pStyle w:val="121"/>
              <w:rPr>
                <w:rFonts w:ascii="Times New Roman" w:hAnsi="Times New Roman"/>
                <w:w w:val="66"/>
              </w:rPr>
            </w:pPr>
            <w:r>
              <w:rPr>
                <w:rFonts w:hint="eastAsia" w:ascii="Times New Roman" w:hAnsi="Times New Roman"/>
                <w:w w:val="66"/>
              </w:rPr>
              <w:t>-58.0</w:t>
            </w:r>
          </w:p>
        </w:tc>
        <w:tc>
          <w:tcPr>
            <w:tcW w:w="492" w:type="pct"/>
            <w:noWrap/>
            <w:vAlign w:val="center"/>
          </w:tcPr>
          <w:p w14:paraId="18E28EDB">
            <w:pPr>
              <w:pStyle w:val="121"/>
              <w:rPr>
                <w:rFonts w:ascii="Times New Roman" w:hAnsi="Times New Roman"/>
                <w:w w:val="66"/>
              </w:rPr>
            </w:pPr>
            <w:r>
              <w:rPr>
                <w:rFonts w:hint="eastAsia" w:ascii="Times New Roman" w:hAnsi="Times New Roman"/>
                <w:w w:val="66"/>
              </w:rPr>
              <w:t>6.2</w:t>
            </w:r>
          </w:p>
        </w:tc>
        <w:tc>
          <w:tcPr>
            <w:tcW w:w="491" w:type="pct"/>
            <w:noWrap/>
            <w:vAlign w:val="center"/>
          </w:tcPr>
          <w:p w14:paraId="468F14AA">
            <w:pPr>
              <w:pStyle w:val="121"/>
              <w:rPr>
                <w:rFonts w:ascii="Times New Roman" w:hAnsi="Times New Roman"/>
                <w:w w:val="66"/>
              </w:rPr>
            </w:pPr>
            <w:r>
              <w:rPr>
                <w:rFonts w:ascii="Times New Roman" w:hAnsi="Times New Roman"/>
                <w:w w:val="66"/>
              </w:rPr>
              <w:t>20</w:t>
            </w:r>
          </w:p>
        </w:tc>
      </w:tr>
      <w:tr w14:paraId="4D86F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E7C433C">
            <w:pPr>
              <w:pStyle w:val="121"/>
              <w:rPr>
                <w:rFonts w:ascii="Times New Roman" w:hAnsi="Times New Roman"/>
                <w:w w:val="66"/>
              </w:rPr>
            </w:pPr>
            <w:r>
              <w:rPr>
                <w:rFonts w:hint="eastAsia" w:ascii="Times New Roman" w:hAnsi="Times New Roman"/>
                <w:w w:val="66"/>
              </w:rPr>
              <w:t>3</w:t>
            </w:r>
          </w:p>
        </w:tc>
        <w:tc>
          <w:tcPr>
            <w:tcW w:w="1604" w:type="pct"/>
            <w:noWrap/>
            <w:vAlign w:val="center"/>
          </w:tcPr>
          <w:p w14:paraId="202C298B">
            <w:pPr>
              <w:pStyle w:val="121"/>
              <w:rPr>
                <w:rFonts w:ascii="Times New Roman" w:hAnsi="Times New Roman"/>
                <w:w w:val="66"/>
              </w:rPr>
            </w:pPr>
            <w:r>
              <w:rPr>
                <w:rFonts w:hint="eastAsia" w:ascii="Times New Roman" w:hAnsi="Times New Roman"/>
                <w:w w:val="66"/>
              </w:rPr>
              <w:t>倒段</w:t>
            </w:r>
            <w:r>
              <w:rPr>
                <w:rFonts w:ascii="Times New Roman" w:hAnsi="Times New Roman"/>
                <w:w w:val="66"/>
              </w:rPr>
              <w:t>进风井</w:t>
            </w:r>
          </w:p>
        </w:tc>
        <w:tc>
          <w:tcPr>
            <w:tcW w:w="457" w:type="pct"/>
            <w:noWrap/>
            <w:vAlign w:val="center"/>
          </w:tcPr>
          <w:p w14:paraId="66DC614A">
            <w:pPr>
              <w:pStyle w:val="121"/>
              <w:rPr>
                <w:rFonts w:ascii="Times New Roman" w:hAnsi="Times New Roman"/>
                <w:w w:val="66"/>
              </w:rPr>
            </w:pPr>
            <w:r>
              <w:rPr>
                <w:rFonts w:hint="eastAsia" w:ascii="Times New Roman" w:hAnsi="Times New Roman"/>
                <w:w w:val="66"/>
              </w:rPr>
              <w:t>15.7</w:t>
            </w:r>
          </w:p>
        </w:tc>
        <w:tc>
          <w:tcPr>
            <w:tcW w:w="633" w:type="pct"/>
            <w:noWrap/>
            <w:vAlign w:val="center"/>
          </w:tcPr>
          <w:p w14:paraId="5650C1AE">
            <w:pPr>
              <w:pStyle w:val="121"/>
              <w:rPr>
                <w:rFonts w:ascii="Times New Roman" w:hAnsi="Times New Roman"/>
                <w:w w:val="66"/>
              </w:rPr>
            </w:pPr>
            <w:r>
              <w:rPr>
                <w:rFonts w:ascii="Times New Roman" w:hAnsi="Times New Roman"/>
                <w:w w:val="66"/>
              </w:rPr>
              <w:t>0.005</w:t>
            </w:r>
          </w:p>
        </w:tc>
        <w:tc>
          <w:tcPr>
            <w:tcW w:w="525" w:type="pct"/>
            <w:noWrap/>
            <w:vAlign w:val="center"/>
          </w:tcPr>
          <w:p w14:paraId="73231044">
            <w:pPr>
              <w:pStyle w:val="121"/>
              <w:rPr>
                <w:rFonts w:ascii="Times New Roman" w:hAnsi="Times New Roman"/>
                <w:w w:val="66"/>
              </w:rPr>
            </w:pPr>
            <w:r>
              <w:rPr>
                <w:rFonts w:hint="eastAsia" w:ascii="Times New Roman" w:hAnsi="Times New Roman"/>
                <w:w w:val="66"/>
              </w:rPr>
              <w:t>240</w:t>
            </w:r>
          </w:p>
        </w:tc>
        <w:tc>
          <w:tcPr>
            <w:tcW w:w="455" w:type="pct"/>
            <w:noWrap/>
            <w:vAlign w:val="center"/>
          </w:tcPr>
          <w:p w14:paraId="2333FBAA">
            <w:pPr>
              <w:pStyle w:val="121"/>
              <w:rPr>
                <w:rFonts w:ascii="Times New Roman" w:hAnsi="Times New Roman"/>
                <w:w w:val="66"/>
              </w:rPr>
            </w:pPr>
            <w:r>
              <w:rPr>
                <w:rFonts w:hint="eastAsia" w:ascii="Times New Roman" w:hAnsi="Times New Roman"/>
                <w:w w:val="66"/>
              </w:rPr>
              <w:t>627.5</w:t>
            </w:r>
          </w:p>
        </w:tc>
        <w:tc>
          <w:tcPr>
            <w:tcW w:w="492" w:type="pct"/>
            <w:noWrap/>
            <w:vAlign w:val="center"/>
          </w:tcPr>
          <w:p w14:paraId="1C4A5F15">
            <w:pPr>
              <w:pStyle w:val="121"/>
              <w:rPr>
                <w:rFonts w:ascii="Times New Roman" w:hAnsi="Times New Roman"/>
                <w:w w:val="66"/>
              </w:rPr>
            </w:pPr>
            <w:r>
              <w:rPr>
                <w:rFonts w:hint="eastAsia" w:ascii="Times New Roman" w:hAnsi="Times New Roman"/>
                <w:w w:val="66"/>
              </w:rPr>
              <w:t>12.2</w:t>
            </w:r>
          </w:p>
        </w:tc>
        <w:tc>
          <w:tcPr>
            <w:tcW w:w="491" w:type="pct"/>
            <w:noWrap/>
            <w:vAlign w:val="center"/>
          </w:tcPr>
          <w:p w14:paraId="6C2E768D">
            <w:pPr>
              <w:pStyle w:val="121"/>
              <w:rPr>
                <w:rFonts w:ascii="Times New Roman" w:hAnsi="Times New Roman"/>
                <w:w w:val="66"/>
              </w:rPr>
            </w:pPr>
            <w:r>
              <w:rPr>
                <w:rFonts w:ascii="Times New Roman" w:hAnsi="Times New Roman"/>
                <w:w w:val="66"/>
              </w:rPr>
              <w:t>20</w:t>
            </w:r>
          </w:p>
        </w:tc>
      </w:tr>
      <w:tr w14:paraId="0E6E1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E77D08D">
            <w:pPr>
              <w:pStyle w:val="121"/>
              <w:rPr>
                <w:rFonts w:ascii="Times New Roman" w:hAnsi="Times New Roman"/>
                <w:w w:val="66"/>
              </w:rPr>
            </w:pPr>
            <w:r>
              <w:rPr>
                <w:rFonts w:hint="eastAsia" w:ascii="Times New Roman" w:hAnsi="Times New Roman"/>
                <w:w w:val="66"/>
              </w:rPr>
              <w:t>4</w:t>
            </w:r>
          </w:p>
        </w:tc>
        <w:tc>
          <w:tcPr>
            <w:tcW w:w="1604" w:type="pct"/>
            <w:noWrap/>
            <w:vAlign w:val="center"/>
          </w:tcPr>
          <w:p w14:paraId="65889793">
            <w:pPr>
              <w:pStyle w:val="121"/>
              <w:rPr>
                <w:rFonts w:ascii="Times New Roman" w:hAnsi="Times New Roman"/>
                <w:w w:val="66"/>
              </w:rPr>
            </w:pPr>
            <w:r>
              <w:rPr>
                <w:rFonts w:ascii="Times New Roman" w:hAnsi="Times New Roman"/>
                <w:w w:val="66"/>
              </w:rPr>
              <w:t>1号回风井</w:t>
            </w:r>
          </w:p>
        </w:tc>
        <w:tc>
          <w:tcPr>
            <w:tcW w:w="457" w:type="pct"/>
            <w:noWrap/>
            <w:vAlign w:val="center"/>
          </w:tcPr>
          <w:p w14:paraId="5D93A02D">
            <w:pPr>
              <w:pStyle w:val="121"/>
              <w:rPr>
                <w:rFonts w:ascii="Times New Roman" w:hAnsi="Times New Roman"/>
                <w:w w:val="66"/>
              </w:rPr>
            </w:pPr>
            <w:r>
              <w:rPr>
                <w:rFonts w:hint="eastAsia" w:ascii="Times New Roman" w:hAnsi="Times New Roman"/>
                <w:w w:val="66"/>
              </w:rPr>
              <w:t>33.2</w:t>
            </w:r>
          </w:p>
        </w:tc>
        <w:tc>
          <w:tcPr>
            <w:tcW w:w="633" w:type="pct"/>
            <w:noWrap/>
            <w:vAlign w:val="center"/>
          </w:tcPr>
          <w:p w14:paraId="31ADC562">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727A1831">
            <w:pPr>
              <w:pStyle w:val="121"/>
              <w:rPr>
                <w:rFonts w:ascii="Times New Roman" w:hAnsi="Times New Roman"/>
                <w:w w:val="66"/>
              </w:rPr>
            </w:pPr>
            <w:r>
              <w:rPr>
                <w:rFonts w:hint="eastAsia" w:ascii="Times New Roman" w:hAnsi="Times New Roman"/>
                <w:w w:val="66"/>
              </w:rPr>
              <w:t>360</w:t>
            </w:r>
          </w:p>
        </w:tc>
        <w:tc>
          <w:tcPr>
            <w:tcW w:w="455" w:type="pct"/>
            <w:noWrap/>
            <w:vAlign w:val="center"/>
          </w:tcPr>
          <w:p w14:paraId="50FEF69A">
            <w:pPr>
              <w:pStyle w:val="121"/>
              <w:rPr>
                <w:rFonts w:ascii="Times New Roman" w:hAnsi="Times New Roman"/>
                <w:w w:val="66"/>
              </w:rPr>
            </w:pPr>
            <w:r>
              <w:rPr>
                <w:rFonts w:hint="eastAsia" w:ascii="Times New Roman" w:hAnsi="Times New Roman"/>
                <w:w w:val="66"/>
              </w:rPr>
              <w:t>698.2</w:t>
            </w:r>
          </w:p>
        </w:tc>
        <w:tc>
          <w:tcPr>
            <w:tcW w:w="492" w:type="pct"/>
            <w:noWrap/>
            <w:vAlign w:val="center"/>
          </w:tcPr>
          <w:p w14:paraId="604753E0">
            <w:pPr>
              <w:pStyle w:val="121"/>
              <w:rPr>
                <w:rFonts w:ascii="Times New Roman" w:hAnsi="Times New Roman"/>
                <w:w w:val="66"/>
              </w:rPr>
            </w:pPr>
            <w:r>
              <w:rPr>
                <w:rFonts w:hint="eastAsia" w:ascii="Times New Roman" w:hAnsi="Times New Roman"/>
                <w:w w:val="66"/>
              </w:rPr>
              <w:t>11.5</w:t>
            </w:r>
          </w:p>
        </w:tc>
        <w:tc>
          <w:tcPr>
            <w:tcW w:w="491" w:type="pct"/>
            <w:noWrap/>
            <w:vAlign w:val="center"/>
          </w:tcPr>
          <w:p w14:paraId="2B69A1BA">
            <w:pPr>
              <w:pStyle w:val="121"/>
              <w:rPr>
                <w:rFonts w:ascii="Times New Roman" w:hAnsi="Times New Roman"/>
                <w:w w:val="66"/>
              </w:rPr>
            </w:pPr>
            <w:r>
              <w:rPr>
                <w:rFonts w:ascii="Times New Roman" w:hAnsi="Times New Roman"/>
                <w:w w:val="66"/>
              </w:rPr>
              <w:t>20</w:t>
            </w:r>
          </w:p>
        </w:tc>
      </w:tr>
      <w:tr w14:paraId="64669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31A3946D">
            <w:pPr>
              <w:pStyle w:val="121"/>
              <w:rPr>
                <w:rFonts w:ascii="Times New Roman" w:hAnsi="Times New Roman"/>
                <w:w w:val="66"/>
              </w:rPr>
            </w:pPr>
            <w:r>
              <w:rPr>
                <w:rFonts w:hint="eastAsia" w:ascii="Times New Roman" w:hAnsi="Times New Roman"/>
                <w:w w:val="66"/>
              </w:rPr>
              <w:t>5</w:t>
            </w:r>
          </w:p>
        </w:tc>
        <w:tc>
          <w:tcPr>
            <w:tcW w:w="1604" w:type="pct"/>
            <w:noWrap/>
            <w:vAlign w:val="center"/>
          </w:tcPr>
          <w:p w14:paraId="6B81E8A5">
            <w:pPr>
              <w:pStyle w:val="121"/>
              <w:rPr>
                <w:rFonts w:ascii="Times New Roman" w:hAnsi="Times New Roman"/>
                <w:w w:val="66"/>
              </w:rPr>
            </w:pPr>
            <w:r>
              <w:rPr>
                <w:rFonts w:ascii="Times New Roman" w:hAnsi="Times New Roman"/>
                <w:w w:val="66"/>
              </w:rPr>
              <w:t>1号</w:t>
            </w:r>
            <w:r>
              <w:rPr>
                <w:rFonts w:hint="eastAsia" w:ascii="Times New Roman" w:hAnsi="Times New Roman"/>
                <w:w w:val="66"/>
              </w:rPr>
              <w:t>倒段</w:t>
            </w:r>
            <w:r>
              <w:rPr>
                <w:rFonts w:ascii="Times New Roman" w:hAnsi="Times New Roman"/>
                <w:w w:val="66"/>
              </w:rPr>
              <w:t>回风井</w:t>
            </w:r>
          </w:p>
        </w:tc>
        <w:tc>
          <w:tcPr>
            <w:tcW w:w="457" w:type="pct"/>
            <w:noWrap/>
            <w:vAlign w:val="center"/>
          </w:tcPr>
          <w:p w14:paraId="788ACFB4">
            <w:pPr>
              <w:pStyle w:val="121"/>
              <w:rPr>
                <w:rFonts w:ascii="Times New Roman" w:hAnsi="Times New Roman"/>
                <w:w w:val="66"/>
              </w:rPr>
            </w:pPr>
            <w:r>
              <w:rPr>
                <w:rFonts w:hint="eastAsia" w:ascii="Times New Roman" w:hAnsi="Times New Roman"/>
                <w:w w:val="66"/>
              </w:rPr>
              <w:t>33.2</w:t>
            </w:r>
          </w:p>
        </w:tc>
        <w:tc>
          <w:tcPr>
            <w:tcW w:w="633" w:type="pct"/>
            <w:noWrap/>
            <w:vAlign w:val="center"/>
          </w:tcPr>
          <w:p w14:paraId="7674ABB9">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74ECDB55">
            <w:pPr>
              <w:pStyle w:val="121"/>
              <w:rPr>
                <w:rFonts w:ascii="Times New Roman" w:hAnsi="Times New Roman"/>
                <w:w w:val="66"/>
              </w:rPr>
            </w:pPr>
            <w:r>
              <w:rPr>
                <w:rFonts w:hint="eastAsia" w:ascii="Times New Roman" w:hAnsi="Times New Roman"/>
                <w:w w:val="66"/>
              </w:rPr>
              <w:t>360</w:t>
            </w:r>
          </w:p>
        </w:tc>
        <w:tc>
          <w:tcPr>
            <w:tcW w:w="455" w:type="pct"/>
            <w:noWrap/>
            <w:vAlign w:val="center"/>
          </w:tcPr>
          <w:p w14:paraId="3DA72F29">
            <w:pPr>
              <w:pStyle w:val="121"/>
              <w:rPr>
                <w:rFonts w:ascii="Times New Roman" w:hAnsi="Times New Roman"/>
                <w:w w:val="66"/>
              </w:rPr>
            </w:pPr>
            <w:r>
              <w:rPr>
                <w:rFonts w:hint="eastAsia" w:ascii="Times New Roman" w:hAnsi="Times New Roman"/>
                <w:w w:val="66"/>
              </w:rPr>
              <w:t>1057.9</w:t>
            </w:r>
          </w:p>
        </w:tc>
        <w:tc>
          <w:tcPr>
            <w:tcW w:w="492" w:type="pct"/>
            <w:noWrap/>
            <w:vAlign w:val="center"/>
          </w:tcPr>
          <w:p w14:paraId="51C9054B">
            <w:pPr>
              <w:pStyle w:val="121"/>
              <w:rPr>
                <w:rFonts w:ascii="Times New Roman" w:hAnsi="Times New Roman"/>
                <w:w w:val="66"/>
              </w:rPr>
            </w:pPr>
            <w:r>
              <w:rPr>
                <w:rFonts w:hint="eastAsia" w:ascii="Times New Roman" w:hAnsi="Times New Roman"/>
                <w:w w:val="66"/>
              </w:rPr>
              <w:t>11.5</w:t>
            </w:r>
          </w:p>
        </w:tc>
        <w:tc>
          <w:tcPr>
            <w:tcW w:w="491" w:type="pct"/>
            <w:noWrap/>
            <w:vAlign w:val="center"/>
          </w:tcPr>
          <w:p w14:paraId="27DD0070">
            <w:pPr>
              <w:pStyle w:val="121"/>
              <w:rPr>
                <w:rFonts w:ascii="Times New Roman" w:hAnsi="Times New Roman"/>
                <w:w w:val="66"/>
              </w:rPr>
            </w:pPr>
            <w:r>
              <w:rPr>
                <w:rFonts w:ascii="Times New Roman" w:hAnsi="Times New Roman"/>
                <w:w w:val="66"/>
              </w:rPr>
              <w:t>20</w:t>
            </w:r>
          </w:p>
        </w:tc>
      </w:tr>
      <w:tr w14:paraId="2275A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F6D729D">
            <w:pPr>
              <w:pStyle w:val="121"/>
              <w:rPr>
                <w:rFonts w:ascii="Times New Roman" w:hAnsi="Times New Roman"/>
                <w:w w:val="66"/>
              </w:rPr>
            </w:pPr>
            <w:r>
              <w:rPr>
                <w:rFonts w:hint="eastAsia" w:ascii="Times New Roman" w:hAnsi="Times New Roman"/>
                <w:w w:val="66"/>
              </w:rPr>
              <w:t>6</w:t>
            </w:r>
          </w:p>
        </w:tc>
        <w:tc>
          <w:tcPr>
            <w:tcW w:w="1604" w:type="pct"/>
            <w:noWrap/>
            <w:vAlign w:val="center"/>
          </w:tcPr>
          <w:p w14:paraId="34D2C5EE">
            <w:pPr>
              <w:pStyle w:val="121"/>
              <w:rPr>
                <w:rFonts w:ascii="Times New Roman" w:hAnsi="Times New Roman"/>
                <w:w w:val="66"/>
              </w:rPr>
            </w:pPr>
            <w:r>
              <w:rPr>
                <w:rFonts w:hint="eastAsia" w:ascii="Times New Roman" w:hAnsi="Times New Roman"/>
                <w:w w:val="66"/>
              </w:rPr>
              <w:t>冯家庄副井</w:t>
            </w:r>
          </w:p>
        </w:tc>
        <w:tc>
          <w:tcPr>
            <w:tcW w:w="457" w:type="pct"/>
            <w:noWrap/>
            <w:vAlign w:val="center"/>
          </w:tcPr>
          <w:p w14:paraId="3E15E9F7">
            <w:pPr>
              <w:pStyle w:val="121"/>
              <w:rPr>
                <w:rFonts w:ascii="Times New Roman" w:hAnsi="Times New Roman"/>
                <w:w w:val="66"/>
              </w:rPr>
            </w:pPr>
            <w:r>
              <w:rPr>
                <w:rFonts w:hint="eastAsia" w:ascii="Times New Roman" w:hAnsi="Times New Roman"/>
                <w:w w:val="66"/>
              </w:rPr>
              <w:t>15.9</w:t>
            </w:r>
          </w:p>
        </w:tc>
        <w:tc>
          <w:tcPr>
            <w:tcW w:w="633" w:type="pct"/>
            <w:noWrap/>
            <w:vAlign w:val="center"/>
          </w:tcPr>
          <w:p w14:paraId="26948939">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2B61068E">
            <w:pPr>
              <w:pStyle w:val="121"/>
              <w:rPr>
                <w:rFonts w:ascii="Times New Roman" w:hAnsi="Times New Roman"/>
                <w:w w:val="66"/>
              </w:rPr>
            </w:pPr>
            <w:r>
              <w:rPr>
                <w:rFonts w:hint="eastAsia" w:ascii="Times New Roman" w:hAnsi="Times New Roman"/>
                <w:w w:val="66"/>
              </w:rPr>
              <w:t>60</w:t>
            </w:r>
          </w:p>
        </w:tc>
        <w:tc>
          <w:tcPr>
            <w:tcW w:w="455" w:type="pct"/>
            <w:noWrap/>
            <w:vAlign w:val="center"/>
          </w:tcPr>
          <w:p w14:paraId="44454DED">
            <w:pPr>
              <w:pStyle w:val="121"/>
              <w:rPr>
                <w:rFonts w:ascii="Times New Roman" w:hAnsi="Times New Roman"/>
                <w:w w:val="66"/>
              </w:rPr>
            </w:pPr>
            <w:r>
              <w:rPr>
                <w:rFonts w:hint="eastAsia" w:ascii="Times New Roman" w:hAnsi="Times New Roman"/>
                <w:w w:val="66"/>
              </w:rPr>
              <w:t>-28.3</w:t>
            </w:r>
          </w:p>
        </w:tc>
        <w:tc>
          <w:tcPr>
            <w:tcW w:w="492" w:type="pct"/>
            <w:noWrap/>
            <w:vAlign w:val="center"/>
          </w:tcPr>
          <w:p w14:paraId="31CB5CDB">
            <w:pPr>
              <w:pStyle w:val="121"/>
              <w:rPr>
                <w:rFonts w:ascii="Times New Roman" w:hAnsi="Times New Roman"/>
                <w:w w:val="66"/>
              </w:rPr>
            </w:pPr>
            <w:r>
              <w:rPr>
                <w:rFonts w:hint="eastAsia" w:ascii="Times New Roman" w:hAnsi="Times New Roman"/>
                <w:w w:val="66"/>
              </w:rPr>
              <w:t>3.8</w:t>
            </w:r>
          </w:p>
        </w:tc>
        <w:tc>
          <w:tcPr>
            <w:tcW w:w="491" w:type="pct"/>
            <w:noWrap/>
            <w:vAlign w:val="center"/>
          </w:tcPr>
          <w:p w14:paraId="61B61CA4">
            <w:pPr>
              <w:pStyle w:val="121"/>
              <w:rPr>
                <w:rFonts w:ascii="Times New Roman" w:hAnsi="Times New Roman"/>
                <w:w w:val="66"/>
              </w:rPr>
            </w:pPr>
            <w:r>
              <w:rPr>
                <w:rFonts w:hint="eastAsia" w:ascii="Times New Roman" w:hAnsi="Times New Roman"/>
                <w:w w:val="66"/>
              </w:rPr>
              <w:t>8</w:t>
            </w:r>
          </w:p>
        </w:tc>
      </w:tr>
      <w:tr w14:paraId="2F2AD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76E2E4F">
            <w:pPr>
              <w:pStyle w:val="121"/>
              <w:rPr>
                <w:rFonts w:ascii="Times New Roman" w:hAnsi="Times New Roman"/>
                <w:w w:val="66"/>
              </w:rPr>
            </w:pPr>
            <w:r>
              <w:rPr>
                <w:rFonts w:hint="eastAsia" w:ascii="Times New Roman" w:hAnsi="Times New Roman"/>
                <w:w w:val="66"/>
              </w:rPr>
              <w:t>7</w:t>
            </w:r>
          </w:p>
        </w:tc>
        <w:tc>
          <w:tcPr>
            <w:tcW w:w="1604" w:type="pct"/>
            <w:noWrap/>
            <w:vAlign w:val="center"/>
          </w:tcPr>
          <w:p w14:paraId="78F34EC8">
            <w:pPr>
              <w:pStyle w:val="121"/>
              <w:rPr>
                <w:rFonts w:ascii="Times New Roman" w:hAnsi="Times New Roman"/>
                <w:w w:val="66"/>
              </w:rPr>
            </w:pPr>
            <w:r>
              <w:rPr>
                <w:rFonts w:hint="eastAsia" w:ascii="Times New Roman" w:hAnsi="Times New Roman"/>
                <w:w w:val="66"/>
              </w:rPr>
              <w:t>冯家庄回风井</w:t>
            </w:r>
          </w:p>
        </w:tc>
        <w:tc>
          <w:tcPr>
            <w:tcW w:w="457" w:type="pct"/>
            <w:noWrap/>
            <w:vAlign w:val="center"/>
          </w:tcPr>
          <w:p w14:paraId="2568D1F6">
            <w:pPr>
              <w:pStyle w:val="121"/>
              <w:rPr>
                <w:rFonts w:ascii="Times New Roman" w:hAnsi="Times New Roman"/>
                <w:w w:val="66"/>
              </w:rPr>
            </w:pPr>
            <w:r>
              <w:rPr>
                <w:rFonts w:hint="eastAsia" w:ascii="Times New Roman" w:hAnsi="Times New Roman"/>
                <w:w w:val="66"/>
              </w:rPr>
              <w:t>11.0</w:t>
            </w:r>
          </w:p>
        </w:tc>
        <w:tc>
          <w:tcPr>
            <w:tcW w:w="633" w:type="pct"/>
            <w:noWrap/>
            <w:vAlign w:val="center"/>
          </w:tcPr>
          <w:p w14:paraId="0CA84549">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2E76B1A0">
            <w:pPr>
              <w:pStyle w:val="121"/>
              <w:rPr>
                <w:rFonts w:ascii="Times New Roman" w:hAnsi="Times New Roman"/>
                <w:w w:val="66"/>
              </w:rPr>
            </w:pPr>
            <w:r>
              <w:rPr>
                <w:rFonts w:hint="eastAsia" w:ascii="Times New Roman" w:hAnsi="Times New Roman"/>
                <w:w w:val="66"/>
              </w:rPr>
              <w:t>80</w:t>
            </w:r>
          </w:p>
        </w:tc>
        <w:tc>
          <w:tcPr>
            <w:tcW w:w="455" w:type="pct"/>
            <w:noWrap/>
            <w:vAlign w:val="center"/>
          </w:tcPr>
          <w:p w14:paraId="1A891221">
            <w:pPr>
              <w:pStyle w:val="121"/>
              <w:rPr>
                <w:rFonts w:ascii="Times New Roman" w:hAnsi="Times New Roman"/>
                <w:w w:val="66"/>
              </w:rPr>
            </w:pPr>
            <w:r>
              <w:rPr>
                <w:rFonts w:hint="eastAsia" w:ascii="Times New Roman" w:hAnsi="Times New Roman"/>
                <w:w w:val="66"/>
              </w:rPr>
              <w:t>537.1</w:t>
            </w:r>
          </w:p>
        </w:tc>
        <w:tc>
          <w:tcPr>
            <w:tcW w:w="492" w:type="pct"/>
            <w:noWrap/>
            <w:vAlign w:val="center"/>
          </w:tcPr>
          <w:p w14:paraId="17894F03">
            <w:pPr>
              <w:pStyle w:val="121"/>
              <w:rPr>
                <w:rFonts w:ascii="Times New Roman" w:hAnsi="Times New Roman"/>
                <w:w w:val="66"/>
              </w:rPr>
            </w:pPr>
            <w:r>
              <w:rPr>
                <w:rFonts w:hint="eastAsia" w:ascii="Times New Roman" w:hAnsi="Times New Roman"/>
                <w:w w:val="66"/>
              </w:rPr>
              <w:t>8.3</w:t>
            </w:r>
          </w:p>
        </w:tc>
        <w:tc>
          <w:tcPr>
            <w:tcW w:w="491" w:type="pct"/>
            <w:noWrap/>
            <w:vAlign w:val="center"/>
          </w:tcPr>
          <w:p w14:paraId="09A8E376">
            <w:pPr>
              <w:pStyle w:val="121"/>
              <w:rPr>
                <w:rFonts w:ascii="Times New Roman" w:hAnsi="Times New Roman"/>
                <w:w w:val="66"/>
              </w:rPr>
            </w:pPr>
            <w:r>
              <w:rPr>
                <w:rFonts w:hint="eastAsia" w:ascii="Times New Roman" w:hAnsi="Times New Roman"/>
                <w:w w:val="66"/>
              </w:rPr>
              <w:t>20</w:t>
            </w:r>
          </w:p>
        </w:tc>
      </w:tr>
      <w:tr w14:paraId="15246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885064B">
            <w:pPr>
              <w:pStyle w:val="121"/>
              <w:rPr>
                <w:rFonts w:ascii="Times New Roman" w:hAnsi="Times New Roman"/>
                <w:w w:val="66"/>
              </w:rPr>
            </w:pPr>
            <w:r>
              <w:rPr>
                <w:rFonts w:ascii="Times New Roman" w:hAnsi="Times New Roman"/>
                <w:w w:val="66"/>
              </w:rPr>
              <w:t>二</w:t>
            </w:r>
          </w:p>
        </w:tc>
        <w:tc>
          <w:tcPr>
            <w:tcW w:w="1604" w:type="pct"/>
            <w:noWrap/>
            <w:vAlign w:val="center"/>
          </w:tcPr>
          <w:p w14:paraId="424F1E33">
            <w:pPr>
              <w:pStyle w:val="121"/>
              <w:rPr>
                <w:rFonts w:ascii="Times New Roman" w:hAnsi="Times New Roman"/>
                <w:w w:val="66"/>
              </w:rPr>
            </w:pPr>
            <w:r>
              <w:rPr>
                <w:rFonts w:ascii="Times New Roman" w:hAnsi="Times New Roman"/>
                <w:w w:val="66"/>
              </w:rPr>
              <w:t>通风天井</w:t>
            </w:r>
          </w:p>
        </w:tc>
        <w:tc>
          <w:tcPr>
            <w:tcW w:w="457" w:type="pct"/>
            <w:noWrap/>
            <w:vAlign w:val="center"/>
          </w:tcPr>
          <w:p w14:paraId="54BC5BE4">
            <w:pPr>
              <w:pStyle w:val="121"/>
              <w:rPr>
                <w:rFonts w:ascii="Times New Roman" w:hAnsi="Times New Roman"/>
                <w:w w:val="66"/>
              </w:rPr>
            </w:pPr>
          </w:p>
        </w:tc>
        <w:tc>
          <w:tcPr>
            <w:tcW w:w="633" w:type="pct"/>
            <w:noWrap/>
            <w:vAlign w:val="center"/>
          </w:tcPr>
          <w:p w14:paraId="7588AEE3">
            <w:pPr>
              <w:pStyle w:val="121"/>
              <w:rPr>
                <w:rFonts w:ascii="Times New Roman" w:hAnsi="Times New Roman"/>
                <w:w w:val="66"/>
              </w:rPr>
            </w:pPr>
          </w:p>
        </w:tc>
        <w:tc>
          <w:tcPr>
            <w:tcW w:w="525" w:type="pct"/>
            <w:noWrap/>
            <w:vAlign w:val="center"/>
          </w:tcPr>
          <w:p w14:paraId="17AA41B7">
            <w:pPr>
              <w:pStyle w:val="121"/>
              <w:rPr>
                <w:rFonts w:ascii="Times New Roman" w:hAnsi="Times New Roman"/>
                <w:w w:val="66"/>
              </w:rPr>
            </w:pPr>
          </w:p>
        </w:tc>
        <w:tc>
          <w:tcPr>
            <w:tcW w:w="455" w:type="pct"/>
            <w:noWrap/>
            <w:vAlign w:val="center"/>
          </w:tcPr>
          <w:p w14:paraId="79A7B7B5">
            <w:pPr>
              <w:pStyle w:val="121"/>
              <w:rPr>
                <w:rFonts w:ascii="Times New Roman" w:hAnsi="Times New Roman"/>
                <w:w w:val="66"/>
              </w:rPr>
            </w:pPr>
          </w:p>
        </w:tc>
        <w:tc>
          <w:tcPr>
            <w:tcW w:w="492" w:type="pct"/>
            <w:noWrap/>
            <w:vAlign w:val="center"/>
          </w:tcPr>
          <w:p w14:paraId="323F9DBB">
            <w:pPr>
              <w:pStyle w:val="121"/>
              <w:rPr>
                <w:rFonts w:ascii="Times New Roman" w:hAnsi="Times New Roman"/>
                <w:w w:val="66"/>
              </w:rPr>
            </w:pPr>
          </w:p>
        </w:tc>
        <w:tc>
          <w:tcPr>
            <w:tcW w:w="491" w:type="pct"/>
            <w:noWrap/>
            <w:vAlign w:val="center"/>
          </w:tcPr>
          <w:p w14:paraId="4D92D5E4">
            <w:pPr>
              <w:pStyle w:val="121"/>
              <w:rPr>
                <w:rFonts w:ascii="Times New Roman" w:hAnsi="Times New Roman"/>
                <w:w w:val="66"/>
              </w:rPr>
            </w:pPr>
          </w:p>
        </w:tc>
      </w:tr>
      <w:tr w14:paraId="57E37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307141E4">
            <w:pPr>
              <w:pStyle w:val="121"/>
              <w:rPr>
                <w:rFonts w:ascii="Times New Roman" w:hAnsi="Times New Roman"/>
                <w:w w:val="66"/>
              </w:rPr>
            </w:pPr>
            <w:r>
              <w:rPr>
                <w:rFonts w:ascii="Times New Roman" w:hAnsi="Times New Roman"/>
                <w:w w:val="66"/>
              </w:rPr>
              <w:t>1</w:t>
            </w:r>
          </w:p>
        </w:tc>
        <w:tc>
          <w:tcPr>
            <w:tcW w:w="1604" w:type="pct"/>
            <w:noWrap/>
            <w:vAlign w:val="center"/>
          </w:tcPr>
          <w:p w14:paraId="03F98460">
            <w:pPr>
              <w:pStyle w:val="121"/>
              <w:rPr>
                <w:rFonts w:ascii="Times New Roman" w:hAnsi="Times New Roman"/>
                <w:w w:val="66"/>
              </w:rPr>
            </w:pPr>
            <w:r>
              <w:rPr>
                <w:rFonts w:ascii="Times New Roman" w:hAnsi="Times New Roman"/>
                <w:w w:val="66"/>
              </w:rPr>
              <w:t>1号采区进风天井</w:t>
            </w:r>
          </w:p>
        </w:tc>
        <w:tc>
          <w:tcPr>
            <w:tcW w:w="457" w:type="pct"/>
            <w:noWrap/>
            <w:vAlign w:val="center"/>
          </w:tcPr>
          <w:p w14:paraId="4938FFE3">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42642707">
            <w:pPr>
              <w:pStyle w:val="121"/>
              <w:rPr>
                <w:rFonts w:ascii="Times New Roman" w:hAnsi="Times New Roman"/>
                <w:w w:val="66"/>
              </w:rPr>
            </w:pPr>
            <w:r>
              <w:rPr>
                <w:rFonts w:ascii="Times New Roman" w:hAnsi="Times New Roman"/>
                <w:w w:val="66"/>
              </w:rPr>
              <w:t>0.005</w:t>
            </w:r>
          </w:p>
        </w:tc>
        <w:tc>
          <w:tcPr>
            <w:tcW w:w="525" w:type="pct"/>
            <w:noWrap/>
            <w:vAlign w:val="center"/>
          </w:tcPr>
          <w:p w14:paraId="173A03E6">
            <w:pPr>
              <w:pStyle w:val="121"/>
              <w:rPr>
                <w:rFonts w:ascii="Times New Roman" w:hAnsi="Times New Roman"/>
                <w:w w:val="66"/>
              </w:rPr>
            </w:pPr>
            <w:r>
              <w:rPr>
                <w:rFonts w:hint="eastAsia" w:ascii="Times New Roman" w:hAnsi="Times New Roman"/>
                <w:w w:val="66"/>
              </w:rPr>
              <w:t>46.5</w:t>
            </w:r>
          </w:p>
        </w:tc>
        <w:tc>
          <w:tcPr>
            <w:tcW w:w="455" w:type="pct"/>
            <w:noWrap/>
            <w:vAlign w:val="center"/>
          </w:tcPr>
          <w:p w14:paraId="27B4458E">
            <w:pPr>
              <w:pStyle w:val="121"/>
              <w:rPr>
                <w:rFonts w:ascii="Times New Roman" w:hAnsi="Times New Roman"/>
                <w:w w:val="66"/>
              </w:rPr>
            </w:pPr>
            <w:r>
              <w:rPr>
                <w:rFonts w:hint="eastAsia" w:ascii="Times New Roman" w:hAnsi="Times New Roman"/>
                <w:w w:val="66"/>
              </w:rPr>
              <w:t>-181.0</w:t>
            </w:r>
          </w:p>
        </w:tc>
        <w:tc>
          <w:tcPr>
            <w:tcW w:w="492" w:type="pct"/>
            <w:noWrap/>
            <w:vAlign w:val="center"/>
          </w:tcPr>
          <w:p w14:paraId="49DD1880">
            <w:pPr>
              <w:pStyle w:val="121"/>
              <w:rPr>
                <w:rFonts w:ascii="Times New Roman" w:hAnsi="Times New Roman"/>
                <w:w w:val="66"/>
              </w:rPr>
            </w:pPr>
            <w:r>
              <w:rPr>
                <w:rFonts w:hint="eastAsia" w:ascii="Times New Roman" w:hAnsi="Times New Roman"/>
                <w:w w:val="66"/>
              </w:rPr>
              <w:t>4.8</w:t>
            </w:r>
          </w:p>
        </w:tc>
        <w:tc>
          <w:tcPr>
            <w:tcW w:w="491" w:type="pct"/>
            <w:noWrap/>
            <w:vAlign w:val="center"/>
          </w:tcPr>
          <w:p w14:paraId="4201BE04">
            <w:pPr>
              <w:pStyle w:val="121"/>
              <w:rPr>
                <w:rFonts w:ascii="Times New Roman" w:hAnsi="Times New Roman"/>
                <w:w w:val="66"/>
              </w:rPr>
            </w:pPr>
            <w:r>
              <w:rPr>
                <w:rFonts w:hint="eastAsia" w:ascii="Times New Roman" w:hAnsi="Times New Roman"/>
                <w:w w:val="66"/>
              </w:rPr>
              <w:t>20</w:t>
            </w:r>
          </w:p>
        </w:tc>
      </w:tr>
      <w:tr w14:paraId="1B306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D96F992">
            <w:pPr>
              <w:pStyle w:val="121"/>
              <w:rPr>
                <w:rFonts w:ascii="Times New Roman" w:hAnsi="Times New Roman"/>
                <w:w w:val="66"/>
              </w:rPr>
            </w:pPr>
            <w:r>
              <w:rPr>
                <w:rFonts w:ascii="Times New Roman" w:hAnsi="Times New Roman"/>
                <w:w w:val="66"/>
              </w:rPr>
              <w:t>2</w:t>
            </w:r>
          </w:p>
        </w:tc>
        <w:tc>
          <w:tcPr>
            <w:tcW w:w="1604" w:type="pct"/>
            <w:noWrap/>
            <w:vAlign w:val="center"/>
          </w:tcPr>
          <w:p w14:paraId="33F13F04">
            <w:pPr>
              <w:pStyle w:val="121"/>
              <w:rPr>
                <w:rFonts w:ascii="Times New Roman" w:hAnsi="Times New Roman"/>
                <w:w w:val="66"/>
              </w:rPr>
            </w:pPr>
            <w:r>
              <w:rPr>
                <w:rFonts w:ascii="Times New Roman" w:hAnsi="Times New Roman"/>
                <w:w w:val="66"/>
              </w:rPr>
              <w:t>2号采区进风天井</w:t>
            </w:r>
          </w:p>
        </w:tc>
        <w:tc>
          <w:tcPr>
            <w:tcW w:w="457" w:type="pct"/>
            <w:noWrap/>
            <w:vAlign w:val="center"/>
          </w:tcPr>
          <w:p w14:paraId="4FFACF73">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5209DCED">
            <w:pPr>
              <w:pStyle w:val="121"/>
              <w:rPr>
                <w:rFonts w:ascii="Times New Roman" w:hAnsi="Times New Roman"/>
                <w:w w:val="66"/>
              </w:rPr>
            </w:pPr>
            <w:r>
              <w:rPr>
                <w:rFonts w:ascii="Times New Roman" w:hAnsi="Times New Roman"/>
                <w:w w:val="66"/>
              </w:rPr>
              <w:t>0.005</w:t>
            </w:r>
          </w:p>
        </w:tc>
        <w:tc>
          <w:tcPr>
            <w:tcW w:w="525" w:type="pct"/>
            <w:noWrap/>
            <w:vAlign w:val="center"/>
          </w:tcPr>
          <w:p w14:paraId="5F6D4F68">
            <w:pPr>
              <w:pStyle w:val="121"/>
              <w:rPr>
                <w:rFonts w:ascii="Times New Roman" w:hAnsi="Times New Roman"/>
                <w:w w:val="66"/>
              </w:rPr>
            </w:pPr>
            <w:r>
              <w:rPr>
                <w:rFonts w:hint="eastAsia" w:ascii="Times New Roman" w:hAnsi="Times New Roman"/>
                <w:w w:val="66"/>
              </w:rPr>
              <w:t>26.5</w:t>
            </w:r>
          </w:p>
        </w:tc>
        <w:tc>
          <w:tcPr>
            <w:tcW w:w="455" w:type="pct"/>
            <w:noWrap/>
            <w:vAlign w:val="center"/>
          </w:tcPr>
          <w:p w14:paraId="7F8C246A">
            <w:pPr>
              <w:pStyle w:val="121"/>
              <w:rPr>
                <w:rFonts w:ascii="Times New Roman" w:hAnsi="Times New Roman"/>
                <w:w w:val="66"/>
              </w:rPr>
            </w:pPr>
            <w:r>
              <w:rPr>
                <w:rFonts w:hint="eastAsia" w:ascii="Times New Roman" w:hAnsi="Times New Roman"/>
                <w:w w:val="66"/>
              </w:rPr>
              <w:t>-169.1</w:t>
            </w:r>
          </w:p>
        </w:tc>
        <w:tc>
          <w:tcPr>
            <w:tcW w:w="492" w:type="pct"/>
            <w:noWrap/>
            <w:vAlign w:val="center"/>
          </w:tcPr>
          <w:p w14:paraId="3E5DFC55">
            <w:pPr>
              <w:pStyle w:val="121"/>
              <w:rPr>
                <w:rFonts w:ascii="Times New Roman" w:hAnsi="Times New Roman"/>
                <w:w w:val="66"/>
              </w:rPr>
            </w:pPr>
            <w:r>
              <w:rPr>
                <w:rFonts w:hint="eastAsia" w:ascii="Times New Roman" w:hAnsi="Times New Roman"/>
                <w:w w:val="66"/>
              </w:rPr>
              <w:t>2.8</w:t>
            </w:r>
          </w:p>
        </w:tc>
        <w:tc>
          <w:tcPr>
            <w:tcW w:w="491" w:type="pct"/>
            <w:noWrap/>
            <w:vAlign w:val="center"/>
          </w:tcPr>
          <w:p w14:paraId="36A60C3E">
            <w:pPr>
              <w:pStyle w:val="121"/>
              <w:rPr>
                <w:rFonts w:ascii="Times New Roman" w:hAnsi="Times New Roman"/>
                <w:w w:val="66"/>
              </w:rPr>
            </w:pPr>
            <w:r>
              <w:rPr>
                <w:rFonts w:hint="eastAsia" w:ascii="Times New Roman" w:hAnsi="Times New Roman"/>
                <w:w w:val="66"/>
              </w:rPr>
              <w:t>20</w:t>
            </w:r>
          </w:p>
        </w:tc>
      </w:tr>
      <w:tr w14:paraId="2B89F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AAB9025">
            <w:pPr>
              <w:pStyle w:val="121"/>
              <w:rPr>
                <w:rFonts w:ascii="Times New Roman" w:hAnsi="Times New Roman"/>
                <w:w w:val="66"/>
              </w:rPr>
            </w:pPr>
            <w:r>
              <w:rPr>
                <w:rFonts w:ascii="Times New Roman" w:hAnsi="Times New Roman"/>
                <w:w w:val="66"/>
              </w:rPr>
              <w:t>3</w:t>
            </w:r>
          </w:p>
        </w:tc>
        <w:tc>
          <w:tcPr>
            <w:tcW w:w="1604" w:type="pct"/>
            <w:noWrap/>
            <w:vAlign w:val="center"/>
          </w:tcPr>
          <w:p w14:paraId="12C5AC5E">
            <w:pPr>
              <w:pStyle w:val="121"/>
              <w:rPr>
                <w:rFonts w:ascii="Times New Roman" w:hAnsi="Times New Roman"/>
                <w:w w:val="66"/>
              </w:rPr>
            </w:pPr>
            <w:r>
              <w:rPr>
                <w:rFonts w:ascii="Times New Roman" w:hAnsi="Times New Roman"/>
                <w:w w:val="66"/>
              </w:rPr>
              <w:t>3号采区进风天井</w:t>
            </w:r>
          </w:p>
        </w:tc>
        <w:tc>
          <w:tcPr>
            <w:tcW w:w="457" w:type="pct"/>
            <w:noWrap/>
            <w:vAlign w:val="center"/>
          </w:tcPr>
          <w:p w14:paraId="6FE2D16A">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77E929A4">
            <w:pPr>
              <w:pStyle w:val="121"/>
              <w:rPr>
                <w:rFonts w:ascii="Times New Roman" w:hAnsi="Times New Roman"/>
                <w:w w:val="66"/>
              </w:rPr>
            </w:pPr>
            <w:r>
              <w:rPr>
                <w:rFonts w:ascii="Times New Roman" w:hAnsi="Times New Roman"/>
                <w:w w:val="66"/>
              </w:rPr>
              <w:t>0.005</w:t>
            </w:r>
          </w:p>
        </w:tc>
        <w:tc>
          <w:tcPr>
            <w:tcW w:w="525" w:type="pct"/>
            <w:noWrap/>
            <w:vAlign w:val="center"/>
          </w:tcPr>
          <w:p w14:paraId="46EF6EBD">
            <w:pPr>
              <w:pStyle w:val="121"/>
              <w:rPr>
                <w:rFonts w:ascii="Times New Roman" w:hAnsi="Times New Roman"/>
                <w:w w:val="66"/>
              </w:rPr>
            </w:pPr>
            <w:r>
              <w:rPr>
                <w:rFonts w:hint="eastAsia" w:ascii="Times New Roman" w:hAnsi="Times New Roman"/>
                <w:w w:val="66"/>
              </w:rPr>
              <w:t>110.6</w:t>
            </w:r>
          </w:p>
        </w:tc>
        <w:tc>
          <w:tcPr>
            <w:tcW w:w="455" w:type="pct"/>
            <w:noWrap/>
            <w:vAlign w:val="center"/>
          </w:tcPr>
          <w:p w14:paraId="6A7833BB">
            <w:pPr>
              <w:pStyle w:val="121"/>
              <w:rPr>
                <w:rFonts w:ascii="Times New Roman" w:hAnsi="Times New Roman"/>
                <w:w w:val="66"/>
              </w:rPr>
            </w:pPr>
            <w:r>
              <w:rPr>
                <w:rFonts w:hint="eastAsia" w:ascii="Times New Roman" w:hAnsi="Times New Roman"/>
                <w:w w:val="66"/>
              </w:rPr>
              <w:t>-122.3</w:t>
            </w:r>
          </w:p>
        </w:tc>
        <w:tc>
          <w:tcPr>
            <w:tcW w:w="492" w:type="pct"/>
            <w:noWrap/>
            <w:vAlign w:val="center"/>
          </w:tcPr>
          <w:p w14:paraId="20657C6E">
            <w:pPr>
              <w:pStyle w:val="121"/>
              <w:rPr>
                <w:rFonts w:ascii="Times New Roman" w:hAnsi="Times New Roman"/>
                <w:w w:val="66"/>
              </w:rPr>
            </w:pPr>
            <w:r>
              <w:rPr>
                <w:rFonts w:hint="eastAsia" w:ascii="Times New Roman" w:hAnsi="Times New Roman"/>
                <w:w w:val="66"/>
              </w:rPr>
              <w:t>11.5</w:t>
            </w:r>
          </w:p>
        </w:tc>
        <w:tc>
          <w:tcPr>
            <w:tcW w:w="491" w:type="pct"/>
            <w:noWrap/>
            <w:vAlign w:val="center"/>
          </w:tcPr>
          <w:p w14:paraId="70634639">
            <w:pPr>
              <w:pStyle w:val="121"/>
              <w:rPr>
                <w:rFonts w:ascii="Times New Roman" w:hAnsi="Times New Roman"/>
                <w:w w:val="66"/>
              </w:rPr>
            </w:pPr>
            <w:r>
              <w:rPr>
                <w:rFonts w:hint="eastAsia" w:ascii="Times New Roman" w:hAnsi="Times New Roman"/>
                <w:w w:val="66"/>
              </w:rPr>
              <w:t>20</w:t>
            </w:r>
          </w:p>
        </w:tc>
      </w:tr>
      <w:tr w14:paraId="19A5C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66CB7837">
            <w:pPr>
              <w:pStyle w:val="121"/>
              <w:rPr>
                <w:rFonts w:ascii="Times New Roman" w:hAnsi="Times New Roman"/>
                <w:w w:val="66"/>
              </w:rPr>
            </w:pPr>
            <w:r>
              <w:rPr>
                <w:rFonts w:ascii="Times New Roman" w:hAnsi="Times New Roman"/>
                <w:w w:val="66"/>
              </w:rPr>
              <w:t>4</w:t>
            </w:r>
          </w:p>
        </w:tc>
        <w:tc>
          <w:tcPr>
            <w:tcW w:w="1604" w:type="pct"/>
            <w:noWrap/>
            <w:vAlign w:val="center"/>
          </w:tcPr>
          <w:p w14:paraId="26CFC1BB">
            <w:pPr>
              <w:pStyle w:val="121"/>
              <w:rPr>
                <w:rFonts w:ascii="Times New Roman" w:hAnsi="Times New Roman"/>
                <w:w w:val="66"/>
              </w:rPr>
            </w:pPr>
            <w:r>
              <w:rPr>
                <w:rFonts w:ascii="Times New Roman" w:hAnsi="Times New Roman"/>
                <w:w w:val="66"/>
              </w:rPr>
              <w:t>4号采区进风天井</w:t>
            </w:r>
          </w:p>
        </w:tc>
        <w:tc>
          <w:tcPr>
            <w:tcW w:w="457" w:type="pct"/>
            <w:noWrap/>
            <w:vAlign w:val="center"/>
          </w:tcPr>
          <w:p w14:paraId="5F1E7EA0">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23096856">
            <w:pPr>
              <w:pStyle w:val="121"/>
              <w:rPr>
                <w:rFonts w:ascii="Times New Roman" w:hAnsi="Times New Roman"/>
                <w:w w:val="66"/>
              </w:rPr>
            </w:pPr>
            <w:r>
              <w:rPr>
                <w:rFonts w:ascii="Times New Roman" w:hAnsi="Times New Roman"/>
                <w:w w:val="66"/>
              </w:rPr>
              <w:t>0.005</w:t>
            </w:r>
          </w:p>
        </w:tc>
        <w:tc>
          <w:tcPr>
            <w:tcW w:w="525" w:type="pct"/>
            <w:noWrap/>
            <w:vAlign w:val="center"/>
          </w:tcPr>
          <w:p w14:paraId="3AF4690F">
            <w:pPr>
              <w:pStyle w:val="121"/>
              <w:rPr>
                <w:rFonts w:ascii="Times New Roman" w:hAnsi="Times New Roman"/>
                <w:w w:val="66"/>
              </w:rPr>
            </w:pPr>
            <w:r>
              <w:rPr>
                <w:rFonts w:hint="eastAsia" w:ascii="Times New Roman" w:hAnsi="Times New Roman"/>
                <w:w w:val="66"/>
              </w:rPr>
              <w:t>44.5</w:t>
            </w:r>
          </w:p>
        </w:tc>
        <w:tc>
          <w:tcPr>
            <w:tcW w:w="455" w:type="pct"/>
            <w:noWrap/>
            <w:vAlign w:val="center"/>
          </w:tcPr>
          <w:p w14:paraId="4D6F38AB">
            <w:pPr>
              <w:pStyle w:val="121"/>
              <w:rPr>
                <w:rFonts w:ascii="Times New Roman" w:hAnsi="Times New Roman"/>
                <w:w w:val="66"/>
              </w:rPr>
            </w:pPr>
            <w:r>
              <w:rPr>
                <w:rFonts w:hint="eastAsia" w:ascii="Times New Roman" w:hAnsi="Times New Roman"/>
                <w:w w:val="66"/>
              </w:rPr>
              <w:t>-238.1</w:t>
            </w:r>
          </w:p>
        </w:tc>
        <w:tc>
          <w:tcPr>
            <w:tcW w:w="492" w:type="pct"/>
            <w:noWrap/>
            <w:vAlign w:val="center"/>
          </w:tcPr>
          <w:p w14:paraId="3EDDD841">
            <w:pPr>
              <w:pStyle w:val="121"/>
              <w:rPr>
                <w:rFonts w:ascii="Times New Roman" w:hAnsi="Times New Roman"/>
                <w:w w:val="66"/>
              </w:rPr>
            </w:pPr>
            <w:r>
              <w:rPr>
                <w:rFonts w:hint="eastAsia" w:ascii="Times New Roman" w:hAnsi="Times New Roman"/>
                <w:w w:val="66"/>
              </w:rPr>
              <w:t>4.6</w:t>
            </w:r>
          </w:p>
        </w:tc>
        <w:tc>
          <w:tcPr>
            <w:tcW w:w="491" w:type="pct"/>
            <w:noWrap/>
            <w:vAlign w:val="center"/>
          </w:tcPr>
          <w:p w14:paraId="5FBE112D">
            <w:pPr>
              <w:pStyle w:val="121"/>
              <w:rPr>
                <w:rFonts w:ascii="Times New Roman" w:hAnsi="Times New Roman"/>
                <w:w w:val="66"/>
              </w:rPr>
            </w:pPr>
            <w:r>
              <w:rPr>
                <w:rFonts w:hint="eastAsia" w:ascii="Times New Roman" w:hAnsi="Times New Roman"/>
                <w:w w:val="66"/>
              </w:rPr>
              <w:t>20</w:t>
            </w:r>
          </w:p>
        </w:tc>
      </w:tr>
      <w:tr w14:paraId="602C8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756D671">
            <w:pPr>
              <w:pStyle w:val="121"/>
              <w:rPr>
                <w:rFonts w:ascii="Times New Roman" w:hAnsi="Times New Roman"/>
                <w:w w:val="66"/>
              </w:rPr>
            </w:pPr>
            <w:r>
              <w:rPr>
                <w:rFonts w:hint="eastAsia" w:ascii="Times New Roman" w:hAnsi="Times New Roman"/>
                <w:w w:val="66"/>
              </w:rPr>
              <w:t>5</w:t>
            </w:r>
          </w:p>
        </w:tc>
        <w:tc>
          <w:tcPr>
            <w:tcW w:w="1604" w:type="pct"/>
            <w:noWrap/>
            <w:vAlign w:val="center"/>
          </w:tcPr>
          <w:p w14:paraId="296D5D88">
            <w:pPr>
              <w:pStyle w:val="121"/>
              <w:rPr>
                <w:rFonts w:ascii="Times New Roman" w:hAnsi="Times New Roman"/>
                <w:w w:val="66"/>
              </w:rPr>
            </w:pPr>
            <w:r>
              <w:rPr>
                <w:rFonts w:ascii="Times New Roman" w:hAnsi="Times New Roman"/>
                <w:w w:val="66"/>
              </w:rPr>
              <w:t>1号采区回风天井</w:t>
            </w:r>
          </w:p>
        </w:tc>
        <w:tc>
          <w:tcPr>
            <w:tcW w:w="457" w:type="pct"/>
            <w:noWrap/>
            <w:vAlign w:val="center"/>
          </w:tcPr>
          <w:p w14:paraId="09B1763F">
            <w:pPr>
              <w:pStyle w:val="121"/>
              <w:rPr>
                <w:rFonts w:ascii="Times New Roman" w:hAnsi="Times New Roman"/>
                <w:w w:val="66"/>
              </w:rPr>
            </w:pPr>
            <w:r>
              <w:rPr>
                <w:rFonts w:ascii="Times New Roman" w:hAnsi="Times New Roman"/>
                <w:w w:val="66"/>
              </w:rPr>
              <w:t>12.</w:t>
            </w:r>
            <w:r>
              <w:rPr>
                <w:rFonts w:hint="eastAsia" w:ascii="Times New Roman" w:hAnsi="Times New Roman"/>
                <w:w w:val="66"/>
              </w:rPr>
              <w:t>56</w:t>
            </w:r>
          </w:p>
        </w:tc>
        <w:tc>
          <w:tcPr>
            <w:tcW w:w="633" w:type="pct"/>
            <w:noWrap/>
            <w:vAlign w:val="center"/>
          </w:tcPr>
          <w:p w14:paraId="67B4C727">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1D4901CE">
            <w:pPr>
              <w:pStyle w:val="121"/>
              <w:rPr>
                <w:rFonts w:ascii="Times New Roman" w:hAnsi="Times New Roman"/>
                <w:w w:val="66"/>
              </w:rPr>
            </w:pPr>
            <w:r>
              <w:rPr>
                <w:rFonts w:hint="eastAsia" w:ascii="Times New Roman" w:hAnsi="Times New Roman"/>
                <w:w w:val="66"/>
              </w:rPr>
              <w:t>120</w:t>
            </w:r>
          </w:p>
        </w:tc>
        <w:tc>
          <w:tcPr>
            <w:tcW w:w="455" w:type="pct"/>
            <w:noWrap/>
            <w:vAlign w:val="center"/>
          </w:tcPr>
          <w:p w14:paraId="14D6FF20">
            <w:pPr>
              <w:pStyle w:val="121"/>
              <w:rPr>
                <w:rFonts w:ascii="Times New Roman" w:hAnsi="Times New Roman"/>
                <w:w w:val="66"/>
              </w:rPr>
            </w:pPr>
            <w:r>
              <w:rPr>
                <w:rFonts w:hint="eastAsia" w:ascii="Times New Roman" w:hAnsi="Times New Roman"/>
                <w:w w:val="66"/>
              </w:rPr>
              <w:t>-311.0</w:t>
            </w:r>
          </w:p>
        </w:tc>
        <w:tc>
          <w:tcPr>
            <w:tcW w:w="492" w:type="pct"/>
            <w:noWrap/>
            <w:vAlign w:val="center"/>
          </w:tcPr>
          <w:p w14:paraId="17062673">
            <w:pPr>
              <w:pStyle w:val="121"/>
              <w:rPr>
                <w:rFonts w:ascii="Times New Roman" w:hAnsi="Times New Roman"/>
                <w:w w:val="66"/>
              </w:rPr>
            </w:pPr>
            <w:r>
              <w:rPr>
                <w:rFonts w:hint="eastAsia" w:ascii="Times New Roman" w:hAnsi="Times New Roman"/>
                <w:w w:val="66"/>
              </w:rPr>
              <w:t>12.5</w:t>
            </w:r>
          </w:p>
        </w:tc>
        <w:tc>
          <w:tcPr>
            <w:tcW w:w="491" w:type="pct"/>
            <w:noWrap/>
            <w:vAlign w:val="center"/>
          </w:tcPr>
          <w:p w14:paraId="61FDC99D">
            <w:pPr>
              <w:pStyle w:val="121"/>
              <w:rPr>
                <w:rFonts w:ascii="Times New Roman" w:hAnsi="Times New Roman"/>
                <w:w w:val="66"/>
              </w:rPr>
            </w:pPr>
            <w:r>
              <w:rPr>
                <w:rFonts w:hint="eastAsia" w:ascii="Times New Roman" w:hAnsi="Times New Roman"/>
                <w:w w:val="66"/>
              </w:rPr>
              <w:t>20</w:t>
            </w:r>
          </w:p>
        </w:tc>
      </w:tr>
      <w:tr w14:paraId="40A7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6A861DF">
            <w:pPr>
              <w:pStyle w:val="121"/>
              <w:rPr>
                <w:rFonts w:ascii="Times New Roman" w:hAnsi="Times New Roman"/>
                <w:w w:val="66"/>
              </w:rPr>
            </w:pPr>
            <w:r>
              <w:rPr>
                <w:rFonts w:hint="eastAsia" w:ascii="Times New Roman" w:hAnsi="Times New Roman"/>
                <w:w w:val="66"/>
              </w:rPr>
              <w:t>6</w:t>
            </w:r>
          </w:p>
        </w:tc>
        <w:tc>
          <w:tcPr>
            <w:tcW w:w="1604" w:type="pct"/>
            <w:noWrap/>
            <w:vAlign w:val="center"/>
          </w:tcPr>
          <w:p w14:paraId="24BF6754">
            <w:pPr>
              <w:pStyle w:val="121"/>
              <w:rPr>
                <w:rFonts w:ascii="Times New Roman" w:hAnsi="Times New Roman"/>
                <w:w w:val="66"/>
              </w:rPr>
            </w:pPr>
            <w:r>
              <w:rPr>
                <w:rFonts w:ascii="Times New Roman" w:hAnsi="Times New Roman"/>
                <w:w w:val="66"/>
              </w:rPr>
              <w:t>2号采区回风天井</w:t>
            </w:r>
          </w:p>
        </w:tc>
        <w:tc>
          <w:tcPr>
            <w:tcW w:w="457" w:type="pct"/>
            <w:noWrap/>
            <w:vAlign w:val="center"/>
          </w:tcPr>
          <w:p w14:paraId="395705BE">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1BC2370D">
            <w:pPr>
              <w:pStyle w:val="121"/>
              <w:rPr>
                <w:rFonts w:ascii="Times New Roman" w:hAnsi="Times New Roman"/>
                <w:w w:val="66"/>
              </w:rPr>
            </w:pPr>
            <w:r>
              <w:rPr>
                <w:rFonts w:ascii="Times New Roman" w:hAnsi="Times New Roman"/>
                <w:w w:val="66"/>
              </w:rPr>
              <w:t>0.005</w:t>
            </w:r>
          </w:p>
        </w:tc>
        <w:tc>
          <w:tcPr>
            <w:tcW w:w="525" w:type="pct"/>
            <w:noWrap/>
            <w:vAlign w:val="center"/>
          </w:tcPr>
          <w:p w14:paraId="04C6BEF3">
            <w:pPr>
              <w:pStyle w:val="121"/>
              <w:rPr>
                <w:rFonts w:ascii="Times New Roman" w:hAnsi="Times New Roman"/>
                <w:w w:val="66"/>
              </w:rPr>
            </w:pPr>
            <w:r>
              <w:rPr>
                <w:rFonts w:hint="eastAsia" w:ascii="Times New Roman" w:hAnsi="Times New Roman"/>
                <w:w w:val="66"/>
              </w:rPr>
              <w:t>120</w:t>
            </w:r>
          </w:p>
        </w:tc>
        <w:tc>
          <w:tcPr>
            <w:tcW w:w="455" w:type="pct"/>
            <w:noWrap/>
            <w:vAlign w:val="center"/>
          </w:tcPr>
          <w:p w14:paraId="57981FDB">
            <w:pPr>
              <w:pStyle w:val="121"/>
              <w:rPr>
                <w:rFonts w:ascii="Times New Roman" w:hAnsi="Times New Roman"/>
                <w:w w:val="66"/>
              </w:rPr>
            </w:pPr>
            <w:r>
              <w:rPr>
                <w:rFonts w:hint="eastAsia" w:ascii="Times New Roman" w:hAnsi="Times New Roman"/>
                <w:w w:val="66"/>
              </w:rPr>
              <w:t>-291.5</w:t>
            </w:r>
          </w:p>
        </w:tc>
        <w:tc>
          <w:tcPr>
            <w:tcW w:w="492" w:type="pct"/>
            <w:noWrap/>
            <w:vAlign w:val="center"/>
          </w:tcPr>
          <w:p w14:paraId="020AFB84">
            <w:pPr>
              <w:pStyle w:val="121"/>
              <w:rPr>
                <w:rFonts w:ascii="Times New Roman" w:hAnsi="Times New Roman"/>
                <w:w w:val="66"/>
              </w:rPr>
            </w:pPr>
            <w:r>
              <w:rPr>
                <w:rFonts w:hint="eastAsia" w:ascii="Times New Roman" w:hAnsi="Times New Roman"/>
                <w:w w:val="66"/>
              </w:rPr>
              <w:t>12.5</w:t>
            </w:r>
          </w:p>
        </w:tc>
        <w:tc>
          <w:tcPr>
            <w:tcW w:w="491" w:type="pct"/>
            <w:noWrap/>
            <w:vAlign w:val="center"/>
          </w:tcPr>
          <w:p w14:paraId="7A5F9A17">
            <w:pPr>
              <w:pStyle w:val="121"/>
              <w:rPr>
                <w:rFonts w:ascii="Times New Roman" w:hAnsi="Times New Roman"/>
                <w:w w:val="66"/>
              </w:rPr>
            </w:pPr>
            <w:r>
              <w:rPr>
                <w:rFonts w:hint="eastAsia" w:ascii="Times New Roman" w:hAnsi="Times New Roman"/>
                <w:w w:val="66"/>
              </w:rPr>
              <w:t>20</w:t>
            </w:r>
          </w:p>
        </w:tc>
      </w:tr>
      <w:tr w14:paraId="06233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71E07E27">
            <w:pPr>
              <w:pStyle w:val="121"/>
              <w:rPr>
                <w:rFonts w:ascii="Times New Roman" w:hAnsi="Times New Roman"/>
                <w:w w:val="66"/>
              </w:rPr>
            </w:pPr>
            <w:r>
              <w:rPr>
                <w:rFonts w:hint="eastAsia" w:ascii="Times New Roman" w:hAnsi="Times New Roman"/>
                <w:w w:val="66"/>
              </w:rPr>
              <w:t>7</w:t>
            </w:r>
          </w:p>
        </w:tc>
        <w:tc>
          <w:tcPr>
            <w:tcW w:w="1604" w:type="pct"/>
            <w:noWrap/>
            <w:vAlign w:val="center"/>
          </w:tcPr>
          <w:p w14:paraId="4C548BB6">
            <w:pPr>
              <w:pStyle w:val="121"/>
              <w:rPr>
                <w:rFonts w:ascii="Times New Roman" w:hAnsi="Times New Roman"/>
                <w:w w:val="66"/>
              </w:rPr>
            </w:pPr>
            <w:r>
              <w:rPr>
                <w:rFonts w:ascii="Times New Roman" w:hAnsi="Times New Roman"/>
                <w:w w:val="66"/>
              </w:rPr>
              <w:t>3号采区</w:t>
            </w:r>
            <w:r>
              <w:rPr>
                <w:rFonts w:hint="eastAsia" w:ascii="Times New Roman" w:hAnsi="Times New Roman"/>
                <w:w w:val="66"/>
              </w:rPr>
              <w:t>人行</w:t>
            </w:r>
            <w:r>
              <w:rPr>
                <w:rFonts w:ascii="Times New Roman" w:hAnsi="Times New Roman"/>
                <w:w w:val="66"/>
              </w:rPr>
              <w:t>回风天井</w:t>
            </w:r>
          </w:p>
        </w:tc>
        <w:tc>
          <w:tcPr>
            <w:tcW w:w="457" w:type="pct"/>
            <w:noWrap/>
            <w:vAlign w:val="center"/>
          </w:tcPr>
          <w:p w14:paraId="7E9AC96D">
            <w:pPr>
              <w:pStyle w:val="121"/>
              <w:rPr>
                <w:rFonts w:ascii="Times New Roman" w:hAnsi="Times New Roman"/>
                <w:w w:val="66"/>
              </w:rPr>
            </w:pPr>
            <w:r>
              <w:rPr>
                <w:rFonts w:hint="eastAsia" w:ascii="Times New Roman" w:hAnsi="Times New Roman"/>
                <w:w w:val="66"/>
              </w:rPr>
              <w:t>15.9</w:t>
            </w:r>
          </w:p>
        </w:tc>
        <w:tc>
          <w:tcPr>
            <w:tcW w:w="633" w:type="pct"/>
            <w:noWrap/>
            <w:vAlign w:val="center"/>
          </w:tcPr>
          <w:p w14:paraId="74A8F8DB">
            <w:pPr>
              <w:adjustRightInd w:val="0"/>
              <w:snapToGrid w:val="0"/>
              <w:spacing w:line="240" w:lineRule="auto"/>
              <w:ind w:firstLine="0" w:firstLineChars="0"/>
              <w:jc w:val="center"/>
              <w:rPr>
                <w:w w:val="66"/>
                <w:sz w:val="24"/>
                <w:szCs w:val="24"/>
              </w:rPr>
            </w:pPr>
            <w:r>
              <w:rPr>
                <w:w w:val="66"/>
                <w:sz w:val="24"/>
                <w:szCs w:val="24"/>
              </w:rPr>
              <w:t>0.005</w:t>
            </w:r>
          </w:p>
        </w:tc>
        <w:tc>
          <w:tcPr>
            <w:tcW w:w="525" w:type="pct"/>
            <w:noWrap/>
            <w:vAlign w:val="center"/>
          </w:tcPr>
          <w:p w14:paraId="115FD1DD">
            <w:pPr>
              <w:pStyle w:val="121"/>
              <w:rPr>
                <w:rFonts w:ascii="Times New Roman" w:hAnsi="Times New Roman"/>
                <w:w w:val="66"/>
              </w:rPr>
            </w:pPr>
            <w:r>
              <w:rPr>
                <w:rFonts w:hint="eastAsia" w:ascii="Times New Roman" w:hAnsi="Times New Roman"/>
                <w:w w:val="66"/>
              </w:rPr>
              <w:t>120</w:t>
            </w:r>
          </w:p>
        </w:tc>
        <w:tc>
          <w:tcPr>
            <w:tcW w:w="455" w:type="pct"/>
            <w:noWrap/>
            <w:vAlign w:val="center"/>
          </w:tcPr>
          <w:p w14:paraId="2402B8C5">
            <w:pPr>
              <w:pStyle w:val="121"/>
              <w:rPr>
                <w:rFonts w:ascii="Times New Roman" w:hAnsi="Times New Roman"/>
                <w:w w:val="66"/>
              </w:rPr>
            </w:pPr>
            <w:r>
              <w:rPr>
                <w:rFonts w:hint="eastAsia" w:ascii="Times New Roman" w:hAnsi="Times New Roman"/>
                <w:w w:val="66"/>
              </w:rPr>
              <w:t>-203.1</w:t>
            </w:r>
          </w:p>
        </w:tc>
        <w:tc>
          <w:tcPr>
            <w:tcW w:w="492" w:type="pct"/>
            <w:noWrap/>
            <w:vAlign w:val="center"/>
          </w:tcPr>
          <w:p w14:paraId="17771ADC">
            <w:pPr>
              <w:pStyle w:val="121"/>
              <w:rPr>
                <w:rFonts w:ascii="Times New Roman" w:hAnsi="Times New Roman"/>
                <w:w w:val="66"/>
              </w:rPr>
            </w:pPr>
            <w:r>
              <w:rPr>
                <w:rFonts w:hint="eastAsia" w:ascii="Times New Roman" w:hAnsi="Times New Roman"/>
                <w:w w:val="66"/>
              </w:rPr>
              <w:t>7.5</w:t>
            </w:r>
          </w:p>
        </w:tc>
        <w:tc>
          <w:tcPr>
            <w:tcW w:w="491" w:type="pct"/>
            <w:noWrap/>
            <w:vAlign w:val="center"/>
          </w:tcPr>
          <w:p w14:paraId="4F4E33BA">
            <w:pPr>
              <w:pStyle w:val="121"/>
              <w:rPr>
                <w:rFonts w:ascii="Times New Roman" w:hAnsi="Times New Roman"/>
                <w:w w:val="66"/>
              </w:rPr>
            </w:pPr>
            <w:r>
              <w:rPr>
                <w:rFonts w:hint="eastAsia" w:ascii="Times New Roman" w:hAnsi="Times New Roman"/>
                <w:w w:val="66"/>
              </w:rPr>
              <w:t>20</w:t>
            </w:r>
          </w:p>
        </w:tc>
      </w:tr>
      <w:tr w14:paraId="521EF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0EF3361">
            <w:pPr>
              <w:pStyle w:val="121"/>
              <w:rPr>
                <w:rFonts w:ascii="Times New Roman" w:hAnsi="Times New Roman"/>
                <w:w w:val="66"/>
              </w:rPr>
            </w:pPr>
            <w:r>
              <w:rPr>
                <w:rFonts w:hint="eastAsia" w:ascii="Times New Roman" w:hAnsi="Times New Roman"/>
                <w:w w:val="66"/>
              </w:rPr>
              <w:t>8</w:t>
            </w:r>
          </w:p>
        </w:tc>
        <w:tc>
          <w:tcPr>
            <w:tcW w:w="1604" w:type="pct"/>
            <w:noWrap/>
            <w:vAlign w:val="center"/>
          </w:tcPr>
          <w:p w14:paraId="4392DB04">
            <w:pPr>
              <w:pStyle w:val="121"/>
              <w:rPr>
                <w:rFonts w:ascii="Times New Roman" w:hAnsi="Times New Roman"/>
                <w:w w:val="66"/>
              </w:rPr>
            </w:pPr>
            <w:r>
              <w:rPr>
                <w:rFonts w:ascii="Times New Roman" w:hAnsi="Times New Roman"/>
                <w:w w:val="66"/>
              </w:rPr>
              <w:t>4号采区</w:t>
            </w:r>
            <w:r>
              <w:rPr>
                <w:rFonts w:hint="eastAsia" w:ascii="Times New Roman" w:hAnsi="Times New Roman"/>
                <w:w w:val="66"/>
              </w:rPr>
              <w:t>人行</w:t>
            </w:r>
            <w:r>
              <w:rPr>
                <w:rFonts w:ascii="Times New Roman" w:hAnsi="Times New Roman"/>
                <w:w w:val="66"/>
              </w:rPr>
              <w:t>回风天井</w:t>
            </w:r>
          </w:p>
        </w:tc>
        <w:tc>
          <w:tcPr>
            <w:tcW w:w="457" w:type="pct"/>
            <w:noWrap/>
            <w:vAlign w:val="center"/>
          </w:tcPr>
          <w:p w14:paraId="4EA1F68E">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5FAA5BDB">
            <w:pPr>
              <w:adjustRightInd w:val="0"/>
              <w:snapToGrid w:val="0"/>
              <w:spacing w:line="240" w:lineRule="auto"/>
              <w:ind w:firstLine="0" w:firstLineChars="0"/>
              <w:jc w:val="center"/>
              <w:rPr>
                <w:w w:val="66"/>
                <w:sz w:val="24"/>
                <w:szCs w:val="24"/>
              </w:rPr>
            </w:pPr>
            <w:r>
              <w:rPr>
                <w:rFonts w:hint="eastAsia"/>
                <w:w w:val="66"/>
                <w:sz w:val="24"/>
                <w:szCs w:val="24"/>
              </w:rPr>
              <w:t>0.014</w:t>
            </w:r>
          </w:p>
        </w:tc>
        <w:tc>
          <w:tcPr>
            <w:tcW w:w="525" w:type="pct"/>
            <w:noWrap/>
            <w:vAlign w:val="center"/>
          </w:tcPr>
          <w:p w14:paraId="2592D154">
            <w:pPr>
              <w:pStyle w:val="121"/>
              <w:rPr>
                <w:rFonts w:ascii="Times New Roman" w:hAnsi="Times New Roman"/>
                <w:w w:val="66"/>
              </w:rPr>
            </w:pPr>
            <w:r>
              <w:rPr>
                <w:rFonts w:hint="eastAsia" w:ascii="Times New Roman" w:hAnsi="Times New Roman"/>
                <w:w w:val="66"/>
              </w:rPr>
              <w:t>55.9</w:t>
            </w:r>
          </w:p>
        </w:tc>
        <w:tc>
          <w:tcPr>
            <w:tcW w:w="455" w:type="pct"/>
            <w:noWrap/>
            <w:vAlign w:val="center"/>
          </w:tcPr>
          <w:p w14:paraId="0C754528">
            <w:pPr>
              <w:pStyle w:val="121"/>
              <w:rPr>
                <w:rFonts w:ascii="Times New Roman" w:hAnsi="Times New Roman"/>
                <w:w w:val="66"/>
              </w:rPr>
            </w:pPr>
            <w:r>
              <w:rPr>
                <w:rFonts w:hint="eastAsia" w:ascii="Times New Roman" w:hAnsi="Times New Roman"/>
                <w:w w:val="66"/>
              </w:rPr>
              <w:t>-248.9</w:t>
            </w:r>
          </w:p>
        </w:tc>
        <w:tc>
          <w:tcPr>
            <w:tcW w:w="492" w:type="pct"/>
            <w:noWrap/>
            <w:vAlign w:val="center"/>
          </w:tcPr>
          <w:p w14:paraId="09EAC782">
            <w:pPr>
              <w:pStyle w:val="121"/>
              <w:rPr>
                <w:rFonts w:ascii="Times New Roman" w:hAnsi="Times New Roman"/>
                <w:w w:val="66"/>
              </w:rPr>
            </w:pPr>
            <w:r>
              <w:rPr>
                <w:rFonts w:hint="eastAsia" w:ascii="Times New Roman" w:hAnsi="Times New Roman"/>
                <w:w w:val="66"/>
              </w:rPr>
              <w:t>5.8</w:t>
            </w:r>
          </w:p>
        </w:tc>
        <w:tc>
          <w:tcPr>
            <w:tcW w:w="491" w:type="pct"/>
            <w:noWrap/>
            <w:vAlign w:val="center"/>
          </w:tcPr>
          <w:p w14:paraId="0EF46DA4">
            <w:pPr>
              <w:pStyle w:val="121"/>
              <w:rPr>
                <w:rFonts w:ascii="Times New Roman" w:hAnsi="Times New Roman"/>
                <w:w w:val="66"/>
              </w:rPr>
            </w:pPr>
            <w:r>
              <w:rPr>
                <w:rFonts w:hint="eastAsia" w:ascii="Times New Roman" w:hAnsi="Times New Roman"/>
                <w:w w:val="66"/>
              </w:rPr>
              <w:t>20</w:t>
            </w:r>
          </w:p>
        </w:tc>
      </w:tr>
      <w:tr w14:paraId="6F4A3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8A566CF">
            <w:pPr>
              <w:pStyle w:val="121"/>
              <w:rPr>
                <w:rFonts w:ascii="Times New Roman" w:hAnsi="Times New Roman"/>
                <w:w w:val="66"/>
              </w:rPr>
            </w:pPr>
            <w:r>
              <w:rPr>
                <w:rFonts w:hint="eastAsia" w:ascii="Times New Roman" w:hAnsi="Times New Roman"/>
                <w:w w:val="66"/>
              </w:rPr>
              <w:t>9</w:t>
            </w:r>
          </w:p>
        </w:tc>
        <w:tc>
          <w:tcPr>
            <w:tcW w:w="1604" w:type="pct"/>
            <w:noWrap/>
            <w:vAlign w:val="center"/>
          </w:tcPr>
          <w:p w14:paraId="4C65CB78">
            <w:pPr>
              <w:pStyle w:val="121"/>
              <w:rPr>
                <w:rFonts w:ascii="Times New Roman" w:hAnsi="Times New Roman"/>
                <w:w w:val="66"/>
              </w:rPr>
            </w:pPr>
            <w:r>
              <w:rPr>
                <w:rFonts w:ascii="Times New Roman" w:hAnsi="Times New Roman"/>
                <w:w w:val="66"/>
              </w:rPr>
              <w:t>溜破系统人行回风天井</w:t>
            </w:r>
          </w:p>
        </w:tc>
        <w:tc>
          <w:tcPr>
            <w:tcW w:w="457" w:type="pct"/>
            <w:noWrap/>
            <w:vAlign w:val="center"/>
          </w:tcPr>
          <w:p w14:paraId="2318BCB6">
            <w:pPr>
              <w:pStyle w:val="121"/>
              <w:rPr>
                <w:rFonts w:ascii="Times New Roman" w:hAnsi="Times New Roman"/>
                <w:w w:val="66"/>
              </w:rPr>
            </w:pPr>
            <w:r>
              <w:rPr>
                <w:rFonts w:hint="eastAsia" w:ascii="Times New Roman" w:hAnsi="Times New Roman"/>
                <w:w w:val="66"/>
              </w:rPr>
              <w:t>9.62</w:t>
            </w:r>
          </w:p>
        </w:tc>
        <w:tc>
          <w:tcPr>
            <w:tcW w:w="633" w:type="pct"/>
            <w:noWrap/>
            <w:vAlign w:val="center"/>
          </w:tcPr>
          <w:p w14:paraId="7EB3D46B">
            <w:pPr>
              <w:pStyle w:val="121"/>
              <w:rPr>
                <w:rFonts w:ascii="Times New Roman" w:hAnsi="Times New Roman"/>
                <w:w w:val="66"/>
              </w:rPr>
            </w:pPr>
            <w:r>
              <w:rPr>
                <w:rFonts w:hint="eastAsia" w:ascii="Times New Roman" w:hAnsi="Times New Roman"/>
                <w:w w:val="66"/>
              </w:rPr>
              <w:t>0.014</w:t>
            </w:r>
          </w:p>
        </w:tc>
        <w:tc>
          <w:tcPr>
            <w:tcW w:w="525" w:type="pct"/>
            <w:noWrap/>
            <w:vAlign w:val="center"/>
          </w:tcPr>
          <w:p w14:paraId="53E91311">
            <w:pPr>
              <w:pStyle w:val="121"/>
              <w:rPr>
                <w:rFonts w:ascii="Times New Roman" w:hAnsi="Times New Roman"/>
                <w:w w:val="66"/>
              </w:rPr>
            </w:pPr>
            <w:r>
              <w:rPr>
                <w:rFonts w:hint="eastAsia" w:ascii="Times New Roman" w:hAnsi="Times New Roman"/>
                <w:w w:val="66"/>
              </w:rPr>
              <w:t>15</w:t>
            </w:r>
          </w:p>
        </w:tc>
        <w:tc>
          <w:tcPr>
            <w:tcW w:w="455" w:type="pct"/>
            <w:noWrap/>
            <w:vAlign w:val="center"/>
          </w:tcPr>
          <w:p w14:paraId="2F8D594E">
            <w:pPr>
              <w:pStyle w:val="121"/>
              <w:rPr>
                <w:rFonts w:ascii="Times New Roman" w:hAnsi="Times New Roman"/>
                <w:w w:val="66"/>
              </w:rPr>
            </w:pPr>
            <w:r>
              <w:rPr>
                <w:rFonts w:hint="eastAsia" w:ascii="Times New Roman" w:hAnsi="Times New Roman"/>
                <w:w w:val="66"/>
              </w:rPr>
              <w:t>-74.4</w:t>
            </w:r>
          </w:p>
        </w:tc>
        <w:tc>
          <w:tcPr>
            <w:tcW w:w="492" w:type="pct"/>
            <w:noWrap/>
            <w:vAlign w:val="center"/>
          </w:tcPr>
          <w:p w14:paraId="5CA7CEEA">
            <w:pPr>
              <w:pStyle w:val="121"/>
              <w:rPr>
                <w:rFonts w:ascii="Times New Roman" w:hAnsi="Times New Roman"/>
                <w:w w:val="66"/>
              </w:rPr>
            </w:pPr>
            <w:r>
              <w:rPr>
                <w:rFonts w:hint="eastAsia" w:ascii="Times New Roman" w:hAnsi="Times New Roman"/>
                <w:w w:val="66"/>
              </w:rPr>
              <w:t>1.6</w:t>
            </w:r>
          </w:p>
        </w:tc>
        <w:tc>
          <w:tcPr>
            <w:tcW w:w="491" w:type="pct"/>
            <w:noWrap/>
            <w:vAlign w:val="center"/>
          </w:tcPr>
          <w:p w14:paraId="2CB9CF16">
            <w:pPr>
              <w:pStyle w:val="121"/>
              <w:rPr>
                <w:rFonts w:ascii="Times New Roman" w:hAnsi="Times New Roman"/>
                <w:w w:val="66"/>
              </w:rPr>
            </w:pPr>
            <w:r>
              <w:rPr>
                <w:rFonts w:hint="eastAsia" w:ascii="Times New Roman" w:hAnsi="Times New Roman"/>
                <w:w w:val="66"/>
              </w:rPr>
              <w:t>20</w:t>
            </w:r>
          </w:p>
        </w:tc>
      </w:tr>
      <w:tr w14:paraId="62B0D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E36C37B">
            <w:pPr>
              <w:pStyle w:val="121"/>
              <w:rPr>
                <w:rFonts w:ascii="Times New Roman" w:hAnsi="Times New Roman"/>
                <w:w w:val="66"/>
              </w:rPr>
            </w:pPr>
            <w:r>
              <w:rPr>
                <w:rFonts w:hint="eastAsia" w:ascii="Times New Roman" w:hAnsi="Times New Roman"/>
                <w:w w:val="66"/>
              </w:rPr>
              <w:t>三</w:t>
            </w:r>
          </w:p>
        </w:tc>
        <w:tc>
          <w:tcPr>
            <w:tcW w:w="1604" w:type="pct"/>
            <w:noWrap/>
            <w:vAlign w:val="center"/>
          </w:tcPr>
          <w:p w14:paraId="65F60E70">
            <w:pPr>
              <w:pStyle w:val="121"/>
              <w:rPr>
                <w:rFonts w:ascii="Times New Roman" w:hAnsi="Times New Roman"/>
                <w:w w:val="66"/>
              </w:rPr>
            </w:pPr>
            <w:r>
              <w:rPr>
                <w:rFonts w:ascii="Times New Roman" w:hAnsi="Times New Roman"/>
                <w:w w:val="66"/>
              </w:rPr>
              <w:t>-</w:t>
            </w:r>
            <w:r>
              <w:rPr>
                <w:rFonts w:hint="eastAsia" w:ascii="Times New Roman" w:hAnsi="Times New Roman"/>
                <w:w w:val="66"/>
              </w:rPr>
              <w:t>655</w:t>
            </w:r>
            <w:r>
              <w:rPr>
                <w:rFonts w:ascii="Times New Roman" w:hAnsi="Times New Roman"/>
                <w:w w:val="66"/>
              </w:rPr>
              <w:t>m回风水平</w:t>
            </w:r>
          </w:p>
        </w:tc>
        <w:tc>
          <w:tcPr>
            <w:tcW w:w="457" w:type="pct"/>
            <w:noWrap/>
            <w:vAlign w:val="center"/>
          </w:tcPr>
          <w:p w14:paraId="059CEC04">
            <w:pPr>
              <w:pStyle w:val="121"/>
              <w:rPr>
                <w:rFonts w:ascii="Times New Roman" w:hAnsi="Times New Roman"/>
                <w:w w:val="66"/>
              </w:rPr>
            </w:pPr>
          </w:p>
        </w:tc>
        <w:tc>
          <w:tcPr>
            <w:tcW w:w="633" w:type="pct"/>
            <w:noWrap/>
            <w:vAlign w:val="center"/>
          </w:tcPr>
          <w:p w14:paraId="417324F7">
            <w:pPr>
              <w:pStyle w:val="121"/>
              <w:rPr>
                <w:rFonts w:ascii="Times New Roman" w:hAnsi="Times New Roman"/>
                <w:w w:val="66"/>
              </w:rPr>
            </w:pPr>
          </w:p>
        </w:tc>
        <w:tc>
          <w:tcPr>
            <w:tcW w:w="525" w:type="pct"/>
            <w:noWrap/>
            <w:vAlign w:val="center"/>
          </w:tcPr>
          <w:p w14:paraId="795DF576">
            <w:pPr>
              <w:pStyle w:val="121"/>
              <w:rPr>
                <w:rFonts w:ascii="Times New Roman" w:hAnsi="Times New Roman"/>
                <w:w w:val="66"/>
              </w:rPr>
            </w:pPr>
          </w:p>
        </w:tc>
        <w:tc>
          <w:tcPr>
            <w:tcW w:w="455" w:type="pct"/>
            <w:noWrap/>
            <w:vAlign w:val="center"/>
          </w:tcPr>
          <w:p w14:paraId="249EB8FD">
            <w:pPr>
              <w:pStyle w:val="121"/>
              <w:rPr>
                <w:rFonts w:ascii="Times New Roman" w:hAnsi="Times New Roman"/>
                <w:w w:val="66"/>
              </w:rPr>
            </w:pPr>
          </w:p>
        </w:tc>
        <w:tc>
          <w:tcPr>
            <w:tcW w:w="492" w:type="pct"/>
            <w:noWrap/>
            <w:vAlign w:val="center"/>
          </w:tcPr>
          <w:p w14:paraId="782B84F8">
            <w:pPr>
              <w:pStyle w:val="121"/>
              <w:rPr>
                <w:rFonts w:ascii="Times New Roman" w:hAnsi="Times New Roman"/>
                <w:w w:val="66"/>
              </w:rPr>
            </w:pPr>
          </w:p>
        </w:tc>
        <w:tc>
          <w:tcPr>
            <w:tcW w:w="491" w:type="pct"/>
            <w:noWrap/>
            <w:vAlign w:val="center"/>
          </w:tcPr>
          <w:p w14:paraId="38990DBD">
            <w:pPr>
              <w:pStyle w:val="121"/>
              <w:rPr>
                <w:rFonts w:ascii="Times New Roman" w:hAnsi="Times New Roman"/>
                <w:w w:val="66"/>
              </w:rPr>
            </w:pPr>
          </w:p>
        </w:tc>
      </w:tr>
      <w:tr w14:paraId="2064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355BC874">
            <w:pPr>
              <w:pStyle w:val="121"/>
              <w:rPr>
                <w:rFonts w:ascii="Times New Roman" w:hAnsi="Times New Roman"/>
                <w:w w:val="66"/>
              </w:rPr>
            </w:pPr>
            <w:r>
              <w:rPr>
                <w:rFonts w:ascii="Times New Roman" w:hAnsi="Times New Roman"/>
                <w:w w:val="66"/>
              </w:rPr>
              <w:t>1</w:t>
            </w:r>
          </w:p>
        </w:tc>
        <w:tc>
          <w:tcPr>
            <w:tcW w:w="1604" w:type="pct"/>
            <w:noWrap/>
            <w:vAlign w:val="center"/>
          </w:tcPr>
          <w:p w14:paraId="1D25CA0F">
            <w:pPr>
              <w:pStyle w:val="121"/>
              <w:rPr>
                <w:rFonts w:ascii="Times New Roman" w:hAnsi="Times New Roman"/>
                <w:w w:val="66"/>
              </w:rPr>
            </w:pPr>
            <w:r>
              <w:rPr>
                <w:rFonts w:ascii="Times New Roman" w:hAnsi="Times New Roman"/>
                <w:w w:val="66"/>
              </w:rPr>
              <w:t>1号回风井北石门</w:t>
            </w:r>
          </w:p>
        </w:tc>
        <w:tc>
          <w:tcPr>
            <w:tcW w:w="457" w:type="pct"/>
            <w:noWrap/>
            <w:vAlign w:val="center"/>
          </w:tcPr>
          <w:p w14:paraId="25FEBDC8">
            <w:pPr>
              <w:pStyle w:val="121"/>
              <w:rPr>
                <w:rFonts w:ascii="Times New Roman" w:hAnsi="Times New Roman"/>
                <w:w w:val="66"/>
              </w:rPr>
            </w:pPr>
            <w:r>
              <w:rPr>
                <w:rFonts w:hint="eastAsia" w:ascii="Times New Roman" w:hAnsi="Times New Roman"/>
                <w:w w:val="66"/>
              </w:rPr>
              <w:t>18.4</w:t>
            </w:r>
          </w:p>
        </w:tc>
        <w:tc>
          <w:tcPr>
            <w:tcW w:w="633" w:type="pct"/>
            <w:noWrap/>
            <w:vAlign w:val="center"/>
          </w:tcPr>
          <w:p w14:paraId="3A7A55F2">
            <w:pPr>
              <w:pStyle w:val="121"/>
              <w:rPr>
                <w:rFonts w:ascii="Times New Roman" w:hAnsi="Times New Roman"/>
                <w:w w:val="66"/>
              </w:rPr>
            </w:pPr>
            <w:r>
              <w:rPr>
                <w:rFonts w:ascii="Times New Roman" w:hAnsi="Times New Roman"/>
                <w:w w:val="66"/>
              </w:rPr>
              <w:t>0.012</w:t>
            </w:r>
          </w:p>
        </w:tc>
        <w:tc>
          <w:tcPr>
            <w:tcW w:w="525" w:type="pct"/>
            <w:noWrap/>
            <w:vAlign w:val="center"/>
          </w:tcPr>
          <w:p w14:paraId="023FEAC0">
            <w:pPr>
              <w:pStyle w:val="121"/>
              <w:rPr>
                <w:rFonts w:ascii="Times New Roman" w:hAnsi="Times New Roman"/>
                <w:w w:val="66"/>
              </w:rPr>
            </w:pPr>
            <w:r>
              <w:rPr>
                <w:rFonts w:hint="eastAsia" w:ascii="Times New Roman" w:hAnsi="Times New Roman"/>
                <w:w w:val="66"/>
              </w:rPr>
              <w:t>180</w:t>
            </w:r>
          </w:p>
        </w:tc>
        <w:tc>
          <w:tcPr>
            <w:tcW w:w="455" w:type="pct"/>
            <w:noWrap/>
            <w:vAlign w:val="center"/>
          </w:tcPr>
          <w:p w14:paraId="691D8650">
            <w:pPr>
              <w:pStyle w:val="121"/>
              <w:rPr>
                <w:rFonts w:ascii="Times New Roman" w:hAnsi="Times New Roman"/>
                <w:w w:val="66"/>
              </w:rPr>
            </w:pPr>
            <w:r>
              <w:rPr>
                <w:rFonts w:hint="eastAsia" w:ascii="Times New Roman" w:hAnsi="Times New Roman"/>
                <w:w w:val="66"/>
              </w:rPr>
              <w:t>-1192.6</w:t>
            </w:r>
          </w:p>
        </w:tc>
        <w:tc>
          <w:tcPr>
            <w:tcW w:w="492" w:type="pct"/>
            <w:noWrap/>
            <w:vAlign w:val="center"/>
          </w:tcPr>
          <w:p w14:paraId="2CB69E9B">
            <w:pPr>
              <w:pStyle w:val="121"/>
              <w:rPr>
                <w:rFonts w:ascii="Times New Roman" w:hAnsi="Times New Roman"/>
                <w:w w:val="66"/>
              </w:rPr>
            </w:pPr>
            <w:r>
              <w:rPr>
                <w:rFonts w:hint="eastAsia" w:ascii="Times New Roman" w:hAnsi="Times New Roman"/>
                <w:w w:val="66"/>
              </w:rPr>
              <w:t>9.8</w:t>
            </w:r>
          </w:p>
        </w:tc>
        <w:tc>
          <w:tcPr>
            <w:tcW w:w="491" w:type="pct"/>
            <w:noWrap/>
            <w:vAlign w:val="center"/>
          </w:tcPr>
          <w:p w14:paraId="74EF6E3B">
            <w:pPr>
              <w:pStyle w:val="121"/>
              <w:rPr>
                <w:rFonts w:ascii="Times New Roman" w:hAnsi="Times New Roman"/>
                <w:w w:val="66"/>
              </w:rPr>
            </w:pPr>
            <w:r>
              <w:rPr>
                <w:rFonts w:ascii="Times New Roman" w:hAnsi="Times New Roman"/>
                <w:w w:val="66"/>
              </w:rPr>
              <w:t>20</w:t>
            </w:r>
          </w:p>
        </w:tc>
      </w:tr>
      <w:tr w14:paraId="71421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5A7BE2B">
            <w:pPr>
              <w:pStyle w:val="121"/>
              <w:rPr>
                <w:rFonts w:ascii="Times New Roman" w:hAnsi="Times New Roman"/>
                <w:w w:val="66"/>
              </w:rPr>
            </w:pPr>
            <w:r>
              <w:rPr>
                <w:rFonts w:ascii="Times New Roman" w:hAnsi="Times New Roman"/>
                <w:w w:val="66"/>
              </w:rPr>
              <w:t>2</w:t>
            </w:r>
          </w:p>
        </w:tc>
        <w:tc>
          <w:tcPr>
            <w:tcW w:w="1604" w:type="pct"/>
            <w:noWrap/>
            <w:vAlign w:val="center"/>
          </w:tcPr>
          <w:p w14:paraId="1F375DFA">
            <w:pPr>
              <w:pStyle w:val="121"/>
              <w:rPr>
                <w:rFonts w:ascii="Times New Roman" w:hAnsi="Times New Roman"/>
                <w:w w:val="66"/>
              </w:rPr>
            </w:pPr>
            <w:r>
              <w:rPr>
                <w:rFonts w:ascii="Times New Roman" w:hAnsi="Times New Roman"/>
                <w:w w:val="66"/>
              </w:rPr>
              <w:t>1号回风井南石门</w:t>
            </w:r>
          </w:p>
        </w:tc>
        <w:tc>
          <w:tcPr>
            <w:tcW w:w="457" w:type="pct"/>
            <w:noWrap/>
            <w:vAlign w:val="center"/>
          </w:tcPr>
          <w:p w14:paraId="3460B444">
            <w:pPr>
              <w:pStyle w:val="121"/>
              <w:rPr>
                <w:rFonts w:ascii="Times New Roman" w:hAnsi="Times New Roman"/>
                <w:w w:val="66"/>
              </w:rPr>
            </w:pPr>
            <w:r>
              <w:rPr>
                <w:rFonts w:hint="eastAsia" w:ascii="Times New Roman" w:hAnsi="Times New Roman"/>
                <w:w w:val="66"/>
              </w:rPr>
              <w:t>18.4</w:t>
            </w:r>
          </w:p>
        </w:tc>
        <w:tc>
          <w:tcPr>
            <w:tcW w:w="633" w:type="pct"/>
            <w:noWrap/>
            <w:vAlign w:val="center"/>
          </w:tcPr>
          <w:p w14:paraId="2AF0C8A8">
            <w:pPr>
              <w:pStyle w:val="121"/>
              <w:rPr>
                <w:rFonts w:ascii="Times New Roman" w:hAnsi="Times New Roman"/>
                <w:w w:val="66"/>
              </w:rPr>
            </w:pPr>
            <w:r>
              <w:rPr>
                <w:rFonts w:ascii="Times New Roman" w:hAnsi="Times New Roman"/>
                <w:w w:val="66"/>
              </w:rPr>
              <w:t>0.012</w:t>
            </w:r>
          </w:p>
        </w:tc>
        <w:tc>
          <w:tcPr>
            <w:tcW w:w="525" w:type="pct"/>
            <w:noWrap/>
            <w:vAlign w:val="center"/>
          </w:tcPr>
          <w:p w14:paraId="724EACC5">
            <w:pPr>
              <w:pStyle w:val="121"/>
              <w:rPr>
                <w:rFonts w:ascii="Times New Roman" w:hAnsi="Times New Roman"/>
                <w:w w:val="66"/>
              </w:rPr>
            </w:pPr>
            <w:r>
              <w:rPr>
                <w:rFonts w:hint="eastAsia" w:ascii="Times New Roman" w:hAnsi="Times New Roman"/>
                <w:w w:val="66"/>
              </w:rPr>
              <w:t>180</w:t>
            </w:r>
          </w:p>
        </w:tc>
        <w:tc>
          <w:tcPr>
            <w:tcW w:w="455" w:type="pct"/>
            <w:noWrap/>
            <w:vAlign w:val="center"/>
          </w:tcPr>
          <w:p w14:paraId="4F46F64E">
            <w:pPr>
              <w:pStyle w:val="121"/>
              <w:rPr>
                <w:rFonts w:ascii="Times New Roman" w:hAnsi="Times New Roman"/>
                <w:w w:val="66"/>
              </w:rPr>
            </w:pPr>
            <w:r>
              <w:rPr>
                <w:rFonts w:hint="eastAsia" w:ascii="Times New Roman" w:hAnsi="Times New Roman"/>
                <w:w w:val="66"/>
              </w:rPr>
              <w:t>-1370.6</w:t>
            </w:r>
          </w:p>
        </w:tc>
        <w:tc>
          <w:tcPr>
            <w:tcW w:w="492" w:type="pct"/>
            <w:noWrap/>
            <w:vAlign w:val="center"/>
          </w:tcPr>
          <w:p w14:paraId="7063E82C">
            <w:pPr>
              <w:pStyle w:val="121"/>
              <w:rPr>
                <w:rFonts w:ascii="Times New Roman" w:hAnsi="Times New Roman"/>
                <w:w w:val="66"/>
              </w:rPr>
            </w:pPr>
            <w:r>
              <w:rPr>
                <w:rFonts w:hint="eastAsia" w:ascii="Times New Roman" w:hAnsi="Times New Roman"/>
                <w:w w:val="66"/>
              </w:rPr>
              <w:t>9.8</w:t>
            </w:r>
          </w:p>
        </w:tc>
        <w:tc>
          <w:tcPr>
            <w:tcW w:w="491" w:type="pct"/>
            <w:noWrap/>
            <w:vAlign w:val="center"/>
          </w:tcPr>
          <w:p w14:paraId="43CED805">
            <w:pPr>
              <w:pStyle w:val="121"/>
              <w:rPr>
                <w:rFonts w:ascii="Times New Roman" w:hAnsi="Times New Roman"/>
                <w:w w:val="66"/>
              </w:rPr>
            </w:pPr>
            <w:r>
              <w:rPr>
                <w:rFonts w:ascii="Times New Roman" w:hAnsi="Times New Roman"/>
                <w:w w:val="66"/>
              </w:rPr>
              <w:t>20</w:t>
            </w:r>
          </w:p>
        </w:tc>
      </w:tr>
      <w:tr w14:paraId="2F4DA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EA0AC39">
            <w:pPr>
              <w:pStyle w:val="121"/>
              <w:rPr>
                <w:rFonts w:ascii="Times New Roman" w:hAnsi="Times New Roman"/>
                <w:w w:val="66"/>
              </w:rPr>
            </w:pPr>
            <w:r>
              <w:rPr>
                <w:rFonts w:ascii="Times New Roman" w:hAnsi="Times New Roman"/>
                <w:w w:val="66"/>
              </w:rPr>
              <w:t>3</w:t>
            </w:r>
          </w:p>
        </w:tc>
        <w:tc>
          <w:tcPr>
            <w:tcW w:w="1604" w:type="pct"/>
            <w:noWrap/>
            <w:vAlign w:val="center"/>
          </w:tcPr>
          <w:p w14:paraId="44FBCA5E">
            <w:pPr>
              <w:pStyle w:val="121"/>
              <w:rPr>
                <w:rFonts w:ascii="Times New Roman" w:hAnsi="Times New Roman"/>
                <w:w w:val="66"/>
              </w:rPr>
            </w:pPr>
            <w:r>
              <w:rPr>
                <w:rFonts w:ascii="Times New Roman" w:hAnsi="Times New Roman"/>
                <w:w w:val="66"/>
              </w:rPr>
              <w:t>采区回风天井联络巷</w:t>
            </w:r>
          </w:p>
        </w:tc>
        <w:tc>
          <w:tcPr>
            <w:tcW w:w="457" w:type="pct"/>
            <w:noWrap/>
            <w:vAlign w:val="center"/>
          </w:tcPr>
          <w:p w14:paraId="3768C729">
            <w:pPr>
              <w:pStyle w:val="121"/>
              <w:rPr>
                <w:rFonts w:ascii="Times New Roman" w:hAnsi="Times New Roman"/>
                <w:w w:val="66"/>
              </w:rPr>
            </w:pPr>
            <w:r>
              <w:rPr>
                <w:rFonts w:hint="eastAsia" w:ascii="Times New Roman" w:hAnsi="Times New Roman"/>
                <w:w w:val="66"/>
              </w:rPr>
              <w:t>12.7</w:t>
            </w:r>
          </w:p>
        </w:tc>
        <w:tc>
          <w:tcPr>
            <w:tcW w:w="633" w:type="pct"/>
            <w:noWrap/>
            <w:vAlign w:val="center"/>
          </w:tcPr>
          <w:p w14:paraId="16D5EFC6">
            <w:pPr>
              <w:pStyle w:val="121"/>
              <w:rPr>
                <w:rFonts w:ascii="Times New Roman" w:hAnsi="Times New Roman"/>
                <w:w w:val="66"/>
              </w:rPr>
            </w:pPr>
            <w:r>
              <w:rPr>
                <w:rFonts w:ascii="Times New Roman" w:hAnsi="Times New Roman"/>
                <w:w w:val="66"/>
              </w:rPr>
              <w:t>0.012</w:t>
            </w:r>
          </w:p>
        </w:tc>
        <w:tc>
          <w:tcPr>
            <w:tcW w:w="525" w:type="pct"/>
            <w:noWrap/>
            <w:vAlign w:val="center"/>
          </w:tcPr>
          <w:p w14:paraId="285C4A4F">
            <w:pPr>
              <w:pStyle w:val="121"/>
              <w:rPr>
                <w:rFonts w:ascii="Times New Roman" w:hAnsi="Times New Roman"/>
                <w:w w:val="66"/>
              </w:rPr>
            </w:pPr>
            <w:r>
              <w:rPr>
                <w:rFonts w:hint="eastAsia" w:ascii="Times New Roman" w:hAnsi="Times New Roman"/>
                <w:w w:val="66"/>
              </w:rPr>
              <w:t>120</w:t>
            </w:r>
          </w:p>
        </w:tc>
        <w:tc>
          <w:tcPr>
            <w:tcW w:w="455" w:type="pct"/>
            <w:noWrap/>
            <w:vAlign w:val="center"/>
          </w:tcPr>
          <w:p w14:paraId="779B8832">
            <w:pPr>
              <w:pStyle w:val="121"/>
              <w:rPr>
                <w:rFonts w:ascii="Times New Roman" w:hAnsi="Times New Roman"/>
                <w:w w:val="66"/>
              </w:rPr>
            </w:pPr>
            <w:r>
              <w:rPr>
                <w:rFonts w:hint="eastAsia" w:ascii="Times New Roman" w:hAnsi="Times New Roman"/>
                <w:w w:val="66"/>
              </w:rPr>
              <w:t>-1218.0</w:t>
            </w:r>
          </w:p>
        </w:tc>
        <w:tc>
          <w:tcPr>
            <w:tcW w:w="492" w:type="pct"/>
            <w:noWrap/>
            <w:vAlign w:val="center"/>
          </w:tcPr>
          <w:p w14:paraId="24C4DBA7">
            <w:pPr>
              <w:pStyle w:val="121"/>
              <w:rPr>
                <w:rFonts w:ascii="Times New Roman" w:hAnsi="Times New Roman"/>
                <w:w w:val="66"/>
              </w:rPr>
            </w:pPr>
            <w:r>
              <w:rPr>
                <w:rFonts w:hint="eastAsia" w:ascii="Times New Roman" w:hAnsi="Times New Roman"/>
                <w:w w:val="66"/>
              </w:rPr>
              <w:t>9.4</w:t>
            </w:r>
          </w:p>
        </w:tc>
        <w:tc>
          <w:tcPr>
            <w:tcW w:w="491" w:type="pct"/>
            <w:noWrap/>
            <w:vAlign w:val="center"/>
          </w:tcPr>
          <w:p w14:paraId="2F2B6851">
            <w:pPr>
              <w:pStyle w:val="121"/>
              <w:rPr>
                <w:rFonts w:ascii="Times New Roman" w:hAnsi="Times New Roman"/>
                <w:w w:val="66"/>
              </w:rPr>
            </w:pPr>
            <w:r>
              <w:rPr>
                <w:rFonts w:hint="eastAsia" w:ascii="Times New Roman" w:hAnsi="Times New Roman"/>
                <w:w w:val="66"/>
              </w:rPr>
              <w:t>20</w:t>
            </w:r>
          </w:p>
        </w:tc>
      </w:tr>
      <w:tr w14:paraId="75B87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1D85E71">
            <w:pPr>
              <w:pStyle w:val="121"/>
              <w:rPr>
                <w:rFonts w:ascii="Times New Roman" w:hAnsi="Times New Roman"/>
                <w:w w:val="66"/>
              </w:rPr>
            </w:pPr>
            <w:r>
              <w:rPr>
                <w:rFonts w:hint="eastAsia" w:ascii="Times New Roman" w:hAnsi="Times New Roman"/>
                <w:w w:val="66"/>
              </w:rPr>
              <w:t>4</w:t>
            </w:r>
          </w:p>
        </w:tc>
        <w:tc>
          <w:tcPr>
            <w:tcW w:w="1604" w:type="pct"/>
            <w:noWrap/>
            <w:vAlign w:val="center"/>
          </w:tcPr>
          <w:p w14:paraId="74ABE5AC">
            <w:pPr>
              <w:pStyle w:val="121"/>
              <w:rPr>
                <w:rFonts w:ascii="Times New Roman" w:hAnsi="Times New Roman"/>
                <w:w w:val="66"/>
              </w:rPr>
            </w:pPr>
            <w:r>
              <w:rPr>
                <w:rFonts w:ascii="Times New Roman" w:hAnsi="Times New Roman"/>
                <w:w w:val="66"/>
              </w:rPr>
              <w:t>下盘回风联络巷</w:t>
            </w:r>
          </w:p>
        </w:tc>
        <w:tc>
          <w:tcPr>
            <w:tcW w:w="457" w:type="pct"/>
            <w:noWrap/>
            <w:vAlign w:val="center"/>
          </w:tcPr>
          <w:p w14:paraId="1478916A">
            <w:pPr>
              <w:pStyle w:val="121"/>
              <w:rPr>
                <w:rFonts w:ascii="Times New Roman" w:hAnsi="Times New Roman"/>
                <w:w w:val="66"/>
              </w:rPr>
            </w:pPr>
            <w:r>
              <w:rPr>
                <w:rFonts w:hint="eastAsia" w:ascii="Times New Roman" w:hAnsi="Times New Roman"/>
                <w:w w:val="66"/>
              </w:rPr>
              <w:t>18.6</w:t>
            </w:r>
          </w:p>
        </w:tc>
        <w:tc>
          <w:tcPr>
            <w:tcW w:w="633" w:type="pct"/>
            <w:noWrap/>
            <w:vAlign w:val="center"/>
          </w:tcPr>
          <w:p w14:paraId="7B4F0DD7">
            <w:pPr>
              <w:pStyle w:val="121"/>
              <w:rPr>
                <w:rFonts w:ascii="Times New Roman" w:hAnsi="Times New Roman"/>
                <w:w w:val="66"/>
              </w:rPr>
            </w:pPr>
            <w:r>
              <w:rPr>
                <w:rFonts w:ascii="Times New Roman" w:hAnsi="Times New Roman"/>
                <w:w w:val="66"/>
              </w:rPr>
              <w:t>0.012</w:t>
            </w:r>
          </w:p>
        </w:tc>
        <w:tc>
          <w:tcPr>
            <w:tcW w:w="525" w:type="pct"/>
            <w:noWrap/>
            <w:vAlign w:val="center"/>
          </w:tcPr>
          <w:p w14:paraId="22D2F50E">
            <w:pPr>
              <w:pStyle w:val="121"/>
              <w:rPr>
                <w:rFonts w:ascii="Times New Roman" w:hAnsi="Times New Roman"/>
                <w:w w:val="66"/>
              </w:rPr>
            </w:pPr>
            <w:r>
              <w:rPr>
                <w:rFonts w:hint="eastAsia" w:ascii="Times New Roman" w:hAnsi="Times New Roman"/>
                <w:w w:val="66"/>
              </w:rPr>
              <w:t>240</w:t>
            </w:r>
          </w:p>
        </w:tc>
        <w:tc>
          <w:tcPr>
            <w:tcW w:w="455" w:type="pct"/>
            <w:noWrap/>
            <w:vAlign w:val="center"/>
          </w:tcPr>
          <w:p w14:paraId="120FEEFC">
            <w:pPr>
              <w:pStyle w:val="121"/>
              <w:rPr>
                <w:rFonts w:ascii="Times New Roman" w:hAnsi="Times New Roman"/>
                <w:w w:val="66"/>
              </w:rPr>
            </w:pPr>
            <w:r>
              <w:rPr>
                <w:rFonts w:hint="eastAsia" w:ascii="Times New Roman" w:hAnsi="Times New Roman"/>
                <w:w w:val="66"/>
              </w:rPr>
              <w:t>-1083.6</w:t>
            </w:r>
          </w:p>
        </w:tc>
        <w:tc>
          <w:tcPr>
            <w:tcW w:w="492" w:type="pct"/>
            <w:noWrap/>
            <w:vAlign w:val="center"/>
          </w:tcPr>
          <w:p w14:paraId="084FE54F">
            <w:pPr>
              <w:pStyle w:val="121"/>
              <w:rPr>
                <w:rFonts w:ascii="Times New Roman" w:hAnsi="Times New Roman"/>
                <w:w w:val="66"/>
              </w:rPr>
            </w:pPr>
            <w:r>
              <w:rPr>
                <w:rFonts w:hint="eastAsia" w:ascii="Times New Roman" w:hAnsi="Times New Roman"/>
                <w:w w:val="66"/>
              </w:rPr>
              <w:t>12.9</w:t>
            </w:r>
          </w:p>
        </w:tc>
        <w:tc>
          <w:tcPr>
            <w:tcW w:w="491" w:type="pct"/>
            <w:noWrap/>
            <w:vAlign w:val="center"/>
          </w:tcPr>
          <w:p w14:paraId="7C1CBE2B">
            <w:pPr>
              <w:pStyle w:val="121"/>
              <w:rPr>
                <w:rFonts w:ascii="Times New Roman" w:hAnsi="Times New Roman"/>
                <w:w w:val="66"/>
              </w:rPr>
            </w:pPr>
            <w:r>
              <w:rPr>
                <w:rFonts w:ascii="Times New Roman" w:hAnsi="Times New Roman"/>
                <w:w w:val="66"/>
              </w:rPr>
              <w:t>20</w:t>
            </w:r>
          </w:p>
        </w:tc>
      </w:tr>
      <w:tr w14:paraId="4CE26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12747FC">
            <w:pPr>
              <w:pStyle w:val="121"/>
              <w:rPr>
                <w:rFonts w:ascii="Times New Roman" w:hAnsi="Times New Roman"/>
                <w:w w:val="66"/>
              </w:rPr>
            </w:pPr>
            <w:r>
              <w:rPr>
                <w:rFonts w:hint="eastAsia" w:ascii="Times New Roman" w:hAnsi="Times New Roman"/>
                <w:w w:val="66"/>
              </w:rPr>
              <w:t>四</w:t>
            </w:r>
          </w:p>
        </w:tc>
        <w:tc>
          <w:tcPr>
            <w:tcW w:w="1604" w:type="pct"/>
            <w:noWrap/>
            <w:vAlign w:val="center"/>
          </w:tcPr>
          <w:p w14:paraId="1B015369">
            <w:pPr>
              <w:pStyle w:val="121"/>
              <w:rPr>
                <w:rFonts w:ascii="Times New Roman" w:hAnsi="Times New Roman"/>
                <w:w w:val="66"/>
              </w:rPr>
            </w:pPr>
            <w:r>
              <w:rPr>
                <w:rFonts w:ascii="Times New Roman" w:hAnsi="Times New Roman"/>
                <w:w w:val="66"/>
              </w:rPr>
              <w:t>-</w:t>
            </w:r>
            <w:r>
              <w:rPr>
                <w:rFonts w:hint="eastAsia" w:ascii="Times New Roman" w:hAnsi="Times New Roman"/>
                <w:w w:val="66"/>
              </w:rPr>
              <w:t>73</w:t>
            </w:r>
            <w:r>
              <w:rPr>
                <w:rFonts w:ascii="Times New Roman" w:hAnsi="Times New Roman"/>
                <w:w w:val="66"/>
              </w:rPr>
              <w:t>0m充填水平</w:t>
            </w:r>
          </w:p>
        </w:tc>
        <w:tc>
          <w:tcPr>
            <w:tcW w:w="457" w:type="pct"/>
            <w:noWrap/>
            <w:vAlign w:val="center"/>
          </w:tcPr>
          <w:p w14:paraId="47D9C838">
            <w:pPr>
              <w:pStyle w:val="121"/>
              <w:rPr>
                <w:rFonts w:ascii="Times New Roman" w:hAnsi="Times New Roman"/>
                <w:w w:val="66"/>
              </w:rPr>
            </w:pPr>
          </w:p>
        </w:tc>
        <w:tc>
          <w:tcPr>
            <w:tcW w:w="633" w:type="pct"/>
            <w:noWrap/>
            <w:vAlign w:val="center"/>
          </w:tcPr>
          <w:p w14:paraId="036ECD35">
            <w:pPr>
              <w:pStyle w:val="121"/>
              <w:rPr>
                <w:rFonts w:ascii="Times New Roman" w:hAnsi="Times New Roman"/>
                <w:w w:val="66"/>
              </w:rPr>
            </w:pPr>
          </w:p>
        </w:tc>
        <w:tc>
          <w:tcPr>
            <w:tcW w:w="525" w:type="pct"/>
            <w:noWrap/>
            <w:vAlign w:val="center"/>
          </w:tcPr>
          <w:p w14:paraId="4CC31EDA">
            <w:pPr>
              <w:pStyle w:val="121"/>
              <w:rPr>
                <w:rFonts w:ascii="Times New Roman" w:hAnsi="Times New Roman"/>
                <w:w w:val="66"/>
              </w:rPr>
            </w:pPr>
          </w:p>
        </w:tc>
        <w:tc>
          <w:tcPr>
            <w:tcW w:w="455" w:type="pct"/>
            <w:noWrap/>
            <w:vAlign w:val="center"/>
          </w:tcPr>
          <w:p w14:paraId="74837EAA">
            <w:pPr>
              <w:pStyle w:val="121"/>
              <w:rPr>
                <w:rFonts w:ascii="Times New Roman" w:hAnsi="Times New Roman"/>
                <w:w w:val="66"/>
              </w:rPr>
            </w:pPr>
          </w:p>
        </w:tc>
        <w:tc>
          <w:tcPr>
            <w:tcW w:w="492" w:type="pct"/>
            <w:noWrap/>
            <w:vAlign w:val="center"/>
          </w:tcPr>
          <w:p w14:paraId="739F280E">
            <w:pPr>
              <w:pStyle w:val="121"/>
              <w:rPr>
                <w:rFonts w:ascii="Times New Roman" w:hAnsi="Times New Roman"/>
                <w:w w:val="66"/>
              </w:rPr>
            </w:pPr>
          </w:p>
        </w:tc>
        <w:tc>
          <w:tcPr>
            <w:tcW w:w="491" w:type="pct"/>
            <w:noWrap/>
            <w:vAlign w:val="center"/>
          </w:tcPr>
          <w:p w14:paraId="3BD09B4B">
            <w:pPr>
              <w:pStyle w:val="121"/>
              <w:rPr>
                <w:rFonts w:ascii="Times New Roman" w:hAnsi="Times New Roman"/>
                <w:w w:val="66"/>
              </w:rPr>
            </w:pPr>
          </w:p>
        </w:tc>
      </w:tr>
      <w:tr w14:paraId="64F0C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5EE9A98">
            <w:pPr>
              <w:pStyle w:val="121"/>
              <w:rPr>
                <w:rFonts w:ascii="Times New Roman" w:hAnsi="Times New Roman"/>
                <w:w w:val="66"/>
              </w:rPr>
            </w:pPr>
            <w:r>
              <w:rPr>
                <w:rFonts w:ascii="Times New Roman" w:hAnsi="Times New Roman"/>
                <w:w w:val="66"/>
              </w:rPr>
              <w:t>1</w:t>
            </w:r>
          </w:p>
        </w:tc>
        <w:tc>
          <w:tcPr>
            <w:tcW w:w="1604" w:type="pct"/>
            <w:noWrap/>
            <w:vAlign w:val="center"/>
          </w:tcPr>
          <w:p w14:paraId="4DAD8BB7">
            <w:pPr>
              <w:pStyle w:val="121"/>
              <w:rPr>
                <w:rFonts w:ascii="Times New Roman" w:hAnsi="Times New Roman"/>
                <w:w w:val="66"/>
              </w:rPr>
            </w:pPr>
            <w:r>
              <w:rPr>
                <w:rFonts w:ascii="Times New Roman" w:hAnsi="Times New Roman"/>
                <w:w w:val="66"/>
              </w:rPr>
              <w:t>副井石门</w:t>
            </w:r>
          </w:p>
        </w:tc>
        <w:tc>
          <w:tcPr>
            <w:tcW w:w="457" w:type="pct"/>
            <w:noWrap/>
            <w:vAlign w:val="center"/>
          </w:tcPr>
          <w:p w14:paraId="44EB8D5E">
            <w:pPr>
              <w:pStyle w:val="121"/>
              <w:rPr>
                <w:rFonts w:ascii="Times New Roman" w:hAnsi="Times New Roman"/>
                <w:w w:val="66"/>
              </w:rPr>
            </w:pPr>
            <w:r>
              <w:rPr>
                <w:rFonts w:hint="eastAsia" w:ascii="Times New Roman" w:hAnsi="Times New Roman"/>
                <w:w w:val="66"/>
              </w:rPr>
              <w:t>15.4</w:t>
            </w:r>
          </w:p>
        </w:tc>
        <w:tc>
          <w:tcPr>
            <w:tcW w:w="633" w:type="pct"/>
            <w:noWrap/>
            <w:vAlign w:val="center"/>
          </w:tcPr>
          <w:p w14:paraId="2901F4C9">
            <w:pPr>
              <w:pStyle w:val="121"/>
              <w:rPr>
                <w:rFonts w:ascii="Times New Roman" w:hAnsi="Times New Roman"/>
                <w:w w:val="66"/>
              </w:rPr>
            </w:pPr>
            <w:r>
              <w:rPr>
                <w:rFonts w:ascii="Times New Roman" w:hAnsi="Times New Roman"/>
                <w:w w:val="66"/>
              </w:rPr>
              <w:t>0.012</w:t>
            </w:r>
          </w:p>
        </w:tc>
        <w:tc>
          <w:tcPr>
            <w:tcW w:w="525" w:type="pct"/>
            <w:noWrap/>
            <w:vAlign w:val="center"/>
          </w:tcPr>
          <w:p w14:paraId="4B18810F">
            <w:pPr>
              <w:pStyle w:val="121"/>
              <w:rPr>
                <w:rFonts w:ascii="Times New Roman" w:hAnsi="Times New Roman"/>
                <w:w w:val="66"/>
              </w:rPr>
            </w:pPr>
            <w:r>
              <w:rPr>
                <w:rFonts w:hint="eastAsia" w:ascii="Times New Roman" w:hAnsi="Times New Roman"/>
                <w:w w:val="66"/>
              </w:rPr>
              <w:t>20</w:t>
            </w:r>
          </w:p>
        </w:tc>
        <w:tc>
          <w:tcPr>
            <w:tcW w:w="455" w:type="pct"/>
            <w:noWrap/>
            <w:vAlign w:val="center"/>
          </w:tcPr>
          <w:p w14:paraId="061C0594">
            <w:pPr>
              <w:pStyle w:val="121"/>
              <w:rPr>
                <w:rFonts w:ascii="Times New Roman" w:hAnsi="Times New Roman"/>
                <w:w w:val="66"/>
              </w:rPr>
            </w:pPr>
            <w:r>
              <w:rPr>
                <w:rFonts w:hint="eastAsia" w:ascii="Times New Roman" w:hAnsi="Times New Roman"/>
                <w:w w:val="66"/>
              </w:rPr>
              <w:t>-32.7</w:t>
            </w:r>
          </w:p>
        </w:tc>
        <w:tc>
          <w:tcPr>
            <w:tcW w:w="492" w:type="pct"/>
            <w:noWrap/>
            <w:vAlign w:val="center"/>
          </w:tcPr>
          <w:p w14:paraId="7C0EAC2B">
            <w:pPr>
              <w:pStyle w:val="121"/>
              <w:rPr>
                <w:rFonts w:ascii="Times New Roman" w:hAnsi="Times New Roman"/>
                <w:w w:val="66"/>
              </w:rPr>
            </w:pPr>
            <w:r>
              <w:rPr>
                <w:rFonts w:hint="eastAsia" w:ascii="Times New Roman" w:hAnsi="Times New Roman"/>
                <w:w w:val="66"/>
              </w:rPr>
              <w:t>1.6</w:t>
            </w:r>
          </w:p>
        </w:tc>
        <w:tc>
          <w:tcPr>
            <w:tcW w:w="491" w:type="pct"/>
            <w:noWrap/>
            <w:vAlign w:val="center"/>
          </w:tcPr>
          <w:p w14:paraId="59EFF0AB">
            <w:pPr>
              <w:pStyle w:val="121"/>
              <w:rPr>
                <w:rFonts w:ascii="Times New Roman" w:hAnsi="Times New Roman"/>
                <w:w w:val="66"/>
              </w:rPr>
            </w:pPr>
            <w:r>
              <w:rPr>
                <w:rFonts w:hint="eastAsia" w:ascii="Times New Roman" w:hAnsi="Times New Roman"/>
                <w:w w:val="66"/>
              </w:rPr>
              <w:t>6</w:t>
            </w:r>
          </w:p>
        </w:tc>
      </w:tr>
      <w:tr w14:paraId="48D11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3AEA643">
            <w:pPr>
              <w:pStyle w:val="121"/>
              <w:rPr>
                <w:rFonts w:ascii="Times New Roman" w:hAnsi="Times New Roman"/>
                <w:w w:val="66"/>
              </w:rPr>
            </w:pPr>
            <w:r>
              <w:rPr>
                <w:rFonts w:ascii="Times New Roman" w:hAnsi="Times New Roman"/>
                <w:w w:val="66"/>
              </w:rPr>
              <w:t>2</w:t>
            </w:r>
          </w:p>
        </w:tc>
        <w:tc>
          <w:tcPr>
            <w:tcW w:w="1604" w:type="pct"/>
            <w:noWrap/>
            <w:vAlign w:val="center"/>
          </w:tcPr>
          <w:p w14:paraId="5E2D0A51">
            <w:pPr>
              <w:pStyle w:val="121"/>
              <w:rPr>
                <w:rFonts w:ascii="Times New Roman" w:hAnsi="Times New Roman"/>
                <w:w w:val="66"/>
              </w:rPr>
            </w:pPr>
            <w:r>
              <w:rPr>
                <w:rFonts w:ascii="Times New Roman" w:hAnsi="Times New Roman"/>
                <w:w w:val="66"/>
              </w:rPr>
              <w:t>下盘脉外联络巷</w:t>
            </w:r>
          </w:p>
        </w:tc>
        <w:tc>
          <w:tcPr>
            <w:tcW w:w="457" w:type="pct"/>
            <w:noWrap/>
            <w:vAlign w:val="center"/>
          </w:tcPr>
          <w:p w14:paraId="515ADB28">
            <w:pPr>
              <w:pStyle w:val="121"/>
              <w:rPr>
                <w:rFonts w:ascii="Times New Roman" w:hAnsi="Times New Roman"/>
                <w:w w:val="66"/>
              </w:rPr>
            </w:pPr>
            <w:r>
              <w:rPr>
                <w:rFonts w:hint="eastAsia" w:ascii="Times New Roman" w:hAnsi="Times New Roman"/>
                <w:w w:val="66"/>
              </w:rPr>
              <w:t>18.6</w:t>
            </w:r>
          </w:p>
        </w:tc>
        <w:tc>
          <w:tcPr>
            <w:tcW w:w="633" w:type="pct"/>
            <w:noWrap/>
            <w:vAlign w:val="center"/>
          </w:tcPr>
          <w:p w14:paraId="18EB436A">
            <w:pPr>
              <w:pStyle w:val="121"/>
              <w:rPr>
                <w:rFonts w:ascii="Times New Roman" w:hAnsi="Times New Roman"/>
                <w:w w:val="66"/>
              </w:rPr>
            </w:pPr>
            <w:r>
              <w:rPr>
                <w:rFonts w:ascii="Times New Roman" w:hAnsi="Times New Roman"/>
                <w:w w:val="66"/>
              </w:rPr>
              <w:t>0.012</w:t>
            </w:r>
          </w:p>
        </w:tc>
        <w:tc>
          <w:tcPr>
            <w:tcW w:w="525" w:type="pct"/>
            <w:noWrap/>
            <w:vAlign w:val="center"/>
          </w:tcPr>
          <w:p w14:paraId="1485F395">
            <w:pPr>
              <w:pStyle w:val="121"/>
              <w:rPr>
                <w:rFonts w:ascii="Times New Roman" w:hAnsi="Times New Roman"/>
                <w:w w:val="66"/>
              </w:rPr>
            </w:pPr>
            <w:r>
              <w:rPr>
                <w:rFonts w:hint="eastAsia" w:ascii="Times New Roman" w:hAnsi="Times New Roman"/>
                <w:w w:val="66"/>
              </w:rPr>
              <w:t>7.8</w:t>
            </w:r>
          </w:p>
        </w:tc>
        <w:tc>
          <w:tcPr>
            <w:tcW w:w="455" w:type="pct"/>
            <w:noWrap/>
            <w:vAlign w:val="center"/>
          </w:tcPr>
          <w:p w14:paraId="71DE45D6">
            <w:pPr>
              <w:pStyle w:val="121"/>
              <w:rPr>
                <w:rFonts w:ascii="Times New Roman" w:hAnsi="Times New Roman"/>
                <w:w w:val="66"/>
              </w:rPr>
            </w:pPr>
            <w:r>
              <w:rPr>
                <w:rFonts w:hint="eastAsia" w:ascii="Times New Roman" w:hAnsi="Times New Roman"/>
                <w:w w:val="66"/>
              </w:rPr>
              <w:t>-33.0</w:t>
            </w:r>
          </w:p>
        </w:tc>
        <w:tc>
          <w:tcPr>
            <w:tcW w:w="492" w:type="pct"/>
            <w:noWrap/>
            <w:vAlign w:val="center"/>
          </w:tcPr>
          <w:p w14:paraId="772A111C">
            <w:pPr>
              <w:pStyle w:val="121"/>
              <w:rPr>
                <w:rFonts w:ascii="Times New Roman" w:hAnsi="Times New Roman"/>
                <w:w w:val="66"/>
              </w:rPr>
            </w:pPr>
            <w:r>
              <w:rPr>
                <w:rFonts w:hint="eastAsia" w:ascii="Times New Roman" w:hAnsi="Times New Roman"/>
                <w:w w:val="66"/>
              </w:rPr>
              <w:t>0.4</w:t>
            </w:r>
          </w:p>
        </w:tc>
        <w:tc>
          <w:tcPr>
            <w:tcW w:w="491" w:type="pct"/>
            <w:noWrap/>
            <w:vAlign w:val="center"/>
          </w:tcPr>
          <w:p w14:paraId="23DF4E71">
            <w:pPr>
              <w:pStyle w:val="121"/>
              <w:rPr>
                <w:rFonts w:ascii="Times New Roman" w:hAnsi="Times New Roman"/>
                <w:w w:val="66"/>
              </w:rPr>
            </w:pPr>
            <w:r>
              <w:rPr>
                <w:rFonts w:hint="eastAsia" w:ascii="Times New Roman" w:hAnsi="Times New Roman"/>
                <w:w w:val="66"/>
              </w:rPr>
              <w:t>6</w:t>
            </w:r>
          </w:p>
        </w:tc>
      </w:tr>
      <w:tr w14:paraId="4ED5F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819B3D5">
            <w:pPr>
              <w:pStyle w:val="121"/>
              <w:rPr>
                <w:rFonts w:ascii="Times New Roman" w:hAnsi="Times New Roman"/>
                <w:w w:val="66"/>
              </w:rPr>
            </w:pPr>
            <w:r>
              <w:rPr>
                <w:rFonts w:hint="eastAsia" w:ascii="Times New Roman" w:hAnsi="Times New Roman"/>
                <w:w w:val="66"/>
              </w:rPr>
              <w:t>五</w:t>
            </w:r>
          </w:p>
        </w:tc>
        <w:tc>
          <w:tcPr>
            <w:tcW w:w="1604" w:type="pct"/>
            <w:noWrap/>
            <w:vAlign w:val="center"/>
          </w:tcPr>
          <w:p w14:paraId="2D14B48B">
            <w:pPr>
              <w:pStyle w:val="121"/>
              <w:rPr>
                <w:rFonts w:ascii="Times New Roman" w:hAnsi="Times New Roman"/>
                <w:w w:val="66"/>
              </w:rPr>
            </w:pPr>
            <w:r>
              <w:rPr>
                <w:rFonts w:ascii="Times New Roman" w:hAnsi="Times New Roman"/>
                <w:w w:val="66"/>
              </w:rPr>
              <w:t>-</w:t>
            </w:r>
            <w:r>
              <w:rPr>
                <w:rFonts w:hint="eastAsia" w:ascii="Times New Roman" w:hAnsi="Times New Roman"/>
                <w:w w:val="66"/>
              </w:rPr>
              <w:t>755</w:t>
            </w:r>
            <w:r>
              <w:rPr>
                <w:rFonts w:ascii="Times New Roman" w:hAnsi="Times New Roman"/>
                <w:w w:val="66"/>
              </w:rPr>
              <w:t>m、-</w:t>
            </w:r>
            <w:r>
              <w:rPr>
                <w:rFonts w:hint="eastAsia" w:ascii="Times New Roman" w:hAnsi="Times New Roman"/>
                <w:w w:val="66"/>
              </w:rPr>
              <w:t>78</w:t>
            </w:r>
            <w:r>
              <w:rPr>
                <w:rFonts w:ascii="Times New Roman" w:hAnsi="Times New Roman"/>
                <w:w w:val="66"/>
              </w:rPr>
              <w:t>0m凿岩水平</w:t>
            </w:r>
          </w:p>
        </w:tc>
        <w:tc>
          <w:tcPr>
            <w:tcW w:w="457" w:type="pct"/>
            <w:noWrap/>
            <w:vAlign w:val="center"/>
          </w:tcPr>
          <w:p w14:paraId="6CCB8764">
            <w:pPr>
              <w:pStyle w:val="121"/>
              <w:rPr>
                <w:rFonts w:ascii="Times New Roman" w:hAnsi="Times New Roman"/>
                <w:w w:val="66"/>
              </w:rPr>
            </w:pPr>
          </w:p>
        </w:tc>
        <w:tc>
          <w:tcPr>
            <w:tcW w:w="633" w:type="pct"/>
            <w:noWrap/>
            <w:vAlign w:val="center"/>
          </w:tcPr>
          <w:p w14:paraId="00EFB7D1">
            <w:pPr>
              <w:pStyle w:val="121"/>
              <w:rPr>
                <w:rFonts w:ascii="Times New Roman" w:hAnsi="Times New Roman"/>
                <w:w w:val="66"/>
              </w:rPr>
            </w:pPr>
          </w:p>
        </w:tc>
        <w:tc>
          <w:tcPr>
            <w:tcW w:w="525" w:type="pct"/>
            <w:noWrap/>
            <w:vAlign w:val="center"/>
          </w:tcPr>
          <w:p w14:paraId="076B8E6B">
            <w:pPr>
              <w:pStyle w:val="121"/>
              <w:rPr>
                <w:rFonts w:ascii="Times New Roman" w:hAnsi="Times New Roman"/>
                <w:w w:val="66"/>
              </w:rPr>
            </w:pPr>
          </w:p>
        </w:tc>
        <w:tc>
          <w:tcPr>
            <w:tcW w:w="455" w:type="pct"/>
            <w:noWrap/>
            <w:vAlign w:val="center"/>
          </w:tcPr>
          <w:p w14:paraId="444348E8">
            <w:pPr>
              <w:pStyle w:val="121"/>
              <w:rPr>
                <w:rFonts w:ascii="Times New Roman" w:hAnsi="Times New Roman"/>
                <w:w w:val="66"/>
              </w:rPr>
            </w:pPr>
          </w:p>
        </w:tc>
        <w:tc>
          <w:tcPr>
            <w:tcW w:w="492" w:type="pct"/>
            <w:noWrap/>
            <w:vAlign w:val="center"/>
          </w:tcPr>
          <w:p w14:paraId="6450CDCC">
            <w:pPr>
              <w:pStyle w:val="121"/>
              <w:rPr>
                <w:rFonts w:ascii="Times New Roman" w:hAnsi="Times New Roman"/>
                <w:w w:val="66"/>
              </w:rPr>
            </w:pPr>
          </w:p>
        </w:tc>
        <w:tc>
          <w:tcPr>
            <w:tcW w:w="491" w:type="pct"/>
            <w:noWrap/>
            <w:vAlign w:val="center"/>
          </w:tcPr>
          <w:p w14:paraId="0AF407A5">
            <w:pPr>
              <w:pStyle w:val="121"/>
              <w:rPr>
                <w:rFonts w:ascii="Times New Roman" w:hAnsi="Times New Roman"/>
                <w:w w:val="66"/>
              </w:rPr>
            </w:pPr>
          </w:p>
        </w:tc>
      </w:tr>
      <w:tr w14:paraId="5637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1013A0C">
            <w:pPr>
              <w:pStyle w:val="121"/>
              <w:rPr>
                <w:rFonts w:ascii="Times New Roman" w:hAnsi="Times New Roman"/>
                <w:w w:val="66"/>
              </w:rPr>
            </w:pPr>
            <w:r>
              <w:rPr>
                <w:rFonts w:ascii="Times New Roman" w:hAnsi="Times New Roman"/>
                <w:w w:val="66"/>
              </w:rPr>
              <w:t>1</w:t>
            </w:r>
          </w:p>
        </w:tc>
        <w:tc>
          <w:tcPr>
            <w:tcW w:w="1604" w:type="pct"/>
            <w:noWrap/>
            <w:vAlign w:val="center"/>
          </w:tcPr>
          <w:p w14:paraId="271C9A3B">
            <w:pPr>
              <w:pStyle w:val="121"/>
              <w:rPr>
                <w:rFonts w:ascii="Times New Roman" w:hAnsi="Times New Roman"/>
                <w:w w:val="66"/>
              </w:rPr>
            </w:pPr>
            <w:r>
              <w:rPr>
                <w:rFonts w:ascii="Times New Roman" w:hAnsi="Times New Roman"/>
                <w:w w:val="66"/>
              </w:rPr>
              <w:t>-</w:t>
            </w:r>
            <w:r>
              <w:rPr>
                <w:rFonts w:hint="eastAsia" w:ascii="Times New Roman" w:hAnsi="Times New Roman"/>
                <w:w w:val="66"/>
              </w:rPr>
              <w:t>75</w:t>
            </w:r>
            <w:r>
              <w:rPr>
                <w:rFonts w:ascii="Times New Roman" w:hAnsi="Times New Roman"/>
                <w:w w:val="66"/>
              </w:rPr>
              <w:t>5m水平下盘脉外联络巷</w:t>
            </w:r>
          </w:p>
        </w:tc>
        <w:tc>
          <w:tcPr>
            <w:tcW w:w="457" w:type="pct"/>
            <w:noWrap/>
            <w:vAlign w:val="center"/>
          </w:tcPr>
          <w:p w14:paraId="5E666B27">
            <w:pPr>
              <w:pStyle w:val="121"/>
              <w:rPr>
                <w:rFonts w:ascii="Times New Roman" w:hAnsi="Times New Roman"/>
                <w:w w:val="66"/>
              </w:rPr>
            </w:pPr>
            <w:r>
              <w:rPr>
                <w:rFonts w:hint="eastAsia" w:ascii="Times New Roman" w:hAnsi="Times New Roman"/>
                <w:w w:val="66"/>
              </w:rPr>
              <w:t>18.6</w:t>
            </w:r>
          </w:p>
        </w:tc>
        <w:tc>
          <w:tcPr>
            <w:tcW w:w="633" w:type="pct"/>
            <w:noWrap/>
            <w:vAlign w:val="center"/>
          </w:tcPr>
          <w:p w14:paraId="48AB2FEA">
            <w:pPr>
              <w:pStyle w:val="121"/>
              <w:rPr>
                <w:rFonts w:ascii="Times New Roman" w:hAnsi="Times New Roman"/>
                <w:w w:val="66"/>
              </w:rPr>
            </w:pPr>
            <w:r>
              <w:rPr>
                <w:rFonts w:ascii="Times New Roman" w:hAnsi="Times New Roman"/>
                <w:w w:val="66"/>
              </w:rPr>
              <w:t>0.012</w:t>
            </w:r>
          </w:p>
        </w:tc>
        <w:tc>
          <w:tcPr>
            <w:tcW w:w="525" w:type="pct"/>
            <w:noWrap/>
            <w:vAlign w:val="center"/>
          </w:tcPr>
          <w:p w14:paraId="6A5A0CD5">
            <w:pPr>
              <w:pStyle w:val="121"/>
              <w:rPr>
                <w:rFonts w:ascii="Times New Roman" w:hAnsi="Times New Roman"/>
                <w:w w:val="66"/>
              </w:rPr>
            </w:pPr>
            <w:r>
              <w:rPr>
                <w:rFonts w:hint="eastAsia" w:ascii="Times New Roman" w:hAnsi="Times New Roman"/>
                <w:w w:val="66"/>
              </w:rPr>
              <w:t>55</w:t>
            </w:r>
          </w:p>
        </w:tc>
        <w:tc>
          <w:tcPr>
            <w:tcW w:w="455" w:type="pct"/>
            <w:noWrap/>
            <w:vAlign w:val="center"/>
          </w:tcPr>
          <w:p w14:paraId="1BAB25A4">
            <w:pPr>
              <w:pStyle w:val="121"/>
              <w:rPr>
                <w:rFonts w:ascii="Times New Roman" w:hAnsi="Times New Roman"/>
                <w:w w:val="66"/>
              </w:rPr>
            </w:pPr>
            <w:r>
              <w:rPr>
                <w:rFonts w:hint="eastAsia" w:ascii="Times New Roman" w:hAnsi="Times New Roman"/>
                <w:w w:val="66"/>
              </w:rPr>
              <w:t>-163.8</w:t>
            </w:r>
          </w:p>
        </w:tc>
        <w:tc>
          <w:tcPr>
            <w:tcW w:w="492" w:type="pct"/>
            <w:noWrap/>
            <w:vAlign w:val="center"/>
          </w:tcPr>
          <w:p w14:paraId="0FCFCB63">
            <w:pPr>
              <w:pStyle w:val="121"/>
              <w:rPr>
                <w:rFonts w:ascii="Times New Roman" w:hAnsi="Times New Roman"/>
                <w:w w:val="66"/>
              </w:rPr>
            </w:pPr>
            <w:r>
              <w:rPr>
                <w:rFonts w:hint="eastAsia" w:ascii="Times New Roman" w:hAnsi="Times New Roman"/>
                <w:w w:val="66"/>
              </w:rPr>
              <w:t>3.0</w:t>
            </w:r>
          </w:p>
        </w:tc>
        <w:tc>
          <w:tcPr>
            <w:tcW w:w="491" w:type="pct"/>
            <w:noWrap/>
            <w:vAlign w:val="center"/>
          </w:tcPr>
          <w:p w14:paraId="31BA6165">
            <w:pPr>
              <w:pStyle w:val="121"/>
              <w:rPr>
                <w:rFonts w:ascii="Times New Roman" w:hAnsi="Times New Roman"/>
                <w:w w:val="66"/>
              </w:rPr>
            </w:pPr>
            <w:r>
              <w:rPr>
                <w:rFonts w:hint="eastAsia" w:ascii="Times New Roman" w:hAnsi="Times New Roman"/>
                <w:w w:val="66"/>
              </w:rPr>
              <w:t>6</w:t>
            </w:r>
          </w:p>
        </w:tc>
      </w:tr>
      <w:tr w14:paraId="4801F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B799831">
            <w:pPr>
              <w:pStyle w:val="121"/>
              <w:rPr>
                <w:rFonts w:ascii="Times New Roman" w:hAnsi="Times New Roman"/>
                <w:w w:val="66"/>
              </w:rPr>
            </w:pPr>
            <w:r>
              <w:rPr>
                <w:rFonts w:ascii="Times New Roman" w:hAnsi="Times New Roman"/>
                <w:w w:val="66"/>
              </w:rPr>
              <w:t>2</w:t>
            </w:r>
          </w:p>
        </w:tc>
        <w:tc>
          <w:tcPr>
            <w:tcW w:w="1604" w:type="pct"/>
            <w:noWrap/>
            <w:vAlign w:val="center"/>
          </w:tcPr>
          <w:p w14:paraId="22D04155">
            <w:pPr>
              <w:pStyle w:val="121"/>
              <w:rPr>
                <w:rFonts w:ascii="Times New Roman" w:hAnsi="Times New Roman"/>
                <w:w w:val="66"/>
              </w:rPr>
            </w:pPr>
            <w:r>
              <w:rPr>
                <w:rFonts w:ascii="Times New Roman" w:hAnsi="Times New Roman"/>
                <w:w w:val="66"/>
              </w:rPr>
              <w:t>-</w:t>
            </w:r>
            <w:r>
              <w:rPr>
                <w:rFonts w:hint="eastAsia" w:ascii="Times New Roman" w:hAnsi="Times New Roman"/>
                <w:w w:val="66"/>
              </w:rPr>
              <w:t>78</w:t>
            </w:r>
            <w:r>
              <w:rPr>
                <w:rFonts w:ascii="Times New Roman" w:hAnsi="Times New Roman"/>
                <w:w w:val="66"/>
              </w:rPr>
              <w:t>0m水平下盘脉外联络巷</w:t>
            </w:r>
          </w:p>
        </w:tc>
        <w:tc>
          <w:tcPr>
            <w:tcW w:w="457" w:type="pct"/>
            <w:noWrap/>
            <w:vAlign w:val="center"/>
          </w:tcPr>
          <w:p w14:paraId="4ED70976">
            <w:pPr>
              <w:pStyle w:val="121"/>
              <w:rPr>
                <w:rFonts w:ascii="Times New Roman" w:hAnsi="Times New Roman"/>
                <w:w w:val="66"/>
              </w:rPr>
            </w:pPr>
            <w:r>
              <w:rPr>
                <w:rFonts w:hint="eastAsia" w:ascii="Times New Roman" w:hAnsi="Times New Roman"/>
                <w:w w:val="66"/>
              </w:rPr>
              <w:t>18.6</w:t>
            </w:r>
          </w:p>
        </w:tc>
        <w:tc>
          <w:tcPr>
            <w:tcW w:w="633" w:type="pct"/>
            <w:noWrap/>
            <w:vAlign w:val="center"/>
          </w:tcPr>
          <w:p w14:paraId="5F76ED11">
            <w:pPr>
              <w:pStyle w:val="121"/>
              <w:rPr>
                <w:rFonts w:ascii="Times New Roman" w:hAnsi="Times New Roman"/>
                <w:w w:val="66"/>
              </w:rPr>
            </w:pPr>
            <w:r>
              <w:rPr>
                <w:rFonts w:ascii="Times New Roman" w:hAnsi="Times New Roman"/>
                <w:w w:val="66"/>
              </w:rPr>
              <w:t>0.012</w:t>
            </w:r>
          </w:p>
        </w:tc>
        <w:tc>
          <w:tcPr>
            <w:tcW w:w="525" w:type="pct"/>
            <w:noWrap/>
            <w:vAlign w:val="center"/>
          </w:tcPr>
          <w:p w14:paraId="7071962A">
            <w:pPr>
              <w:pStyle w:val="121"/>
              <w:rPr>
                <w:rFonts w:ascii="Times New Roman" w:hAnsi="Times New Roman"/>
                <w:w w:val="66"/>
              </w:rPr>
            </w:pPr>
            <w:r>
              <w:rPr>
                <w:rFonts w:hint="eastAsia" w:ascii="Times New Roman" w:hAnsi="Times New Roman"/>
                <w:w w:val="66"/>
              </w:rPr>
              <w:t>55.6</w:t>
            </w:r>
          </w:p>
        </w:tc>
        <w:tc>
          <w:tcPr>
            <w:tcW w:w="455" w:type="pct"/>
            <w:noWrap/>
            <w:vAlign w:val="center"/>
          </w:tcPr>
          <w:p w14:paraId="509AC62A">
            <w:pPr>
              <w:pStyle w:val="121"/>
              <w:rPr>
                <w:rFonts w:ascii="Times New Roman" w:hAnsi="Times New Roman"/>
                <w:w w:val="66"/>
              </w:rPr>
            </w:pPr>
            <w:r>
              <w:rPr>
                <w:rFonts w:hint="eastAsia" w:ascii="Times New Roman" w:hAnsi="Times New Roman"/>
                <w:w w:val="66"/>
              </w:rPr>
              <w:t>-163.1</w:t>
            </w:r>
          </w:p>
        </w:tc>
        <w:tc>
          <w:tcPr>
            <w:tcW w:w="492" w:type="pct"/>
            <w:noWrap/>
            <w:vAlign w:val="center"/>
          </w:tcPr>
          <w:p w14:paraId="5CB10B4E">
            <w:pPr>
              <w:pStyle w:val="121"/>
              <w:rPr>
                <w:rFonts w:ascii="Times New Roman" w:hAnsi="Times New Roman"/>
                <w:w w:val="66"/>
              </w:rPr>
            </w:pPr>
            <w:r>
              <w:rPr>
                <w:rFonts w:hint="eastAsia" w:ascii="Times New Roman" w:hAnsi="Times New Roman"/>
                <w:w w:val="66"/>
              </w:rPr>
              <w:t>3.0</w:t>
            </w:r>
          </w:p>
        </w:tc>
        <w:tc>
          <w:tcPr>
            <w:tcW w:w="491" w:type="pct"/>
            <w:noWrap/>
            <w:vAlign w:val="center"/>
          </w:tcPr>
          <w:p w14:paraId="0F0B8535">
            <w:pPr>
              <w:pStyle w:val="121"/>
              <w:rPr>
                <w:rFonts w:ascii="Times New Roman" w:hAnsi="Times New Roman"/>
                <w:w w:val="66"/>
              </w:rPr>
            </w:pPr>
            <w:r>
              <w:rPr>
                <w:rFonts w:hint="eastAsia" w:ascii="Times New Roman" w:hAnsi="Times New Roman"/>
                <w:w w:val="66"/>
              </w:rPr>
              <w:t>6</w:t>
            </w:r>
          </w:p>
        </w:tc>
      </w:tr>
      <w:tr w14:paraId="0AA31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F288E01">
            <w:pPr>
              <w:pStyle w:val="121"/>
              <w:rPr>
                <w:rFonts w:ascii="Times New Roman" w:hAnsi="Times New Roman"/>
                <w:w w:val="66"/>
              </w:rPr>
            </w:pPr>
            <w:r>
              <w:rPr>
                <w:rFonts w:ascii="Times New Roman" w:hAnsi="Times New Roman"/>
                <w:w w:val="66"/>
              </w:rPr>
              <w:t>六</w:t>
            </w:r>
          </w:p>
        </w:tc>
        <w:tc>
          <w:tcPr>
            <w:tcW w:w="1604" w:type="pct"/>
            <w:noWrap/>
            <w:vAlign w:val="center"/>
          </w:tcPr>
          <w:p w14:paraId="21DC76BC">
            <w:pPr>
              <w:pStyle w:val="121"/>
              <w:rPr>
                <w:rFonts w:ascii="Times New Roman" w:hAnsi="Times New Roman"/>
                <w:w w:val="66"/>
              </w:rPr>
            </w:pPr>
            <w:r>
              <w:rPr>
                <w:rFonts w:ascii="Times New Roman" w:hAnsi="Times New Roman"/>
                <w:w w:val="66"/>
              </w:rPr>
              <w:t>-</w:t>
            </w:r>
            <w:r>
              <w:rPr>
                <w:rFonts w:hint="eastAsia" w:ascii="Times New Roman" w:hAnsi="Times New Roman"/>
                <w:w w:val="66"/>
              </w:rPr>
              <w:t>80</w:t>
            </w:r>
            <w:r>
              <w:rPr>
                <w:rFonts w:ascii="Times New Roman" w:hAnsi="Times New Roman"/>
                <w:w w:val="66"/>
              </w:rPr>
              <w:t>5m进风出矿水平</w:t>
            </w:r>
          </w:p>
        </w:tc>
        <w:tc>
          <w:tcPr>
            <w:tcW w:w="457" w:type="pct"/>
            <w:noWrap/>
            <w:vAlign w:val="center"/>
          </w:tcPr>
          <w:p w14:paraId="7031259F">
            <w:pPr>
              <w:pStyle w:val="121"/>
              <w:rPr>
                <w:rFonts w:ascii="Times New Roman" w:hAnsi="Times New Roman"/>
                <w:w w:val="66"/>
              </w:rPr>
            </w:pPr>
          </w:p>
        </w:tc>
        <w:tc>
          <w:tcPr>
            <w:tcW w:w="633" w:type="pct"/>
            <w:noWrap/>
            <w:vAlign w:val="center"/>
          </w:tcPr>
          <w:p w14:paraId="6678842C">
            <w:pPr>
              <w:pStyle w:val="121"/>
              <w:rPr>
                <w:rFonts w:ascii="Times New Roman" w:hAnsi="Times New Roman"/>
                <w:w w:val="66"/>
              </w:rPr>
            </w:pPr>
          </w:p>
        </w:tc>
        <w:tc>
          <w:tcPr>
            <w:tcW w:w="525" w:type="pct"/>
            <w:noWrap/>
            <w:vAlign w:val="center"/>
          </w:tcPr>
          <w:p w14:paraId="38736E71">
            <w:pPr>
              <w:pStyle w:val="121"/>
              <w:rPr>
                <w:rFonts w:ascii="Times New Roman" w:hAnsi="Times New Roman"/>
                <w:w w:val="66"/>
              </w:rPr>
            </w:pPr>
          </w:p>
        </w:tc>
        <w:tc>
          <w:tcPr>
            <w:tcW w:w="455" w:type="pct"/>
            <w:noWrap/>
            <w:vAlign w:val="center"/>
          </w:tcPr>
          <w:p w14:paraId="3F60B274">
            <w:pPr>
              <w:pStyle w:val="121"/>
              <w:rPr>
                <w:rFonts w:ascii="Times New Roman" w:hAnsi="Times New Roman"/>
                <w:w w:val="66"/>
              </w:rPr>
            </w:pPr>
          </w:p>
        </w:tc>
        <w:tc>
          <w:tcPr>
            <w:tcW w:w="492" w:type="pct"/>
            <w:noWrap/>
            <w:vAlign w:val="center"/>
          </w:tcPr>
          <w:p w14:paraId="7BAAD7F7">
            <w:pPr>
              <w:pStyle w:val="121"/>
              <w:rPr>
                <w:rFonts w:ascii="Times New Roman" w:hAnsi="Times New Roman"/>
                <w:w w:val="66"/>
              </w:rPr>
            </w:pPr>
          </w:p>
        </w:tc>
        <w:tc>
          <w:tcPr>
            <w:tcW w:w="491" w:type="pct"/>
            <w:noWrap/>
            <w:vAlign w:val="center"/>
          </w:tcPr>
          <w:p w14:paraId="642C180A">
            <w:pPr>
              <w:pStyle w:val="121"/>
              <w:rPr>
                <w:rFonts w:ascii="Times New Roman" w:hAnsi="Times New Roman"/>
                <w:w w:val="66"/>
              </w:rPr>
            </w:pPr>
          </w:p>
        </w:tc>
      </w:tr>
      <w:tr w14:paraId="51017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D551B75">
            <w:pPr>
              <w:pStyle w:val="121"/>
              <w:rPr>
                <w:rFonts w:ascii="Times New Roman" w:hAnsi="Times New Roman"/>
                <w:w w:val="66"/>
              </w:rPr>
            </w:pPr>
            <w:r>
              <w:rPr>
                <w:rFonts w:ascii="Times New Roman" w:hAnsi="Times New Roman"/>
                <w:w w:val="66"/>
              </w:rPr>
              <w:t>1</w:t>
            </w:r>
          </w:p>
        </w:tc>
        <w:tc>
          <w:tcPr>
            <w:tcW w:w="1604" w:type="pct"/>
            <w:noWrap/>
            <w:vAlign w:val="center"/>
          </w:tcPr>
          <w:p w14:paraId="350B2581">
            <w:pPr>
              <w:pStyle w:val="121"/>
              <w:rPr>
                <w:rFonts w:ascii="Times New Roman" w:hAnsi="Times New Roman"/>
                <w:w w:val="66"/>
              </w:rPr>
            </w:pPr>
            <w:r>
              <w:rPr>
                <w:rFonts w:ascii="Times New Roman" w:hAnsi="Times New Roman"/>
                <w:w w:val="66"/>
              </w:rPr>
              <w:t>副井石门</w:t>
            </w:r>
          </w:p>
        </w:tc>
        <w:tc>
          <w:tcPr>
            <w:tcW w:w="457" w:type="pct"/>
            <w:noWrap/>
            <w:vAlign w:val="center"/>
          </w:tcPr>
          <w:p w14:paraId="383EE83E">
            <w:pPr>
              <w:pStyle w:val="121"/>
              <w:rPr>
                <w:rFonts w:ascii="Times New Roman" w:hAnsi="Times New Roman"/>
                <w:w w:val="66"/>
              </w:rPr>
            </w:pPr>
            <w:r>
              <w:rPr>
                <w:rFonts w:hint="eastAsia" w:ascii="Times New Roman" w:hAnsi="Times New Roman"/>
                <w:w w:val="66"/>
              </w:rPr>
              <w:t>15.4</w:t>
            </w:r>
          </w:p>
        </w:tc>
        <w:tc>
          <w:tcPr>
            <w:tcW w:w="633" w:type="pct"/>
            <w:noWrap/>
            <w:vAlign w:val="center"/>
          </w:tcPr>
          <w:p w14:paraId="6F0D133D">
            <w:pPr>
              <w:pStyle w:val="121"/>
              <w:rPr>
                <w:rFonts w:ascii="Times New Roman" w:hAnsi="Times New Roman"/>
                <w:w w:val="66"/>
              </w:rPr>
            </w:pPr>
            <w:r>
              <w:rPr>
                <w:rFonts w:ascii="Times New Roman" w:hAnsi="Times New Roman"/>
                <w:w w:val="66"/>
              </w:rPr>
              <w:t>0.012</w:t>
            </w:r>
          </w:p>
        </w:tc>
        <w:tc>
          <w:tcPr>
            <w:tcW w:w="525" w:type="pct"/>
            <w:noWrap/>
            <w:vAlign w:val="center"/>
          </w:tcPr>
          <w:p w14:paraId="63A7F841">
            <w:pPr>
              <w:pStyle w:val="121"/>
              <w:rPr>
                <w:rFonts w:ascii="Times New Roman" w:hAnsi="Times New Roman"/>
                <w:w w:val="66"/>
              </w:rPr>
            </w:pPr>
            <w:r>
              <w:rPr>
                <w:rFonts w:hint="eastAsia" w:ascii="Times New Roman" w:hAnsi="Times New Roman"/>
                <w:w w:val="66"/>
              </w:rPr>
              <w:t>65</w:t>
            </w:r>
          </w:p>
        </w:tc>
        <w:tc>
          <w:tcPr>
            <w:tcW w:w="455" w:type="pct"/>
            <w:noWrap/>
            <w:vAlign w:val="center"/>
          </w:tcPr>
          <w:p w14:paraId="3DEBC16F">
            <w:pPr>
              <w:pStyle w:val="121"/>
              <w:rPr>
                <w:rFonts w:ascii="Times New Roman" w:hAnsi="Times New Roman"/>
                <w:w w:val="66"/>
              </w:rPr>
            </w:pPr>
            <w:r>
              <w:rPr>
                <w:rFonts w:hint="eastAsia" w:ascii="Times New Roman" w:hAnsi="Times New Roman"/>
                <w:w w:val="66"/>
              </w:rPr>
              <w:t>-175.9</w:t>
            </w:r>
          </w:p>
        </w:tc>
        <w:tc>
          <w:tcPr>
            <w:tcW w:w="492" w:type="pct"/>
            <w:noWrap/>
            <w:vAlign w:val="center"/>
          </w:tcPr>
          <w:p w14:paraId="1868A7C7">
            <w:pPr>
              <w:pStyle w:val="121"/>
              <w:rPr>
                <w:rFonts w:ascii="Times New Roman" w:hAnsi="Times New Roman"/>
                <w:w w:val="66"/>
              </w:rPr>
            </w:pPr>
            <w:r>
              <w:rPr>
                <w:rFonts w:hint="eastAsia" w:ascii="Times New Roman" w:hAnsi="Times New Roman"/>
                <w:w w:val="66"/>
              </w:rPr>
              <w:t>5.1</w:t>
            </w:r>
          </w:p>
        </w:tc>
        <w:tc>
          <w:tcPr>
            <w:tcW w:w="491" w:type="pct"/>
            <w:noWrap/>
            <w:vAlign w:val="center"/>
          </w:tcPr>
          <w:p w14:paraId="01F938B7">
            <w:pPr>
              <w:pStyle w:val="121"/>
              <w:rPr>
                <w:rFonts w:ascii="Times New Roman" w:hAnsi="Times New Roman"/>
                <w:w w:val="66"/>
              </w:rPr>
            </w:pPr>
            <w:r>
              <w:rPr>
                <w:rFonts w:hint="eastAsia" w:ascii="Times New Roman" w:hAnsi="Times New Roman"/>
                <w:w w:val="66"/>
              </w:rPr>
              <w:t>6</w:t>
            </w:r>
          </w:p>
        </w:tc>
      </w:tr>
      <w:tr w14:paraId="5E36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0A020F6">
            <w:pPr>
              <w:pStyle w:val="121"/>
              <w:rPr>
                <w:rFonts w:ascii="Times New Roman" w:hAnsi="Times New Roman"/>
                <w:w w:val="66"/>
              </w:rPr>
            </w:pPr>
            <w:r>
              <w:rPr>
                <w:rFonts w:ascii="Times New Roman" w:hAnsi="Times New Roman"/>
                <w:w w:val="66"/>
              </w:rPr>
              <w:t>2</w:t>
            </w:r>
          </w:p>
        </w:tc>
        <w:tc>
          <w:tcPr>
            <w:tcW w:w="1604" w:type="pct"/>
            <w:noWrap/>
            <w:vAlign w:val="center"/>
          </w:tcPr>
          <w:p w14:paraId="5A1D63F1">
            <w:pPr>
              <w:pStyle w:val="121"/>
              <w:rPr>
                <w:rFonts w:ascii="Times New Roman" w:hAnsi="Times New Roman"/>
                <w:w w:val="66"/>
              </w:rPr>
            </w:pPr>
            <w:r>
              <w:rPr>
                <w:rFonts w:hint="eastAsia" w:ascii="Times New Roman" w:hAnsi="Times New Roman"/>
                <w:w w:val="66"/>
              </w:rPr>
              <w:t>倒段</w:t>
            </w:r>
            <w:r>
              <w:rPr>
                <w:rFonts w:ascii="Times New Roman" w:hAnsi="Times New Roman"/>
                <w:w w:val="66"/>
              </w:rPr>
              <w:t>进风井石门</w:t>
            </w:r>
          </w:p>
        </w:tc>
        <w:tc>
          <w:tcPr>
            <w:tcW w:w="457" w:type="pct"/>
            <w:noWrap/>
            <w:vAlign w:val="center"/>
          </w:tcPr>
          <w:p w14:paraId="148D77E7">
            <w:pPr>
              <w:pStyle w:val="121"/>
              <w:rPr>
                <w:rFonts w:ascii="Times New Roman" w:hAnsi="Times New Roman"/>
                <w:w w:val="66"/>
              </w:rPr>
            </w:pPr>
            <w:r>
              <w:rPr>
                <w:rFonts w:hint="eastAsia" w:ascii="Times New Roman" w:hAnsi="Times New Roman"/>
                <w:w w:val="66"/>
              </w:rPr>
              <w:t>21.1</w:t>
            </w:r>
          </w:p>
        </w:tc>
        <w:tc>
          <w:tcPr>
            <w:tcW w:w="633" w:type="pct"/>
            <w:noWrap/>
            <w:vAlign w:val="center"/>
          </w:tcPr>
          <w:p w14:paraId="604DD8B2">
            <w:pPr>
              <w:pStyle w:val="121"/>
              <w:rPr>
                <w:rFonts w:ascii="Times New Roman" w:hAnsi="Times New Roman"/>
                <w:w w:val="66"/>
              </w:rPr>
            </w:pPr>
            <w:r>
              <w:rPr>
                <w:rFonts w:ascii="Times New Roman" w:hAnsi="Times New Roman"/>
                <w:w w:val="66"/>
              </w:rPr>
              <w:t>0.012</w:t>
            </w:r>
          </w:p>
        </w:tc>
        <w:tc>
          <w:tcPr>
            <w:tcW w:w="525" w:type="pct"/>
            <w:noWrap/>
            <w:vAlign w:val="center"/>
          </w:tcPr>
          <w:p w14:paraId="257F0B2B">
            <w:pPr>
              <w:pStyle w:val="121"/>
              <w:rPr>
                <w:rFonts w:ascii="Times New Roman" w:hAnsi="Times New Roman"/>
                <w:w w:val="66"/>
              </w:rPr>
            </w:pPr>
            <w:r>
              <w:rPr>
                <w:rFonts w:hint="eastAsia" w:ascii="Times New Roman" w:hAnsi="Times New Roman"/>
                <w:w w:val="66"/>
              </w:rPr>
              <w:t>240</w:t>
            </w:r>
          </w:p>
        </w:tc>
        <w:tc>
          <w:tcPr>
            <w:tcW w:w="455" w:type="pct"/>
            <w:noWrap/>
            <w:vAlign w:val="center"/>
          </w:tcPr>
          <w:p w14:paraId="15DC36AF">
            <w:pPr>
              <w:pStyle w:val="121"/>
              <w:rPr>
                <w:rFonts w:ascii="Times New Roman" w:hAnsi="Times New Roman"/>
                <w:w w:val="66"/>
              </w:rPr>
            </w:pPr>
            <w:r>
              <w:rPr>
                <w:rFonts w:hint="eastAsia" w:ascii="Times New Roman" w:hAnsi="Times New Roman"/>
                <w:w w:val="66"/>
              </w:rPr>
              <w:t>430.3</w:t>
            </w:r>
          </w:p>
        </w:tc>
        <w:tc>
          <w:tcPr>
            <w:tcW w:w="492" w:type="pct"/>
            <w:noWrap/>
            <w:vAlign w:val="center"/>
          </w:tcPr>
          <w:p w14:paraId="3C2A84AE">
            <w:pPr>
              <w:pStyle w:val="121"/>
              <w:rPr>
                <w:rFonts w:ascii="Times New Roman" w:hAnsi="Times New Roman"/>
                <w:w w:val="66"/>
              </w:rPr>
            </w:pPr>
            <w:r>
              <w:rPr>
                <w:rFonts w:hint="eastAsia" w:ascii="Times New Roman" w:hAnsi="Times New Roman"/>
                <w:w w:val="66"/>
              </w:rPr>
              <w:t>11.4</w:t>
            </w:r>
          </w:p>
        </w:tc>
        <w:tc>
          <w:tcPr>
            <w:tcW w:w="491" w:type="pct"/>
            <w:noWrap/>
            <w:vAlign w:val="center"/>
          </w:tcPr>
          <w:p w14:paraId="4630EE63">
            <w:pPr>
              <w:pStyle w:val="121"/>
              <w:rPr>
                <w:rFonts w:ascii="Times New Roman" w:hAnsi="Times New Roman"/>
                <w:w w:val="66"/>
              </w:rPr>
            </w:pPr>
            <w:r>
              <w:rPr>
                <w:rFonts w:hint="eastAsia" w:ascii="Times New Roman" w:hAnsi="Times New Roman"/>
                <w:w w:val="66"/>
              </w:rPr>
              <w:t>20</w:t>
            </w:r>
          </w:p>
        </w:tc>
      </w:tr>
      <w:tr w14:paraId="4113A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F04799E">
            <w:pPr>
              <w:pStyle w:val="121"/>
              <w:rPr>
                <w:rFonts w:ascii="Times New Roman" w:hAnsi="Times New Roman"/>
                <w:w w:val="66"/>
              </w:rPr>
            </w:pPr>
            <w:r>
              <w:rPr>
                <w:rFonts w:hint="eastAsia" w:ascii="Times New Roman" w:hAnsi="Times New Roman"/>
                <w:w w:val="66"/>
              </w:rPr>
              <w:t>3</w:t>
            </w:r>
          </w:p>
        </w:tc>
        <w:tc>
          <w:tcPr>
            <w:tcW w:w="1604" w:type="pct"/>
            <w:noWrap/>
            <w:vAlign w:val="center"/>
          </w:tcPr>
          <w:p w14:paraId="49BA8CF2">
            <w:pPr>
              <w:pStyle w:val="121"/>
              <w:rPr>
                <w:rFonts w:ascii="Times New Roman" w:hAnsi="Times New Roman"/>
                <w:w w:val="66"/>
              </w:rPr>
            </w:pPr>
            <w:r>
              <w:rPr>
                <w:rFonts w:ascii="Times New Roman" w:hAnsi="Times New Roman"/>
                <w:w w:val="66"/>
              </w:rPr>
              <w:t>下盘脉外联络巷</w:t>
            </w:r>
          </w:p>
        </w:tc>
        <w:tc>
          <w:tcPr>
            <w:tcW w:w="457" w:type="pct"/>
            <w:noWrap/>
            <w:vAlign w:val="center"/>
          </w:tcPr>
          <w:p w14:paraId="58D25F63">
            <w:pPr>
              <w:pStyle w:val="121"/>
              <w:rPr>
                <w:rFonts w:ascii="Times New Roman" w:hAnsi="Times New Roman"/>
                <w:w w:val="66"/>
              </w:rPr>
            </w:pPr>
            <w:r>
              <w:rPr>
                <w:rFonts w:hint="eastAsia" w:ascii="Times New Roman" w:hAnsi="Times New Roman"/>
                <w:w w:val="66"/>
              </w:rPr>
              <w:t>18.6</w:t>
            </w:r>
          </w:p>
        </w:tc>
        <w:tc>
          <w:tcPr>
            <w:tcW w:w="633" w:type="pct"/>
            <w:noWrap/>
            <w:vAlign w:val="center"/>
          </w:tcPr>
          <w:p w14:paraId="7DCBE2C8">
            <w:pPr>
              <w:pStyle w:val="121"/>
              <w:rPr>
                <w:rFonts w:ascii="Times New Roman" w:hAnsi="Times New Roman"/>
                <w:w w:val="66"/>
              </w:rPr>
            </w:pPr>
            <w:r>
              <w:rPr>
                <w:rFonts w:ascii="Times New Roman" w:hAnsi="Times New Roman"/>
                <w:w w:val="66"/>
              </w:rPr>
              <w:t>0.012</w:t>
            </w:r>
          </w:p>
        </w:tc>
        <w:tc>
          <w:tcPr>
            <w:tcW w:w="525" w:type="pct"/>
            <w:noWrap/>
            <w:vAlign w:val="center"/>
          </w:tcPr>
          <w:p w14:paraId="11C80D9E">
            <w:pPr>
              <w:pStyle w:val="121"/>
              <w:rPr>
                <w:rFonts w:ascii="Times New Roman" w:hAnsi="Times New Roman"/>
                <w:w w:val="66"/>
              </w:rPr>
            </w:pPr>
            <w:r>
              <w:rPr>
                <w:rFonts w:hint="eastAsia" w:ascii="Times New Roman" w:hAnsi="Times New Roman"/>
                <w:w w:val="66"/>
              </w:rPr>
              <w:t>129.4</w:t>
            </w:r>
          </w:p>
        </w:tc>
        <w:tc>
          <w:tcPr>
            <w:tcW w:w="455" w:type="pct"/>
            <w:noWrap/>
            <w:vAlign w:val="center"/>
          </w:tcPr>
          <w:p w14:paraId="42BF1CB9">
            <w:pPr>
              <w:pStyle w:val="121"/>
              <w:rPr>
                <w:rFonts w:ascii="Times New Roman" w:hAnsi="Times New Roman"/>
                <w:w w:val="66"/>
              </w:rPr>
            </w:pPr>
            <w:r>
              <w:rPr>
                <w:rFonts w:hint="eastAsia" w:ascii="Times New Roman" w:hAnsi="Times New Roman"/>
                <w:w w:val="66"/>
              </w:rPr>
              <w:t>-118.0</w:t>
            </w:r>
          </w:p>
        </w:tc>
        <w:tc>
          <w:tcPr>
            <w:tcW w:w="492" w:type="pct"/>
            <w:noWrap/>
            <w:vAlign w:val="center"/>
          </w:tcPr>
          <w:p w14:paraId="38BDB322">
            <w:pPr>
              <w:pStyle w:val="121"/>
              <w:rPr>
                <w:rFonts w:ascii="Times New Roman" w:hAnsi="Times New Roman"/>
                <w:w w:val="66"/>
              </w:rPr>
            </w:pPr>
            <w:r>
              <w:rPr>
                <w:rFonts w:hint="eastAsia" w:ascii="Times New Roman" w:hAnsi="Times New Roman"/>
                <w:w w:val="66"/>
              </w:rPr>
              <w:t>7.0</w:t>
            </w:r>
          </w:p>
        </w:tc>
        <w:tc>
          <w:tcPr>
            <w:tcW w:w="491" w:type="pct"/>
            <w:noWrap/>
            <w:vAlign w:val="center"/>
          </w:tcPr>
          <w:p w14:paraId="608DF598">
            <w:pPr>
              <w:pStyle w:val="121"/>
              <w:rPr>
                <w:rFonts w:ascii="Times New Roman" w:hAnsi="Times New Roman"/>
                <w:w w:val="66"/>
              </w:rPr>
            </w:pPr>
            <w:r>
              <w:rPr>
                <w:rFonts w:hint="eastAsia" w:ascii="Times New Roman" w:hAnsi="Times New Roman"/>
                <w:w w:val="66"/>
              </w:rPr>
              <w:t>6</w:t>
            </w:r>
          </w:p>
        </w:tc>
      </w:tr>
      <w:tr w14:paraId="6E830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9A18699">
            <w:pPr>
              <w:pStyle w:val="121"/>
              <w:rPr>
                <w:rFonts w:ascii="Times New Roman" w:hAnsi="Times New Roman"/>
                <w:w w:val="66"/>
              </w:rPr>
            </w:pPr>
            <w:r>
              <w:rPr>
                <w:rFonts w:hint="eastAsia" w:ascii="Times New Roman" w:hAnsi="Times New Roman"/>
                <w:w w:val="66"/>
              </w:rPr>
              <w:t>4</w:t>
            </w:r>
          </w:p>
        </w:tc>
        <w:tc>
          <w:tcPr>
            <w:tcW w:w="1604" w:type="pct"/>
            <w:noWrap/>
            <w:vAlign w:val="center"/>
          </w:tcPr>
          <w:p w14:paraId="34B557D3">
            <w:pPr>
              <w:pStyle w:val="121"/>
              <w:rPr>
                <w:rFonts w:ascii="Times New Roman" w:hAnsi="Times New Roman"/>
                <w:w w:val="66"/>
              </w:rPr>
            </w:pPr>
            <w:r>
              <w:rPr>
                <w:rFonts w:ascii="Times New Roman" w:hAnsi="Times New Roman"/>
                <w:w w:val="66"/>
              </w:rPr>
              <w:t>采区进风天井联络巷</w:t>
            </w:r>
          </w:p>
        </w:tc>
        <w:tc>
          <w:tcPr>
            <w:tcW w:w="457" w:type="pct"/>
            <w:noWrap/>
            <w:vAlign w:val="center"/>
          </w:tcPr>
          <w:p w14:paraId="40ED17DC">
            <w:pPr>
              <w:pStyle w:val="121"/>
              <w:rPr>
                <w:rFonts w:ascii="Times New Roman" w:hAnsi="Times New Roman"/>
                <w:w w:val="66"/>
              </w:rPr>
            </w:pPr>
            <w:r>
              <w:rPr>
                <w:rFonts w:hint="eastAsia" w:ascii="Times New Roman" w:hAnsi="Times New Roman"/>
                <w:w w:val="66"/>
              </w:rPr>
              <w:t>12.7</w:t>
            </w:r>
          </w:p>
        </w:tc>
        <w:tc>
          <w:tcPr>
            <w:tcW w:w="633" w:type="pct"/>
            <w:noWrap/>
            <w:vAlign w:val="center"/>
          </w:tcPr>
          <w:p w14:paraId="740B511D">
            <w:pPr>
              <w:pStyle w:val="121"/>
              <w:rPr>
                <w:rFonts w:ascii="Times New Roman" w:hAnsi="Times New Roman"/>
                <w:w w:val="66"/>
              </w:rPr>
            </w:pPr>
            <w:r>
              <w:rPr>
                <w:rFonts w:ascii="Times New Roman" w:hAnsi="Times New Roman"/>
                <w:w w:val="66"/>
              </w:rPr>
              <w:t>0.012</w:t>
            </w:r>
          </w:p>
        </w:tc>
        <w:tc>
          <w:tcPr>
            <w:tcW w:w="525" w:type="pct"/>
            <w:noWrap/>
            <w:vAlign w:val="center"/>
          </w:tcPr>
          <w:p w14:paraId="7133BDF1">
            <w:pPr>
              <w:pStyle w:val="121"/>
              <w:rPr>
                <w:rFonts w:ascii="Times New Roman" w:hAnsi="Times New Roman"/>
                <w:w w:val="66"/>
              </w:rPr>
            </w:pPr>
            <w:r>
              <w:rPr>
                <w:rFonts w:hint="eastAsia" w:ascii="Times New Roman" w:hAnsi="Times New Roman"/>
                <w:w w:val="66"/>
              </w:rPr>
              <w:t>110.6.</w:t>
            </w:r>
          </w:p>
        </w:tc>
        <w:tc>
          <w:tcPr>
            <w:tcW w:w="455" w:type="pct"/>
            <w:noWrap/>
            <w:vAlign w:val="center"/>
          </w:tcPr>
          <w:p w14:paraId="690AC2DB">
            <w:pPr>
              <w:pStyle w:val="121"/>
              <w:rPr>
                <w:rFonts w:ascii="Times New Roman" w:hAnsi="Times New Roman"/>
                <w:w w:val="66"/>
              </w:rPr>
            </w:pPr>
            <w:r>
              <w:rPr>
                <w:rFonts w:hint="eastAsia" w:ascii="Times New Roman" w:hAnsi="Times New Roman"/>
                <w:w w:val="66"/>
              </w:rPr>
              <w:t>-93.8</w:t>
            </w:r>
          </w:p>
        </w:tc>
        <w:tc>
          <w:tcPr>
            <w:tcW w:w="492" w:type="pct"/>
            <w:noWrap/>
            <w:vAlign w:val="center"/>
          </w:tcPr>
          <w:p w14:paraId="5CE23295">
            <w:pPr>
              <w:pStyle w:val="121"/>
              <w:rPr>
                <w:rFonts w:ascii="Times New Roman" w:hAnsi="Times New Roman"/>
                <w:w w:val="66"/>
              </w:rPr>
            </w:pPr>
            <w:r>
              <w:rPr>
                <w:rFonts w:hint="eastAsia" w:ascii="Times New Roman" w:hAnsi="Times New Roman"/>
                <w:w w:val="66"/>
              </w:rPr>
              <w:t>8.6</w:t>
            </w:r>
          </w:p>
        </w:tc>
        <w:tc>
          <w:tcPr>
            <w:tcW w:w="491" w:type="pct"/>
            <w:noWrap/>
            <w:vAlign w:val="center"/>
          </w:tcPr>
          <w:p w14:paraId="6CBB74F6">
            <w:pPr>
              <w:pStyle w:val="121"/>
              <w:rPr>
                <w:rFonts w:ascii="Times New Roman" w:hAnsi="Times New Roman"/>
                <w:w w:val="66"/>
              </w:rPr>
            </w:pPr>
            <w:r>
              <w:rPr>
                <w:rFonts w:hint="eastAsia" w:ascii="Times New Roman" w:hAnsi="Times New Roman"/>
                <w:w w:val="66"/>
              </w:rPr>
              <w:t>20</w:t>
            </w:r>
          </w:p>
        </w:tc>
      </w:tr>
      <w:tr w14:paraId="54B50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3358CA5B">
            <w:pPr>
              <w:pStyle w:val="121"/>
              <w:rPr>
                <w:rFonts w:ascii="Times New Roman" w:hAnsi="Times New Roman"/>
                <w:w w:val="66"/>
              </w:rPr>
            </w:pPr>
            <w:r>
              <w:rPr>
                <w:rFonts w:ascii="Times New Roman" w:hAnsi="Times New Roman"/>
                <w:w w:val="66"/>
              </w:rPr>
              <w:t>七</w:t>
            </w:r>
          </w:p>
        </w:tc>
        <w:tc>
          <w:tcPr>
            <w:tcW w:w="1604" w:type="pct"/>
            <w:noWrap/>
            <w:vAlign w:val="center"/>
          </w:tcPr>
          <w:p w14:paraId="7057D1DC">
            <w:pPr>
              <w:pStyle w:val="121"/>
              <w:rPr>
                <w:rFonts w:ascii="Times New Roman" w:hAnsi="Times New Roman"/>
                <w:w w:val="66"/>
              </w:rPr>
            </w:pPr>
            <w:r>
              <w:rPr>
                <w:rFonts w:ascii="Times New Roman" w:hAnsi="Times New Roman"/>
                <w:w w:val="66"/>
              </w:rPr>
              <w:t>-</w:t>
            </w:r>
            <w:r>
              <w:rPr>
                <w:rFonts w:hint="eastAsia" w:ascii="Times New Roman" w:hAnsi="Times New Roman"/>
                <w:w w:val="66"/>
              </w:rPr>
              <w:t>83</w:t>
            </w:r>
            <w:r>
              <w:rPr>
                <w:rFonts w:ascii="Times New Roman" w:hAnsi="Times New Roman"/>
                <w:w w:val="66"/>
              </w:rPr>
              <w:t>5m运输水平</w:t>
            </w:r>
          </w:p>
        </w:tc>
        <w:tc>
          <w:tcPr>
            <w:tcW w:w="457" w:type="pct"/>
            <w:noWrap/>
            <w:vAlign w:val="center"/>
          </w:tcPr>
          <w:p w14:paraId="4220647C">
            <w:pPr>
              <w:pStyle w:val="121"/>
              <w:rPr>
                <w:rFonts w:ascii="Times New Roman" w:hAnsi="Times New Roman"/>
                <w:w w:val="66"/>
              </w:rPr>
            </w:pPr>
          </w:p>
        </w:tc>
        <w:tc>
          <w:tcPr>
            <w:tcW w:w="633" w:type="pct"/>
            <w:noWrap/>
            <w:vAlign w:val="center"/>
          </w:tcPr>
          <w:p w14:paraId="11305024">
            <w:pPr>
              <w:pStyle w:val="121"/>
              <w:rPr>
                <w:rFonts w:ascii="Times New Roman" w:hAnsi="Times New Roman"/>
                <w:w w:val="66"/>
              </w:rPr>
            </w:pPr>
          </w:p>
        </w:tc>
        <w:tc>
          <w:tcPr>
            <w:tcW w:w="525" w:type="pct"/>
            <w:noWrap/>
            <w:vAlign w:val="center"/>
          </w:tcPr>
          <w:p w14:paraId="057F2842">
            <w:pPr>
              <w:pStyle w:val="121"/>
              <w:rPr>
                <w:rFonts w:ascii="Times New Roman" w:hAnsi="Times New Roman"/>
                <w:w w:val="66"/>
              </w:rPr>
            </w:pPr>
          </w:p>
        </w:tc>
        <w:tc>
          <w:tcPr>
            <w:tcW w:w="455" w:type="pct"/>
            <w:noWrap/>
            <w:vAlign w:val="center"/>
          </w:tcPr>
          <w:p w14:paraId="7A3821C6">
            <w:pPr>
              <w:pStyle w:val="121"/>
              <w:rPr>
                <w:rFonts w:ascii="Times New Roman" w:hAnsi="Times New Roman"/>
                <w:w w:val="66"/>
              </w:rPr>
            </w:pPr>
          </w:p>
        </w:tc>
        <w:tc>
          <w:tcPr>
            <w:tcW w:w="492" w:type="pct"/>
            <w:noWrap/>
            <w:vAlign w:val="center"/>
          </w:tcPr>
          <w:p w14:paraId="567492CD">
            <w:pPr>
              <w:pStyle w:val="121"/>
              <w:rPr>
                <w:rFonts w:ascii="Times New Roman" w:hAnsi="Times New Roman"/>
                <w:w w:val="66"/>
              </w:rPr>
            </w:pPr>
          </w:p>
        </w:tc>
        <w:tc>
          <w:tcPr>
            <w:tcW w:w="491" w:type="pct"/>
            <w:noWrap/>
            <w:vAlign w:val="center"/>
          </w:tcPr>
          <w:p w14:paraId="5130B5A3">
            <w:pPr>
              <w:pStyle w:val="121"/>
              <w:rPr>
                <w:rFonts w:ascii="Times New Roman" w:hAnsi="Times New Roman"/>
                <w:w w:val="66"/>
              </w:rPr>
            </w:pPr>
          </w:p>
        </w:tc>
      </w:tr>
      <w:tr w14:paraId="46F6F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410E26BB">
            <w:pPr>
              <w:pStyle w:val="121"/>
              <w:rPr>
                <w:rFonts w:ascii="Times New Roman" w:hAnsi="Times New Roman"/>
                <w:w w:val="66"/>
              </w:rPr>
            </w:pPr>
            <w:r>
              <w:rPr>
                <w:rFonts w:ascii="Times New Roman" w:hAnsi="Times New Roman"/>
                <w:w w:val="66"/>
              </w:rPr>
              <w:t>1</w:t>
            </w:r>
          </w:p>
        </w:tc>
        <w:tc>
          <w:tcPr>
            <w:tcW w:w="1604" w:type="pct"/>
            <w:noWrap/>
            <w:vAlign w:val="center"/>
          </w:tcPr>
          <w:p w14:paraId="56F0ADB2">
            <w:pPr>
              <w:pStyle w:val="121"/>
              <w:rPr>
                <w:rFonts w:ascii="Times New Roman" w:hAnsi="Times New Roman"/>
                <w:w w:val="66"/>
              </w:rPr>
            </w:pPr>
            <w:r>
              <w:rPr>
                <w:rFonts w:ascii="Times New Roman" w:hAnsi="Times New Roman"/>
                <w:w w:val="66"/>
              </w:rPr>
              <w:t>副井石门（东侧）</w:t>
            </w:r>
          </w:p>
        </w:tc>
        <w:tc>
          <w:tcPr>
            <w:tcW w:w="457" w:type="pct"/>
            <w:noWrap/>
            <w:vAlign w:val="center"/>
          </w:tcPr>
          <w:p w14:paraId="5F8BC171">
            <w:pPr>
              <w:pStyle w:val="121"/>
              <w:rPr>
                <w:rFonts w:ascii="Times New Roman" w:hAnsi="Times New Roman"/>
                <w:w w:val="66"/>
              </w:rPr>
            </w:pPr>
            <w:r>
              <w:rPr>
                <w:rFonts w:hint="eastAsia" w:ascii="Times New Roman" w:hAnsi="Times New Roman"/>
                <w:w w:val="66"/>
              </w:rPr>
              <w:t>13.1</w:t>
            </w:r>
          </w:p>
        </w:tc>
        <w:tc>
          <w:tcPr>
            <w:tcW w:w="633" w:type="pct"/>
            <w:noWrap/>
            <w:vAlign w:val="center"/>
          </w:tcPr>
          <w:p w14:paraId="15DBFFFB">
            <w:pPr>
              <w:pStyle w:val="121"/>
              <w:rPr>
                <w:rFonts w:ascii="Times New Roman" w:hAnsi="Times New Roman"/>
                <w:w w:val="66"/>
              </w:rPr>
            </w:pPr>
            <w:r>
              <w:rPr>
                <w:rFonts w:ascii="Times New Roman" w:hAnsi="Times New Roman"/>
                <w:w w:val="66"/>
              </w:rPr>
              <w:t>0.012</w:t>
            </w:r>
          </w:p>
        </w:tc>
        <w:tc>
          <w:tcPr>
            <w:tcW w:w="525" w:type="pct"/>
            <w:noWrap/>
            <w:vAlign w:val="center"/>
          </w:tcPr>
          <w:p w14:paraId="33F7FA67">
            <w:pPr>
              <w:pStyle w:val="121"/>
              <w:rPr>
                <w:rFonts w:ascii="Times New Roman" w:hAnsi="Times New Roman"/>
                <w:w w:val="66"/>
              </w:rPr>
            </w:pPr>
            <w:r>
              <w:rPr>
                <w:rFonts w:hint="eastAsia" w:ascii="Times New Roman" w:hAnsi="Times New Roman"/>
                <w:w w:val="66"/>
              </w:rPr>
              <w:t>5.9</w:t>
            </w:r>
          </w:p>
        </w:tc>
        <w:tc>
          <w:tcPr>
            <w:tcW w:w="455" w:type="pct"/>
            <w:noWrap/>
            <w:vAlign w:val="center"/>
          </w:tcPr>
          <w:p w14:paraId="4B4E206D">
            <w:pPr>
              <w:pStyle w:val="121"/>
              <w:rPr>
                <w:rFonts w:ascii="Times New Roman" w:hAnsi="Times New Roman"/>
                <w:w w:val="66"/>
              </w:rPr>
            </w:pPr>
            <w:r>
              <w:rPr>
                <w:rFonts w:hint="eastAsia" w:ascii="Times New Roman" w:hAnsi="Times New Roman"/>
                <w:w w:val="66"/>
              </w:rPr>
              <w:t>-17.1</w:t>
            </w:r>
          </w:p>
        </w:tc>
        <w:tc>
          <w:tcPr>
            <w:tcW w:w="492" w:type="pct"/>
            <w:noWrap/>
            <w:vAlign w:val="center"/>
          </w:tcPr>
          <w:p w14:paraId="0F3EDBBA">
            <w:pPr>
              <w:pStyle w:val="121"/>
              <w:rPr>
                <w:rFonts w:ascii="Times New Roman" w:hAnsi="Times New Roman"/>
                <w:w w:val="66"/>
              </w:rPr>
            </w:pPr>
            <w:r>
              <w:rPr>
                <w:rFonts w:hint="eastAsia" w:ascii="Times New Roman" w:hAnsi="Times New Roman"/>
                <w:w w:val="66"/>
              </w:rPr>
              <w:t>0.4</w:t>
            </w:r>
          </w:p>
        </w:tc>
        <w:tc>
          <w:tcPr>
            <w:tcW w:w="491" w:type="pct"/>
            <w:noWrap/>
            <w:vAlign w:val="center"/>
          </w:tcPr>
          <w:p w14:paraId="79803826">
            <w:pPr>
              <w:pStyle w:val="121"/>
              <w:rPr>
                <w:rFonts w:ascii="Times New Roman" w:hAnsi="Times New Roman"/>
                <w:w w:val="66"/>
              </w:rPr>
            </w:pPr>
            <w:r>
              <w:rPr>
                <w:rFonts w:ascii="Times New Roman" w:hAnsi="Times New Roman"/>
                <w:w w:val="66"/>
              </w:rPr>
              <w:t>6</w:t>
            </w:r>
          </w:p>
        </w:tc>
      </w:tr>
      <w:tr w14:paraId="4033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0AAA2A1F">
            <w:pPr>
              <w:pStyle w:val="121"/>
              <w:rPr>
                <w:rFonts w:ascii="Times New Roman" w:hAnsi="Times New Roman"/>
                <w:w w:val="66"/>
              </w:rPr>
            </w:pPr>
            <w:r>
              <w:rPr>
                <w:rFonts w:ascii="Times New Roman" w:hAnsi="Times New Roman"/>
                <w:w w:val="66"/>
              </w:rPr>
              <w:t>2</w:t>
            </w:r>
          </w:p>
        </w:tc>
        <w:tc>
          <w:tcPr>
            <w:tcW w:w="1604" w:type="pct"/>
            <w:noWrap/>
            <w:vAlign w:val="center"/>
          </w:tcPr>
          <w:p w14:paraId="3D1E9186">
            <w:pPr>
              <w:pStyle w:val="121"/>
              <w:rPr>
                <w:rFonts w:ascii="Times New Roman" w:hAnsi="Times New Roman"/>
                <w:w w:val="66"/>
              </w:rPr>
            </w:pPr>
            <w:r>
              <w:rPr>
                <w:rFonts w:ascii="Times New Roman" w:hAnsi="Times New Roman"/>
                <w:w w:val="66"/>
              </w:rPr>
              <w:t>副井石门（西侧）</w:t>
            </w:r>
          </w:p>
        </w:tc>
        <w:tc>
          <w:tcPr>
            <w:tcW w:w="457" w:type="pct"/>
            <w:noWrap/>
            <w:vAlign w:val="center"/>
          </w:tcPr>
          <w:p w14:paraId="1347B3B8">
            <w:pPr>
              <w:pStyle w:val="121"/>
              <w:rPr>
                <w:rFonts w:ascii="Times New Roman" w:hAnsi="Times New Roman"/>
                <w:w w:val="66"/>
              </w:rPr>
            </w:pPr>
            <w:r>
              <w:rPr>
                <w:rFonts w:hint="eastAsia" w:ascii="Times New Roman" w:hAnsi="Times New Roman"/>
                <w:w w:val="66"/>
              </w:rPr>
              <w:t>13.1</w:t>
            </w:r>
          </w:p>
        </w:tc>
        <w:tc>
          <w:tcPr>
            <w:tcW w:w="633" w:type="pct"/>
            <w:noWrap/>
            <w:vAlign w:val="center"/>
          </w:tcPr>
          <w:p w14:paraId="156B339D">
            <w:pPr>
              <w:pStyle w:val="121"/>
              <w:rPr>
                <w:rFonts w:ascii="Times New Roman" w:hAnsi="Times New Roman"/>
                <w:w w:val="66"/>
              </w:rPr>
            </w:pPr>
            <w:r>
              <w:rPr>
                <w:rFonts w:ascii="Times New Roman" w:hAnsi="Times New Roman"/>
                <w:w w:val="66"/>
              </w:rPr>
              <w:t>0.012</w:t>
            </w:r>
          </w:p>
        </w:tc>
        <w:tc>
          <w:tcPr>
            <w:tcW w:w="525" w:type="pct"/>
            <w:noWrap/>
            <w:vAlign w:val="center"/>
          </w:tcPr>
          <w:p w14:paraId="4CA7DC7C">
            <w:pPr>
              <w:pStyle w:val="121"/>
              <w:rPr>
                <w:rFonts w:ascii="Times New Roman" w:hAnsi="Times New Roman"/>
                <w:w w:val="66"/>
              </w:rPr>
            </w:pPr>
            <w:r>
              <w:rPr>
                <w:rFonts w:hint="eastAsia" w:ascii="Times New Roman" w:hAnsi="Times New Roman"/>
                <w:w w:val="66"/>
              </w:rPr>
              <w:t>7.7</w:t>
            </w:r>
          </w:p>
        </w:tc>
        <w:tc>
          <w:tcPr>
            <w:tcW w:w="455" w:type="pct"/>
            <w:noWrap/>
            <w:vAlign w:val="center"/>
          </w:tcPr>
          <w:p w14:paraId="5EC261B4">
            <w:pPr>
              <w:pStyle w:val="121"/>
              <w:rPr>
                <w:rFonts w:ascii="Times New Roman" w:hAnsi="Times New Roman"/>
                <w:w w:val="66"/>
              </w:rPr>
            </w:pPr>
            <w:r>
              <w:rPr>
                <w:rFonts w:hint="eastAsia" w:ascii="Times New Roman" w:hAnsi="Times New Roman"/>
                <w:w w:val="66"/>
              </w:rPr>
              <w:t>-17.2</w:t>
            </w:r>
          </w:p>
        </w:tc>
        <w:tc>
          <w:tcPr>
            <w:tcW w:w="492" w:type="pct"/>
            <w:noWrap/>
            <w:vAlign w:val="center"/>
          </w:tcPr>
          <w:p w14:paraId="622B1C5E">
            <w:pPr>
              <w:pStyle w:val="121"/>
              <w:rPr>
                <w:rFonts w:ascii="Times New Roman" w:hAnsi="Times New Roman"/>
                <w:w w:val="66"/>
              </w:rPr>
            </w:pPr>
            <w:r>
              <w:rPr>
                <w:rFonts w:hint="eastAsia" w:ascii="Times New Roman" w:hAnsi="Times New Roman"/>
                <w:w w:val="66"/>
              </w:rPr>
              <w:t>0.6</w:t>
            </w:r>
          </w:p>
        </w:tc>
        <w:tc>
          <w:tcPr>
            <w:tcW w:w="491" w:type="pct"/>
            <w:noWrap/>
            <w:vAlign w:val="center"/>
          </w:tcPr>
          <w:p w14:paraId="2AEC2428">
            <w:pPr>
              <w:pStyle w:val="121"/>
              <w:rPr>
                <w:rFonts w:ascii="Times New Roman" w:hAnsi="Times New Roman"/>
                <w:w w:val="66"/>
              </w:rPr>
            </w:pPr>
            <w:r>
              <w:rPr>
                <w:rFonts w:ascii="Times New Roman" w:hAnsi="Times New Roman"/>
                <w:w w:val="66"/>
              </w:rPr>
              <w:t>6</w:t>
            </w:r>
          </w:p>
        </w:tc>
      </w:tr>
      <w:tr w14:paraId="2F52C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209E659A">
            <w:pPr>
              <w:pStyle w:val="121"/>
              <w:rPr>
                <w:rFonts w:ascii="Times New Roman" w:hAnsi="Times New Roman"/>
                <w:w w:val="66"/>
              </w:rPr>
            </w:pPr>
            <w:r>
              <w:rPr>
                <w:rFonts w:ascii="Times New Roman" w:hAnsi="Times New Roman"/>
                <w:w w:val="66"/>
              </w:rPr>
              <w:t>3</w:t>
            </w:r>
          </w:p>
        </w:tc>
        <w:tc>
          <w:tcPr>
            <w:tcW w:w="1604" w:type="pct"/>
            <w:noWrap/>
            <w:vAlign w:val="center"/>
          </w:tcPr>
          <w:p w14:paraId="77AC95A4">
            <w:pPr>
              <w:pStyle w:val="121"/>
              <w:rPr>
                <w:rFonts w:ascii="Times New Roman" w:hAnsi="Times New Roman"/>
                <w:w w:val="66"/>
              </w:rPr>
            </w:pPr>
            <w:r>
              <w:rPr>
                <w:rFonts w:ascii="Times New Roman" w:hAnsi="Times New Roman"/>
                <w:w w:val="66"/>
              </w:rPr>
              <w:t>沿脉运输巷道</w:t>
            </w:r>
          </w:p>
        </w:tc>
        <w:tc>
          <w:tcPr>
            <w:tcW w:w="457" w:type="pct"/>
            <w:noWrap/>
            <w:vAlign w:val="center"/>
          </w:tcPr>
          <w:p w14:paraId="15002708">
            <w:pPr>
              <w:pStyle w:val="121"/>
              <w:rPr>
                <w:rFonts w:ascii="Times New Roman" w:hAnsi="Times New Roman"/>
                <w:w w:val="66"/>
              </w:rPr>
            </w:pPr>
            <w:r>
              <w:rPr>
                <w:rFonts w:hint="eastAsia" w:ascii="Times New Roman" w:hAnsi="Times New Roman"/>
                <w:w w:val="66"/>
              </w:rPr>
              <w:t>12.4</w:t>
            </w:r>
          </w:p>
        </w:tc>
        <w:tc>
          <w:tcPr>
            <w:tcW w:w="633" w:type="pct"/>
            <w:noWrap/>
            <w:vAlign w:val="center"/>
          </w:tcPr>
          <w:p w14:paraId="351E2CC7">
            <w:pPr>
              <w:pStyle w:val="121"/>
              <w:rPr>
                <w:rFonts w:ascii="Times New Roman" w:hAnsi="Times New Roman"/>
                <w:w w:val="66"/>
              </w:rPr>
            </w:pPr>
            <w:r>
              <w:rPr>
                <w:rFonts w:ascii="Times New Roman" w:hAnsi="Times New Roman"/>
                <w:w w:val="66"/>
              </w:rPr>
              <w:t>0.012</w:t>
            </w:r>
          </w:p>
        </w:tc>
        <w:tc>
          <w:tcPr>
            <w:tcW w:w="525" w:type="pct"/>
            <w:noWrap/>
            <w:vAlign w:val="center"/>
          </w:tcPr>
          <w:p w14:paraId="61A8AE80">
            <w:pPr>
              <w:pStyle w:val="121"/>
              <w:rPr>
                <w:rFonts w:ascii="Times New Roman" w:hAnsi="Times New Roman"/>
                <w:w w:val="66"/>
              </w:rPr>
            </w:pPr>
            <w:r>
              <w:rPr>
                <w:rFonts w:hint="eastAsia" w:ascii="Times New Roman" w:hAnsi="Times New Roman"/>
                <w:w w:val="66"/>
              </w:rPr>
              <w:t>10.6</w:t>
            </w:r>
          </w:p>
        </w:tc>
        <w:tc>
          <w:tcPr>
            <w:tcW w:w="455" w:type="pct"/>
            <w:noWrap/>
            <w:vAlign w:val="center"/>
          </w:tcPr>
          <w:p w14:paraId="1F3B4708">
            <w:pPr>
              <w:pStyle w:val="121"/>
              <w:rPr>
                <w:rFonts w:ascii="Times New Roman" w:hAnsi="Times New Roman"/>
                <w:w w:val="66"/>
              </w:rPr>
            </w:pPr>
            <w:r>
              <w:rPr>
                <w:rFonts w:hint="eastAsia" w:ascii="Times New Roman" w:hAnsi="Times New Roman"/>
                <w:w w:val="66"/>
              </w:rPr>
              <w:t>-28.6</w:t>
            </w:r>
          </w:p>
        </w:tc>
        <w:tc>
          <w:tcPr>
            <w:tcW w:w="492" w:type="pct"/>
            <w:noWrap/>
            <w:vAlign w:val="center"/>
          </w:tcPr>
          <w:p w14:paraId="4020D247">
            <w:pPr>
              <w:pStyle w:val="121"/>
              <w:rPr>
                <w:rFonts w:ascii="Times New Roman" w:hAnsi="Times New Roman"/>
                <w:w w:val="66"/>
              </w:rPr>
            </w:pPr>
            <w:r>
              <w:rPr>
                <w:rFonts w:hint="eastAsia" w:ascii="Times New Roman" w:hAnsi="Times New Roman"/>
                <w:w w:val="66"/>
              </w:rPr>
              <w:t>0.9</w:t>
            </w:r>
          </w:p>
        </w:tc>
        <w:tc>
          <w:tcPr>
            <w:tcW w:w="491" w:type="pct"/>
            <w:noWrap/>
            <w:vAlign w:val="center"/>
          </w:tcPr>
          <w:p w14:paraId="462FB580">
            <w:pPr>
              <w:pStyle w:val="121"/>
              <w:rPr>
                <w:rFonts w:ascii="Times New Roman" w:hAnsi="Times New Roman"/>
                <w:w w:val="66"/>
              </w:rPr>
            </w:pPr>
            <w:r>
              <w:rPr>
                <w:rFonts w:ascii="Times New Roman" w:hAnsi="Times New Roman"/>
                <w:w w:val="66"/>
              </w:rPr>
              <w:t>6</w:t>
            </w:r>
          </w:p>
        </w:tc>
      </w:tr>
      <w:tr w14:paraId="67FF8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1508CB88">
            <w:pPr>
              <w:pStyle w:val="121"/>
              <w:rPr>
                <w:rFonts w:ascii="Times New Roman" w:hAnsi="Times New Roman"/>
                <w:w w:val="66"/>
              </w:rPr>
            </w:pPr>
            <w:r>
              <w:rPr>
                <w:rFonts w:ascii="Times New Roman" w:hAnsi="Times New Roman"/>
                <w:w w:val="66"/>
              </w:rPr>
              <w:t>4</w:t>
            </w:r>
          </w:p>
        </w:tc>
        <w:tc>
          <w:tcPr>
            <w:tcW w:w="1604" w:type="pct"/>
            <w:noWrap/>
            <w:vAlign w:val="center"/>
          </w:tcPr>
          <w:p w14:paraId="0D74E0B3">
            <w:pPr>
              <w:pStyle w:val="121"/>
              <w:rPr>
                <w:rFonts w:ascii="Times New Roman" w:hAnsi="Times New Roman"/>
                <w:w w:val="66"/>
              </w:rPr>
            </w:pPr>
            <w:r>
              <w:rPr>
                <w:rFonts w:ascii="Times New Roman" w:hAnsi="Times New Roman"/>
                <w:w w:val="66"/>
              </w:rPr>
              <w:t>穿脉运输巷道</w:t>
            </w:r>
          </w:p>
        </w:tc>
        <w:tc>
          <w:tcPr>
            <w:tcW w:w="457" w:type="pct"/>
            <w:noWrap/>
            <w:vAlign w:val="center"/>
          </w:tcPr>
          <w:p w14:paraId="4FA37E9F">
            <w:pPr>
              <w:pStyle w:val="121"/>
              <w:rPr>
                <w:rFonts w:ascii="Times New Roman" w:hAnsi="Times New Roman"/>
                <w:w w:val="66"/>
              </w:rPr>
            </w:pPr>
            <w:r>
              <w:rPr>
                <w:rFonts w:hint="eastAsia" w:ascii="Times New Roman" w:hAnsi="Times New Roman"/>
                <w:w w:val="66"/>
              </w:rPr>
              <w:t>12.4</w:t>
            </w:r>
          </w:p>
        </w:tc>
        <w:tc>
          <w:tcPr>
            <w:tcW w:w="633" w:type="pct"/>
            <w:noWrap/>
            <w:vAlign w:val="center"/>
          </w:tcPr>
          <w:p w14:paraId="28A5144E">
            <w:pPr>
              <w:pStyle w:val="121"/>
              <w:rPr>
                <w:rFonts w:ascii="Times New Roman" w:hAnsi="Times New Roman"/>
                <w:w w:val="66"/>
              </w:rPr>
            </w:pPr>
            <w:r>
              <w:rPr>
                <w:rFonts w:ascii="Times New Roman" w:hAnsi="Times New Roman"/>
                <w:w w:val="66"/>
              </w:rPr>
              <w:t>0.012</w:t>
            </w:r>
          </w:p>
        </w:tc>
        <w:tc>
          <w:tcPr>
            <w:tcW w:w="525" w:type="pct"/>
            <w:noWrap/>
            <w:vAlign w:val="center"/>
          </w:tcPr>
          <w:p w14:paraId="6008C63B">
            <w:pPr>
              <w:pStyle w:val="121"/>
              <w:rPr>
                <w:rFonts w:ascii="Times New Roman" w:hAnsi="Times New Roman"/>
                <w:w w:val="66"/>
              </w:rPr>
            </w:pPr>
            <w:r>
              <w:rPr>
                <w:rFonts w:hint="eastAsia" w:ascii="Times New Roman" w:hAnsi="Times New Roman"/>
                <w:w w:val="66"/>
              </w:rPr>
              <w:t>6.0</w:t>
            </w:r>
          </w:p>
        </w:tc>
        <w:tc>
          <w:tcPr>
            <w:tcW w:w="455" w:type="pct"/>
            <w:noWrap/>
            <w:vAlign w:val="center"/>
          </w:tcPr>
          <w:p w14:paraId="4BA9B3BA">
            <w:pPr>
              <w:pStyle w:val="121"/>
              <w:rPr>
                <w:rFonts w:ascii="Times New Roman" w:hAnsi="Times New Roman"/>
                <w:w w:val="66"/>
              </w:rPr>
            </w:pPr>
            <w:r>
              <w:rPr>
                <w:rFonts w:hint="eastAsia" w:ascii="Times New Roman" w:hAnsi="Times New Roman"/>
                <w:w w:val="66"/>
              </w:rPr>
              <w:t>-25.6</w:t>
            </w:r>
          </w:p>
        </w:tc>
        <w:tc>
          <w:tcPr>
            <w:tcW w:w="492" w:type="pct"/>
            <w:noWrap/>
            <w:vAlign w:val="center"/>
          </w:tcPr>
          <w:p w14:paraId="4860CECC">
            <w:pPr>
              <w:pStyle w:val="121"/>
              <w:rPr>
                <w:rFonts w:ascii="Times New Roman" w:hAnsi="Times New Roman"/>
                <w:w w:val="66"/>
              </w:rPr>
            </w:pPr>
            <w:r>
              <w:rPr>
                <w:rFonts w:hint="eastAsia" w:ascii="Times New Roman" w:hAnsi="Times New Roman"/>
                <w:w w:val="66"/>
              </w:rPr>
              <w:t>0.5</w:t>
            </w:r>
          </w:p>
        </w:tc>
        <w:tc>
          <w:tcPr>
            <w:tcW w:w="491" w:type="pct"/>
            <w:noWrap/>
            <w:vAlign w:val="center"/>
          </w:tcPr>
          <w:p w14:paraId="44EA34FC">
            <w:pPr>
              <w:pStyle w:val="121"/>
              <w:rPr>
                <w:rFonts w:ascii="Times New Roman" w:hAnsi="Times New Roman"/>
                <w:w w:val="66"/>
              </w:rPr>
            </w:pPr>
            <w:r>
              <w:rPr>
                <w:rFonts w:ascii="Times New Roman" w:hAnsi="Times New Roman"/>
                <w:w w:val="66"/>
              </w:rPr>
              <w:t>6</w:t>
            </w:r>
          </w:p>
        </w:tc>
      </w:tr>
      <w:tr w14:paraId="71AB6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22A2C95">
            <w:pPr>
              <w:pStyle w:val="121"/>
              <w:rPr>
                <w:rFonts w:ascii="Times New Roman" w:hAnsi="Times New Roman"/>
                <w:w w:val="66"/>
              </w:rPr>
            </w:pPr>
            <w:r>
              <w:rPr>
                <w:rFonts w:ascii="Times New Roman" w:hAnsi="Times New Roman"/>
                <w:w w:val="66"/>
              </w:rPr>
              <w:t>5</w:t>
            </w:r>
          </w:p>
        </w:tc>
        <w:tc>
          <w:tcPr>
            <w:tcW w:w="1604" w:type="pct"/>
            <w:noWrap/>
            <w:vAlign w:val="center"/>
          </w:tcPr>
          <w:p w14:paraId="36FD2A45">
            <w:pPr>
              <w:pStyle w:val="121"/>
              <w:rPr>
                <w:rFonts w:ascii="Times New Roman" w:hAnsi="Times New Roman"/>
                <w:w w:val="66"/>
              </w:rPr>
            </w:pPr>
            <w:r>
              <w:rPr>
                <w:rFonts w:ascii="Times New Roman" w:hAnsi="Times New Roman"/>
                <w:w w:val="66"/>
              </w:rPr>
              <w:t>溜破系统回风天井联络巷</w:t>
            </w:r>
          </w:p>
        </w:tc>
        <w:tc>
          <w:tcPr>
            <w:tcW w:w="457" w:type="pct"/>
            <w:noWrap/>
            <w:vAlign w:val="center"/>
          </w:tcPr>
          <w:p w14:paraId="4BB84028">
            <w:pPr>
              <w:pStyle w:val="121"/>
              <w:rPr>
                <w:rFonts w:ascii="Times New Roman" w:hAnsi="Times New Roman"/>
                <w:w w:val="66"/>
              </w:rPr>
            </w:pPr>
            <w:r>
              <w:rPr>
                <w:rFonts w:hint="eastAsia" w:ascii="Times New Roman" w:hAnsi="Times New Roman"/>
                <w:w w:val="66"/>
              </w:rPr>
              <w:t>8.2</w:t>
            </w:r>
          </w:p>
        </w:tc>
        <w:tc>
          <w:tcPr>
            <w:tcW w:w="633" w:type="pct"/>
            <w:noWrap/>
            <w:vAlign w:val="center"/>
          </w:tcPr>
          <w:p w14:paraId="7669B7A4">
            <w:pPr>
              <w:pStyle w:val="121"/>
              <w:rPr>
                <w:rFonts w:ascii="Times New Roman" w:hAnsi="Times New Roman"/>
                <w:w w:val="66"/>
              </w:rPr>
            </w:pPr>
            <w:r>
              <w:rPr>
                <w:rFonts w:ascii="Times New Roman" w:hAnsi="Times New Roman"/>
                <w:w w:val="66"/>
              </w:rPr>
              <w:t>0.012</w:t>
            </w:r>
          </w:p>
        </w:tc>
        <w:tc>
          <w:tcPr>
            <w:tcW w:w="525" w:type="pct"/>
            <w:noWrap/>
            <w:vAlign w:val="center"/>
          </w:tcPr>
          <w:p w14:paraId="50B6FB4C">
            <w:pPr>
              <w:pStyle w:val="121"/>
              <w:rPr>
                <w:rFonts w:ascii="Times New Roman" w:hAnsi="Times New Roman"/>
                <w:w w:val="66"/>
              </w:rPr>
            </w:pPr>
            <w:r>
              <w:rPr>
                <w:rFonts w:hint="eastAsia" w:ascii="Times New Roman" w:hAnsi="Times New Roman"/>
                <w:w w:val="66"/>
              </w:rPr>
              <w:t>15</w:t>
            </w:r>
          </w:p>
        </w:tc>
        <w:tc>
          <w:tcPr>
            <w:tcW w:w="455" w:type="pct"/>
            <w:noWrap/>
            <w:vAlign w:val="center"/>
          </w:tcPr>
          <w:p w14:paraId="16D38208">
            <w:pPr>
              <w:pStyle w:val="121"/>
              <w:rPr>
                <w:rFonts w:ascii="Times New Roman" w:hAnsi="Times New Roman"/>
                <w:w w:val="66"/>
              </w:rPr>
            </w:pPr>
            <w:r>
              <w:rPr>
                <w:rFonts w:hint="eastAsia" w:ascii="Times New Roman" w:hAnsi="Times New Roman"/>
                <w:w w:val="66"/>
              </w:rPr>
              <w:t>-17.6</w:t>
            </w:r>
          </w:p>
        </w:tc>
        <w:tc>
          <w:tcPr>
            <w:tcW w:w="492" w:type="pct"/>
            <w:noWrap/>
            <w:vAlign w:val="center"/>
          </w:tcPr>
          <w:p w14:paraId="4B302434">
            <w:pPr>
              <w:pStyle w:val="121"/>
              <w:rPr>
                <w:rFonts w:ascii="Times New Roman" w:hAnsi="Times New Roman"/>
                <w:w w:val="66"/>
              </w:rPr>
            </w:pPr>
            <w:r>
              <w:rPr>
                <w:rFonts w:hint="eastAsia" w:ascii="Times New Roman" w:hAnsi="Times New Roman"/>
                <w:w w:val="66"/>
              </w:rPr>
              <w:t>1.8</w:t>
            </w:r>
          </w:p>
        </w:tc>
        <w:tc>
          <w:tcPr>
            <w:tcW w:w="491" w:type="pct"/>
            <w:noWrap/>
            <w:vAlign w:val="center"/>
          </w:tcPr>
          <w:p w14:paraId="10E9BAAE">
            <w:pPr>
              <w:pStyle w:val="121"/>
              <w:rPr>
                <w:rFonts w:ascii="Times New Roman" w:hAnsi="Times New Roman"/>
                <w:w w:val="66"/>
              </w:rPr>
            </w:pPr>
            <w:r>
              <w:rPr>
                <w:rFonts w:ascii="Times New Roman" w:hAnsi="Times New Roman"/>
                <w:w w:val="66"/>
              </w:rPr>
              <w:t>6</w:t>
            </w:r>
          </w:p>
        </w:tc>
      </w:tr>
      <w:tr w14:paraId="0B69A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86467DB">
            <w:pPr>
              <w:pStyle w:val="121"/>
              <w:rPr>
                <w:rFonts w:ascii="Times New Roman" w:hAnsi="Times New Roman"/>
                <w:w w:val="66"/>
              </w:rPr>
            </w:pPr>
            <w:r>
              <w:rPr>
                <w:rFonts w:hint="eastAsia" w:ascii="Times New Roman" w:hAnsi="Times New Roman"/>
                <w:w w:val="66"/>
              </w:rPr>
              <w:t>八</w:t>
            </w:r>
          </w:p>
        </w:tc>
        <w:tc>
          <w:tcPr>
            <w:tcW w:w="1604" w:type="pct"/>
            <w:noWrap/>
            <w:vAlign w:val="center"/>
          </w:tcPr>
          <w:p w14:paraId="1EF1149A">
            <w:pPr>
              <w:pStyle w:val="121"/>
              <w:rPr>
                <w:rFonts w:ascii="Times New Roman" w:hAnsi="Times New Roman"/>
                <w:w w:val="66"/>
              </w:rPr>
            </w:pPr>
            <w:r>
              <w:rPr>
                <w:rFonts w:ascii="Times New Roman" w:hAnsi="Times New Roman"/>
                <w:w w:val="66"/>
              </w:rPr>
              <w:t>溜破系统</w:t>
            </w:r>
          </w:p>
        </w:tc>
        <w:tc>
          <w:tcPr>
            <w:tcW w:w="457" w:type="pct"/>
            <w:noWrap/>
            <w:vAlign w:val="center"/>
          </w:tcPr>
          <w:p w14:paraId="7C288395">
            <w:pPr>
              <w:pStyle w:val="121"/>
              <w:rPr>
                <w:rFonts w:ascii="Times New Roman" w:hAnsi="Times New Roman"/>
                <w:w w:val="66"/>
              </w:rPr>
            </w:pPr>
          </w:p>
        </w:tc>
        <w:tc>
          <w:tcPr>
            <w:tcW w:w="633" w:type="pct"/>
            <w:noWrap/>
            <w:vAlign w:val="center"/>
          </w:tcPr>
          <w:p w14:paraId="53D6711D">
            <w:pPr>
              <w:pStyle w:val="121"/>
              <w:rPr>
                <w:rFonts w:ascii="Times New Roman" w:hAnsi="Times New Roman"/>
                <w:w w:val="66"/>
              </w:rPr>
            </w:pPr>
          </w:p>
        </w:tc>
        <w:tc>
          <w:tcPr>
            <w:tcW w:w="525" w:type="pct"/>
            <w:noWrap/>
            <w:vAlign w:val="center"/>
          </w:tcPr>
          <w:p w14:paraId="64BE53AE">
            <w:pPr>
              <w:pStyle w:val="121"/>
              <w:rPr>
                <w:rFonts w:ascii="Times New Roman" w:hAnsi="Times New Roman"/>
                <w:w w:val="66"/>
              </w:rPr>
            </w:pPr>
          </w:p>
        </w:tc>
        <w:tc>
          <w:tcPr>
            <w:tcW w:w="455" w:type="pct"/>
            <w:noWrap/>
            <w:vAlign w:val="center"/>
          </w:tcPr>
          <w:p w14:paraId="749D147F">
            <w:pPr>
              <w:pStyle w:val="121"/>
              <w:rPr>
                <w:rFonts w:ascii="Times New Roman" w:hAnsi="Times New Roman"/>
                <w:w w:val="66"/>
              </w:rPr>
            </w:pPr>
          </w:p>
        </w:tc>
        <w:tc>
          <w:tcPr>
            <w:tcW w:w="492" w:type="pct"/>
            <w:noWrap/>
            <w:vAlign w:val="center"/>
          </w:tcPr>
          <w:p w14:paraId="4928479E">
            <w:pPr>
              <w:pStyle w:val="121"/>
              <w:rPr>
                <w:rFonts w:ascii="Times New Roman" w:hAnsi="Times New Roman"/>
                <w:w w:val="66"/>
              </w:rPr>
            </w:pPr>
          </w:p>
        </w:tc>
        <w:tc>
          <w:tcPr>
            <w:tcW w:w="491" w:type="pct"/>
            <w:noWrap/>
            <w:vAlign w:val="center"/>
          </w:tcPr>
          <w:p w14:paraId="29505F6D">
            <w:pPr>
              <w:pStyle w:val="121"/>
              <w:rPr>
                <w:rFonts w:ascii="Times New Roman" w:hAnsi="Times New Roman"/>
                <w:w w:val="66"/>
              </w:rPr>
            </w:pPr>
          </w:p>
        </w:tc>
      </w:tr>
      <w:tr w14:paraId="3C8BD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6F87F486">
            <w:pPr>
              <w:pStyle w:val="121"/>
              <w:rPr>
                <w:rFonts w:ascii="Times New Roman" w:hAnsi="Times New Roman"/>
                <w:w w:val="66"/>
              </w:rPr>
            </w:pPr>
            <w:r>
              <w:rPr>
                <w:rFonts w:ascii="Times New Roman" w:hAnsi="Times New Roman"/>
                <w:w w:val="66"/>
              </w:rPr>
              <w:t>1</w:t>
            </w:r>
          </w:p>
        </w:tc>
        <w:tc>
          <w:tcPr>
            <w:tcW w:w="1604" w:type="pct"/>
            <w:noWrap/>
            <w:vAlign w:val="center"/>
          </w:tcPr>
          <w:p w14:paraId="4DBCA27A">
            <w:pPr>
              <w:pStyle w:val="121"/>
              <w:rPr>
                <w:rFonts w:ascii="Times New Roman" w:hAnsi="Times New Roman"/>
                <w:w w:val="66"/>
              </w:rPr>
            </w:pPr>
            <w:r>
              <w:rPr>
                <w:rFonts w:ascii="Times New Roman" w:hAnsi="Times New Roman"/>
                <w:w w:val="66"/>
              </w:rPr>
              <w:t>-</w:t>
            </w:r>
            <w:r>
              <w:rPr>
                <w:rFonts w:hint="eastAsia" w:ascii="Times New Roman" w:hAnsi="Times New Roman"/>
                <w:w w:val="66"/>
              </w:rPr>
              <w:t>90</w:t>
            </w:r>
            <w:r>
              <w:rPr>
                <w:rFonts w:ascii="Times New Roman" w:hAnsi="Times New Roman"/>
                <w:w w:val="66"/>
              </w:rPr>
              <w:t>5m破碎</w:t>
            </w:r>
            <w:r>
              <w:rPr>
                <w:rFonts w:hint="eastAsia" w:ascii="Times New Roman" w:hAnsi="Times New Roman"/>
                <w:w w:val="66"/>
              </w:rPr>
              <w:t>皮带道</w:t>
            </w:r>
            <w:r>
              <w:rPr>
                <w:rFonts w:ascii="Times New Roman" w:hAnsi="Times New Roman"/>
                <w:w w:val="66"/>
              </w:rPr>
              <w:t>水平副井石门</w:t>
            </w:r>
          </w:p>
        </w:tc>
        <w:tc>
          <w:tcPr>
            <w:tcW w:w="457" w:type="pct"/>
            <w:noWrap/>
            <w:vAlign w:val="center"/>
          </w:tcPr>
          <w:p w14:paraId="41E0E303">
            <w:pPr>
              <w:pStyle w:val="121"/>
              <w:rPr>
                <w:rFonts w:ascii="Times New Roman" w:hAnsi="Times New Roman"/>
                <w:w w:val="66"/>
              </w:rPr>
            </w:pPr>
            <w:r>
              <w:rPr>
                <w:rFonts w:hint="eastAsia" w:ascii="Times New Roman" w:hAnsi="Times New Roman"/>
                <w:w w:val="66"/>
              </w:rPr>
              <w:t>11.9</w:t>
            </w:r>
          </w:p>
        </w:tc>
        <w:tc>
          <w:tcPr>
            <w:tcW w:w="633" w:type="pct"/>
            <w:noWrap/>
            <w:vAlign w:val="center"/>
          </w:tcPr>
          <w:p w14:paraId="052EA1E1">
            <w:pPr>
              <w:pStyle w:val="121"/>
              <w:rPr>
                <w:rFonts w:ascii="Times New Roman" w:hAnsi="Times New Roman"/>
                <w:w w:val="66"/>
              </w:rPr>
            </w:pPr>
            <w:r>
              <w:rPr>
                <w:rFonts w:ascii="Times New Roman" w:hAnsi="Times New Roman"/>
                <w:w w:val="66"/>
              </w:rPr>
              <w:t>0.012</w:t>
            </w:r>
          </w:p>
        </w:tc>
        <w:tc>
          <w:tcPr>
            <w:tcW w:w="525" w:type="pct"/>
            <w:noWrap/>
            <w:vAlign w:val="center"/>
          </w:tcPr>
          <w:p w14:paraId="6904F134">
            <w:pPr>
              <w:pStyle w:val="121"/>
              <w:rPr>
                <w:rFonts w:ascii="Times New Roman" w:hAnsi="Times New Roman"/>
                <w:w w:val="66"/>
              </w:rPr>
            </w:pPr>
            <w:r>
              <w:rPr>
                <w:rFonts w:hint="eastAsia" w:ascii="Times New Roman" w:hAnsi="Times New Roman"/>
                <w:w w:val="66"/>
              </w:rPr>
              <w:t>45</w:t>
            </w:r>
          </w:p>
        </w:tc>
        <w:tc>
          <w:tcPr>
            <w:tcW w:w="455" w:type="pct"/>
            <w:noWrap/>
            <w:vAlign w:val="center"/>
          </w:tcPr>
          <w:p w14:paraId="7DA64821">
            <w:pPr>
              <w:pStyle w:val="121"/>
              <w:rPr>
                <w:rFonts w:ascii="Times New Roman" w:hAnsi="Times New Roman"/>
                <w:w w:val="66"/>
              </w:rPr>
            </w:pPr>
            <w:r>
              <w:rPr>
                <w:rFonts w:hint="eastAsia" w:ascii="Times New Roman" w:hAnsi="Times New Roman"/>
                <w:w w:val="66"/>
              </w:rPr>
              <w:t>-35.0</w:t>
            </w:r>
          </w:p>
        </w:tc>
        <w:tc>
          <w:tcPr>
            <w:tcW w:w="492" w:type="pct"/>
            <w:noWrap/>
            <w:vAlign w:val="center"/>
          </w:tcPr>
          <w:p w14:paraId="6F2A1DEF">
            <w:pPr>
              <w:pStyle w:val="121"/>
              <w:rPr>
                <w:rFonts w:ascii="Times New Roman" w:hAnsi="Times New Roman"/>
                <w:w w:val="66"/>
              </w:rPr>
            </w:pPr>
            <w:r>
              <w:rPr>
                <w:rFonts w:hint="eastAsia" w:ascii="Times New Roman" w:hAnsi="Times New Roman"/>
                <w:w w:val="66"/>
              </w:rPr>
              <w:t>3.8</w:t>
            </w:r>
          </w:p>
        </w:tc>
        <w:tc>
          <w:tcPr>
            <w:tcW w:w="491" w:type="pct"/>
            <w:noWrap/>
            <w:vAlign w:val="center"/>
          </w:tcPr>
          <w:p w14:paraId="3DCB5515">
            <w:pPr>
              <w:pStyle w:val="121"/>
              <w:rPr>
                <w:rFonts w:ascii="Times New Roman" w:hAnsi="Times New Roman"/>
                <w:w w:val="66"/>
              </w:rPr>
            </w:pPr>
            <w:r>
              <w:rPr>
                <w:rFonts w:ascii="Times New Roman" w:hAnsi="Times New Roman"/>
                <w:w w:val="66"/>
              </w:rPr>
              <w:t>6</w:t>
            </w:r>
          </w:p>
        </w:tc>
      </w:tr>
      <w:tr w14:paraId="4D146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43" w:type="pct"/>
            <w:noWrap/>
            <w:vAlign w:val="center"/>
          </w:tcPr>
          <w:p w14:paraId="5C09FA75">
            <w:pPr>
              <w:pStyle w:val="121"/>
              <w:rPr>
                <w:rFonts w:ascii="Times New Roman" w:hAnsi="Times New Roman"/>
                <w:w w:val="66"/>
              </w:rPr>
            </w:pPr>
            <w:r>
              <w:rPr>
                <w:rFonts w:ascii="Times New Roman" w:hAnsi="Times New Roman"/>
                <w:w w:val="66"/>
              </w:rPr>
              <w:t>2</w:t>
            </w:r>
          </w:p>
        </w:tc>
        <w:tc>
          <w:tcPr>
            <w:tcW w:w="1604" w:type="pct"/>
            <w:noWrap/>
            <w:vAlign w:val="center"/>
          </w:tcPr>
          <w:p w14:paraId="05DA3240">
            <w:pPr>
              <w:pStyle w:val="121"/>
              <w:rPr>
                <w:rFonts w:ascii="Times New Roman" w:hAnsi="Times New Roman"/>
                <w:w w:val="66"/>
              </w:rPr>
            </w:pPr>
            <w:r>
              <w:rPr>
                <w:rFonts w:hint="eastAsia" w:ascii="Times New Roman" w:hAnsi="Times New Roman"/>
                <w:w w:val="66"/>
              </w:rPr>
              <w:t>胶带斜井</w:t>
            </w:r>
          </w:p>
        </w:tc>
        <w:tc>
          <w:tcPr>
            <w:tcW w:w="457" w:type="pct"/>
            <w:noWrap/>
            <w:vAlign w:val="center"/>
          </w:tcPr>
          <w:p w14:paraId="3CC10908">
            <w:pPr>
              <w:pStyle w:val="121"/>
              <w:rPr>
                <w:rFonts w:ascii="Times New Roman" w:hAnsi="Times New Roman"/>
                <w:w w:val="66"/>
              </w:rPr>
            </w:pPr>
            <w:r>
              <w:rPr>
                <w:rFonts w:hint="eastAsia" w:ascii="Times New Roman" w:hAnsi="Times New Roman"/>
                <w:w w:val="66"/>
              </w:rPr>
              <w:t>20.57</w:t>
            </w:r>
          </w:p>
        </w:tc>
        <w:tc>
          <w:tcPr>
            <w:tcW w:w="633" w:type="pct"/>
            <w:noWrap/>
            <w:vAlign w:val="center"/>
          </w:tcPr>
          <w:p w14:paraId="6FF0E435">
            <w:pPr>
              <w:pStyle w:val="121"/>
              <w:rPr>
                <w:rFonts w:ascii="Times New Roman" w:hAnsi="Times New Roman"/>
                <w:w w:val="66"/>
              </w:rPr>
            </w:pPr>
            <w:r>
              <w:rPr>
                <w:rFonts w:ascii="Times New Roman" w:hAnsi="Times New Roman"/>
                <w:w w:val="66"/>
              </w:rPr>
              <w:t>0.012</w:t>
            </w:r>
          </w:p>
        </w:tc>
        <w:tc>
          <w:tcPr>
            <w:tcW w:w="525" w:type="pct"/>
            <w:noWrap/>
            <w:vAlign w:val="center"/>
          </w:tcPr>
          <w:p w14:paraId="076FB919">
            <w:pPr>
              <w:pStyle w:val="121"/>
              <w:rPr>
                <w:rFonts w:ascii="Times New Roman" w:hAnsi="Times New Roman"/>
                <w:w w:val="66"/>
              </w:rPr>
            </w:pPr>
            <w:r>
              <w:rPr>
                <w:rFonts w:hint="eastAsia" w:ascii="Times New Roman" w:hAnsi="Times New Roman"/>
                <w:w w:val="66"/>
              </w:rPr>
              <w:t>30</w:t>
            </w:r>
          </w:p>
        </w:tc>
        <w:tc>
          <w:tcPr>
            <w:tcW w:w="455" w:type="pct"/>
            <w:noWrap/>
            <w:vAlign w:val="center"/>
          </w:tcPr>
          <w:p w14:paraId="641CA0AA">
            <w:pPr>
              <w:pStyle w:val="121"/>
              <w:rPr>
                <w:rFonts w:ascii="Times New Roman" w:hAnsi="Times New Roman"/>
                <w:w w:val="66"/>
              </w:rPr>
            </w:pPr>
            <w:r>
              <w:rPr>
                <w:rFonts w:hint="eastAsia" w:ascii="Times New Roman" w:hAnsi="Times New Roman"/>
                <w:w w:val="66"/>
              </w:rPr>
              <w:t>-108.3</w:t>
            </w:r>
          </w:p>
        </w:tc>
        <w:tc>
          <w:tcPr>
            <w:tcW w:w="492" w:type="pct"/>
            <w:noWrap/>
            <w:vAlign w:val="center"/>
          </w:tcPr>
          <w:p w14:paraId="394C7685">
            <w:pPr>
              <w:pStyle w:val="121"/>
              <w:rPr>
                <w:rFonts w:ascii="Times New Roman" w:hAnsi="Times New Roman"/>
                <w:w w:val="66"/>
              </w:rPr>
            </w:pPr>
            <w:r>
              <w:rPr>
                <w:rFonts w:hint="eastAsia" w:ascii="Times New Roman" w:hAnsi="Times New Roman"/>
                <w:w w:val="66"/>
              </w:rPr>
              <w:t>1.4</w:t>
            </w:r>
          </w:p>
        </w:tc>
        <w:tc>
          <w:tcPr>
            <w:tcW w:w="491" w:type="pct"/>
            <w:noWrap/>
            <w:vAlign w:val="center"/>
          </w:tcPr>
          <w:p w14:paraId="456BA136">
            <w:pPr>
              <w:pStyle w:val="121"/>
              <w:rPr>
                <w:rFonts w:ascii="Times New Roman" w:hAnsi="Times New Roman"/>
                <w:w w:val="66"/>
              </w:rPr>
            </w:pPr>
            <w:r>
              <w:rPr>
                <w:rFonts w:ascii="Times New Roman" w:hAnsi="Times New Roman"/>
                <w:w w:val="66"/>
              </w:rPr>
              <w:t>6</w:t>
            </w:r>
          </w:p>
        </w:tc>
      </w:tr>
    </w:tbl>
    <w:p w14:paraId="778A16E2">
      <w:pPr>
        <w:adjustRightInd w:val="0"/>
        <w:snapToGrid w:val="0"/>
        <w:spacing w:line="360" w:lineRule="auto"/>
        <w:ind w:firstLine="560"/>
        <w:rPr>
          <w:rFonts w:cs="Times New Roman"/>
          <w:szCs w:val="28"/>
        </w:rPr>
      </w:pPr>
    </w:p>
    <w:p w14:paraId="2419BA08">
      <w:pPr>
        <w:adjustRightInd w:val="0"/>
        <w:snapToGrid w:val="0"/>
        <w:spacing w:line="360" w:lineRule="auto"/>
        <w:ind w:firstLine="560"/>
        <w:rPr>
          <w:rFonts w:asciiTheme="minorHAnsi" w:hAnsiTheme="minorHAnsi" w:eastAsiaTheme="minorEastAsia" w:cstheme="minorHAnsi"/>
          <w:szCs w:val="28"/>
        </w:rPr>
      </w:pPr>
      <w:r>
        <w:rPr>
          <w:rFonts w:hint="eastAsia" w:cs="Times New Roman"/>
          <w:szCs w:val="28"/>
        </w:rPr>
        <w:t>各井巷断面风速和风压均符合《金属非金属矿山安全规程》规定要求，符合通风安全标准。</w:t>
      </w:r>
    </w:p>
    <w:p w14:paraId="1FDB4271">
      <w:pPr>
        <w:widowControl/>
        <w:spacing w:line="240" w:lineRule="auto"/>
        <w:ind w:firstLine="0" w:firstLineChars="0"/>
        <w:jc w:val="left"/>
        <w:rPr>
          <w:rFonts w:asciiTheme="minorHAnsi" w:hAnsiTheme="minorHAnsi" w:cstheme="minorHAnsi"/>
          <w:b/>
          <w:szCs w:val="28"/>
        </w:rPr>
      </w:pPr>
      <w:r>
        <w:rPr>
          <w:rFonts w:asciiTheme="minorHAnsi" w:hAnsiTheme="minorHAnsi" w:cstheme="minorHAnsi"/>
          <w:b/>
          <w:szCs w:val="28"/>
        </w:rPr>
        <w:br w:type="page"/>
      </w:r>
    </w:p>
    <w:p w14:paraId="5832DD0A">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3.6.5评价小结</w:t>
      </w:r>
    </w:p>
    <w:p w14:paraId="3256B102">
      <w:pPr>
        <w:widowControl/>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可行性研究报告根据矿山的实际情况，设计了机械通风系统，在掘进工作面和通风不良的采场，安装局部通风设备，采场采用了</w:t>
      </w:r>
      <w:r>
        <w:rPr>
          <w:rFonts w:asciiTheme="minorHAnsi" w:hAnsiTheme="minorHAnsi" w:cstheme="minorHAnsi"/>
          <w:szCs w:val="24"/>
        </w:rPr>
        <w:t>贯穿风流通风方式，</w:t>
      </w:r>
      <w:r>
        <w:rPr>
          <w:rFonts w:asciiTheme="minorHAnsi" w:hAnsiTheme="minorHAnsi" w:cstheme="minorHAnsi"/>
          <w:szCs w:val="28"/>
        </w:rPr>
        <w:t>符合规程要求。</w:t>
      </w:r>
    </w:p>
    <w:p w14:paraId="42D1748A">
      <w:pPr>
        <w:adjustRightInd w:val="0"/>
        <w:snapToGrid w:val="0"/>
        <w:spacing w:line="360" w:lineRule="auto"/>
        <w:ind w:firstLine="560"/>
        <w:rPr>
          <w:rFonts w:asciiTheme="minorHAnsi" w:hAnsiTheme="minorHAnsi" w:cstheme="minorHAnsi"/>
          <w:szCs w:val="28"/>
        </w:rPr>
      </w:pPr>
      <w:r>
        <w:rPr>
          <w:rFonts w:asciiTheme="minorHAnsi" w:hAnsiTheme="minorHAnsi" w:cstheme="minorHAnsi"/>
          <w:szCs w:val="28"/>
        </w:rPr>
        <w:t>通风系统危险有害因素有：中毒窒息、机械伤害、触电和物体打击，该项目开采深度大，通风线路较长，引发中毒窒息的几率较大，故应对中毒窒息加强重视。</w:t>
      </w:r>
    </w:p>
    <w:p w14:paraId="7870B1AA">
      <w:pPr>
        <w:adjustRightInd w:val="0"/>
        <w:snapToGrid w:val="0"/>
        <w:spacing w:line="360" w:lineRule="auto"/>
        <w:ind w:firstLine="562"/>
        <w:rPr>
          <w:rFonts w:asciiTheme="minorHAnsi" w:hAnsiTheme="minorHAnsi" w:cstheme="minorHAnsi"/>
          <w:b/>
          <w:bCs/>
          <w:szCs w:val="28"/>
        </w:rPr>
      </w:pPr>
      <w:r>
        <w:rPr>
          <w:rFonts w:asciiTheme="minorHAnsi" w:hAnsiTheme="minorHAnsi" w:cstheme="minorHAnsi"/>
          <w:b/>
          <w:bCs/>
          <w:szCs w:val="28"/>
        </w:rPr>
        <w:t>下一阶段设计中尚需完善以下几个方面：</w:t>
      </w:r>
    </w:p>
    <w:p w14:paraId="4B3C7903">
      <w:pPr>
        <w:adjustRightInd w:val="0"/>
        <w:snapToGrid w:val="0"/>
        <w:spacing w:line="360" w:lineRule="auto"/>
        <w:ind w:firstLine="560"/>
        <w:rPr>
          <w:rFonts w:asciiTheme="minorHAnsi" w:hAnsiTheme="minorHAnsi" w:cstheme="minorHAnsi"/>
          <w:szCs w:val="28"/>
        </w:rPr>
      </w:pPr>
      <w:bookmarkStart w:id="112" w:name="_Hlk173162532"/>
      <w:r>
        <w:rPr>
          <w:rFonts w:hint="eastAsia" w:asciiTheme="minorHAnsi" w:hAnsiTheme="minorHAnsi" w:cstheme="minorHAnsi"/>
          <w:szCs w:val="28"/>
        </w:rPr>
        <w:t>（1）下阶段设计风量计算应加入对机电硐室供给新鲜风流的计算内容。</w:t>
      </w:r>
    </w:p>
    <w:p w14:paraId="4A22E63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由于通风线路较长，且为多级机站通风，为了防止风流短路、漏风现象，要增设好通风构筑物（风窗、风门、风墙等），对废弃巷道及时封闭；为防止风量分配不合理，应对风量定期进行检测，并及时对风量进行调整。</w:t>
      </w:r>
    </w:p>
    <w:p w14:paraId="1BA3AE9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（3）为防止风量分配不合理，应对风量定期进行检测，并及时对风量进行调整。</w:t>
      </w:r>
    </w:p>
    <w:p w14:paraId="3D2E439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4</w:t>
      </w:r>
      <w:r>
        <w:rPr>
          <w:rFonts w:hint="eastAsia" w:asciiTheme="minorHAnsi" w:hAnsiTheme="minorHAnsi" w:cstheme="minorHAnsi"/>
          <w:szCs w:val="28"/>
        </w:rPr>
        <w:t>）</w:t>
      </w:r>
      <w:r>
        <w:rPr>
          <w:rFonts w:asciiTheme="minorHAnsi" w:hAnsiTheme="minorHAnsi" w:cstheme="minorHAnsi"/>
          <w:szCs w:val="28"/>
        </w:rPr>
        <w:t>建议在主要采掘工作面和通风机房设置风速风压传感器，实现对全矿井风量、风速、风压的动态监测。通过自动化监测系统，可以实时掌握通风状况，及时发现和处理通风异常，确保通风系统的安全和有效运行。</w:t>
      </w:r>
    </w:p>
    <w:p w14:paraId="32E2B1F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w:t>
      </w:r>
      <w:r>
        <w:rPr>
          <w:rFonts w:asciiTheme="minorHAnsi" w:hAnsiTheme="minorHAnsi" w:cstheme="minorHAnsi"/>
          <w:szCs w:val="28"/>
        </w:rPr>
        <w:t>制定详细的通风设施维护计划，包括定期检查和维修主通风机、局部通风设备、风门和调节风门等。及时发现和处理设备故障，保证通风系统的持续稳定运行。</w:t>
      </w:r>
    </w:p>
    <w:p w14:paraId="3DD25BF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w:t>
      </w:r>
      <w:r>
        <w:rPr>
          <w:rFonts w:asciiTheme="minorHAnsi" w:hAnsiTheme="minorHAnsi" w:cstheme="minorHAnsi"/>
          <w:szCs w:val="28"/>
        </w:rPr>
        <w:t>在需要控制风流的地方合理设置风门和调节风门，确保风流路径畅通，避免因风门位置不当导致的风流短路或风流不均匀现象。</w:t>
      </w:r>
    </w:p>
    <w:p w14:paraId="4A1E3F7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7</w:t>
      </w:r>
      <w:r>
        <w:rPr>
          <w:rFonts w:hint="eastAsia" w:asciiTheme="minorHAnsi" w:hAnsiTheme="minorHAnsi" w:cstheme="minorHAnsi"/>
          <w:szCs w:val="28"/>
        </w:rPr>
        <w:t>）</w:t>
      </w:r>
      <w:r>
        <w:rPr>
          <w:rFonts w:asciiTheme="minorHAnsi" w:hAnsiTheme="minorHAnsi" w:cstheme="minorHAnsi"/>
          <w:szCs w:val="28"/>
        </w:rPr>
        <w:t>随着矿山开采工作的推进，通风需求可能会发生变化。建议定期评估和调整通风系统，根据实际需要增加或调整通风设备，确保每个工作面都有足够的新鲜空气供应。</w:t>
      </w:r>
    </w:p>
    <w:p w14:paraId="6B4C989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（8）下一步设计阶段应对井下各通风基站位置及主扇安装位置、风速、风量进行明确。</w:t>
      </w:r>
    </w:p>
    <w:p w14:paraId="3B8D347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9）彭集铁矿二期开采深度已经超过800m，依据勘探报告预测矿床最低开采深度-1000m的地温为31.2℃，会面临高温热害问题，下一步设计阶段，在风量计算中，作业面风速、二期破碎硐室等位置应按照排热风速计算需风量。</w:t>
      </w:r>
    </w:p>
    <w:bookmarkEnd w:id="112"/>
    <w:p w14:paraId="05765975">
      <w:pPr>
        <w:pStyle w:val="4"/>
        <w:spacing w:before="190" w:after="190" w:line="360" w:lineRule="exact"/>
        <w:rPr>
          <w:rFonts w:asciiTheme="minorHAnsi" w:hAnsiTheme="minorHAnsi" w:cstheme="minorHAnsi"/>
        </w:rPr>
      </w:pPr>
      <w:bookmarkStart w:id="113" w:name="_Toc10259"/>
      <w:bookmarkStart w:id="114" w:name="_Toc199426943"/>
      <w:r>
        <w:rPr>
          <w:rFonts w:asciiTheme="minorHAnsi" w:hAnsiTheme="minorHAnsi" w:cstheme="minorHAnsi"/>
        </w:rPr>
        <w:t>3.7防排水与防灭火单元</w:t>
      </w:r>
      <w:bookmarkEnd w:id="113"/>
      <w:bookmarkEnd w:id="114"/>
    </w:p>
    <w:p w14:paraId="28529614">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3.7.1防排水子单元</w:t>
      </w:r>
    </w:p>
    <w:p w14:paraId="03543611">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（1）</w:t>
      </w:r>
      <w:r>
        <w:rPr>
          <w:rFonts w:asciiTheme="minorHAnsi" w:hAnsiTheme="minorHAnsi" w:cstheme="minorHAnsi"/>
          <w:b/>
          <w:bCs/>
          <w:szCs w:val="28"/>
        </w:rPr>
        <w:t>危险、有害因素辨识与分析</w:t>
      </w:r>
    </w:p>
    <w:p w14:paraId="50AAD183">
      <w:pPr>
        <w:spacing w:line="360" w:lineRule="auto"/>
        <w:ind w:firstLine="560"/>
        <w:rPr>
          <w:rFonts w:asciiTheme="minorHAnsi" w:hAnsiTheme="minorHAnsi" w:cstheme="minorHAnsi"/>
          <w:szCs w:val="24"/>
        </w:rPr>
      </w:pPr>
      <w:r>
        <w:rPr>
          <w:rFonts w:asciiTheme="minorHAnsi" w:hAnsiTheme="minorHAnsi" w:cstheme="minorHAnsi"/>
          <w:szCs w:val="24"/>
        </w:rPr>
        <w:t>该项目地下开采排水系统中存在危险有害因素为主要有透水、机械伤害、淹溺。</w:t>
      </w:r>
    </w:p>
    <w:p w14:paraId="4434764B">
      <w:pPr>
        <w:spacing w:line="360" w:lineRule="auto"/>
        <w:ind w:firstLine="560"/>
        <w:rPr>
          <w:rFonts w:asciiTheme="minorHAnsi" w:hAnsiTheme="minorHAnsi" w:cstheme="minorHAnsi"/>
          <w:szCs w:val="24"/>
        </w:rPr>
      </w:pPr>
      <w:r>
        <w:rPr>
          <w:rFonts w:asciiTheme="minorHAnsi" w:hAnsiTheme="minorHAnsi" w:cstheme="minorHAnsi"/>
          <w:szCs w:val="24"/>
        </w:rPr>
        <w:t>1）多雨季节，地表水可能会从井口或地表裂缝进入井下，引起井下透水。</w:t>
      </w:r>
    </w:p>
    <w:p w14:paraId="2BAAF4B6">
      <w:pPr>
        <w:spacing w:line="360" w:lineRule="auto"/>
        <w:ind w:firstLine="560"/>
        <w:rPr>
          <w:rFonts w:asciiTheme="minorHAnsi" w:hAnsiTheme="minorHAnsi" w:cstheme="minorHAnsi"/>
          <w:szCs w:val="24"/>
        </w:rPr>
      </w:pPr>
      <w:r>
        <w:rPr>
          <w:rFonts w:asciiTheme="minorHAnsi" w:hAnsiTheme="minorHAnsi" w:cstheme="minorHAnsi"/>
          <w:szCs w:val="24"/>
        </w:rPr>
        <w:t>2）矿床开采时破坏了原有隔水岩层而形成人为充水通道，可能使上部含水层内的地下水大量涌出，导致井下透水。</w:t>
      </w:r>
    </w:p>
    <w:p w14:paraId="587ABF4F">
      <w:pPr>
        <w:spacing w:line="360" w:lineRule="auto"/>
        <w:ind w:firstLine="560"/>
        <w:rPr>
          <w:rFonts w:asciiTheme="minorHAnsi" w:hAnsiTheme="minorHAnsi" w:cstheme="minorHAnsi"/>
          <w:szCs w:val="24"/>
        </w:rPr>
      </w:pPr>
      <w:r>
        <w:rPr>
          <w:rFonts w:asciiTheme="minorHAnsi" w:hAnsiTheme="minorHAnsi" w:cstheme="minorHAnsi"/>
          <w:szCs w:val="24"/>
        </w:rPr>
        <w:t>3）防、排水设备未按设计要求进行选择、井下巷道无排水沟或排水沟排水能力不足、排水管、水泵等未及时检查、维护等原因可能会造成透水事故。</w:t>
      </w:r>
    </w:p>
    <w:p w14:paraId="780A27B1">
      <w:pPr>
        <w:spacing w:line="360" w:lineRule="auto"/>
        <w:ind w:firstLine="560"/>
        <w:rPr>
          <w:rFonts w:asciiTheme="minorHAnsi" w:hAnsiTheme="minorHAnsi" w:cstheme="minorHAnsi"/>
          <w:szCs w:val="24"/>
        </w:rPr>
      </w:pPr>
      <w:r>
        <w:rPr>
          <w:rFonts w:asciiTheme="minorHAnsi" w:hAnsiTheme="minorHAnsi" w:cstheme="minorHAnsi"/>
          <w:szCs w:val="24"/>
        </w:rPr>
        <w:t>4）水泵外露传动部位未采取有效的防护措施等原因可能会造成机械伤害事故；</w:t>
      </w:r>
    </w:p>
    <w:p w14:paraId="38A1A404">
      <w:pPr>
        <w:spacing w:line="360" w:lineRule="auto"/>
        <w:ind w:firstLine="560"/>
        <w:rPr>
          <w:rFonts w:asciiTheme="minorHAnsi" w:hAnsiTheme="minorHAnsi" w:cstheme="minorHAnsi"/>
          <w:szCs w:val="24"/>
        </w:rPr>
      </w:pPr>
      <w:r>
        <w:rPr>
          <w:rFonts w:asciiTheme="minorHAnsi" w:hAnsiTheme="minorHAnsi" w:cstheme="minorHAnsi"/>
          <w:szCs w:val="24"/>
        </w:rPr>
        <w:t>5）水仓未封闭或未设置护栏等原因可能造成淹溺事故。</w:t>
      </w:r>
    </w:p>
    <w:p w14:paraId="2C1E0AE4">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（2）</w:t>
      </w:r>
      <w:r>
        <w:rPr>
          <w:rFonts w:asciiTheme="minorHAnsi" w:hAnsiTheme="minorHAnsi" w:cstheme="minorHAnsi"/>
          <w:b/>
          <w:bCs/>
          <w:szCs w:val="28"/>
        </w:rPr>
        <w:t>预先危险性分析（PHA）</w:t>
      </w:r>
    </w:p>
    <w:p w14:paraId="179493B7">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表3.7-1  防排水子单元预先危险性分析表</w:t>
      </w:r>
    </w:p>
    <w:tbl>
      <w:tblPr>
        <w:tblStyle w:val="5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28"/>
        <w:gridCol w:w="3347"/>
        <w:gridCol w:w="908"/>
        <w:gridCol w:w="1064"/>
        <w:gridCol w:w="3267"/>
      </w:tblGrid>
      <w:tr w14:paraId="41CBDA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blHeader/>
          <w:jc w:val="center"/>
        </w:trPr>
        <w:tc>
          <w:tcPr>
            <w:tcW w:w="488" w:type="pct"/>
            <w:vAlign w:val="center"/>
          </w:tcPr>
          <w:p w14:paraId="39F38083">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4D9601CC">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因素</w:t>
            </w:r>
          </w:p>
        </w:tc>
        <w:tc>
          <w:tcPr>
            <w:tcW w:w="1759" w:type="pct"/>
            <w:vAlign w:val="center"/>
          </w:tcPr>
          <w:p w14:paraId="0ECFD1A5">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477" w:type="pct"/>
            <w:vAlign w:val="center"/>
          </w:tcPr>
          <w:p w14:paraId="55AA54F2">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559" w:type="pct"/>
            <w:vAlign w:val="center"/>
          </w:tcPr>
          <w:p w14:paraId="0289B5FD">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781757DD">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717" w:type="pct"/>
            <w:vAlign w:val="center"/>
          </w:tcPr>
          <w:p w14:paraId="3292B8E4">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4C1BFF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88" w:type="pct"/>
            <w:vAlign w:val="center"/>
          </w:tcPr>
          <w:p w14:paraId="447BA231">
            <w:pPr>
              <w:spacing w:line="32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透水</w:t>
            </w:r>
          </w:p>
        </w:tc>
        <w:tc>
          <w:tcPr>
            <w:tcW w:w="1759" w:type="pct"/>
            <w:vAlign w:val="center"/>
          </w:tcPr>
          <w:p w14:paraId="5609FDDA">
            <w:pPr>
              <w:spacing w:line="380" w:lineRule="exact"/>
              <w:ind w:firstLine="0" w:firstLineChars="0"/>
              <w:rPr>
                <w:rFonts w:asciiTheme="minorHAnsi" w:hAnsiTheme="minorHAnsi" w:cstheme="minorHAnsi"/>
                <w:sz w:val="21"/>
                <w:szCs w:val="21"/>
              </w:rPr>
            </w:pPr>
            <w:r>
              <w:rPr>
                <w:rFonts w:asciiTheme="minorHAnsi" w:hAnsiTheme="minorHAnsi" w:cstheme="minorHAnsi"/>
                <w:sz w:val="21"/>
                <w:szCs w:val="24"/>
              </w:rPr>
              <w:t>地表水量较大，未采取合理的防排水措施，地表水涌入井下；地下涌水量较大，地表水、第四系含水层、天窗与下部含水层之间的水力联系不清，地下涌水量预测偏小，防、排水设备能力不够；未合理设置防水矿(岩)柱。</w:t>
            </w:r>
          </w:p>
        </w:tc>
        <w:tc>
          <w:tcPr>
            <w:tcW w:w="477" w:type="pct"/>
            <w:vAlign w:val="center"/>
          </w:tcPr>
          <w:p w14:paraId="585C7C0B">
            <w:pPr>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人员伤亡影响生产</w:t>
            </w:r>
          </w:p>
        </w:tc>
        <w:tc>
          <w:tcPr>
            <w:tcW w:w="559" w:type="pct"/>
            <w:vAlign w:val="center"/>
          </w:tcPr>
          <w:p w14:paraId="6F0FA8C1">
            <w:pPr>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Ⅳ</w:t>
            </w:r>
          </w:p>
        </w:tc>
        <w:tc>
          <w:tcPr>
            <w:tcW w:w="1717" w:type="pct"/>
            <w:vAlign w:val="center"/>
          </w:tcPr>
          <w:p w14:paraId="46C9F07F">
            <w:pPr>
              <w:spacing w:line="380" w:lineRule="exact"/>
              <w:ind w:firstLine="0" w:firstLineChars="0"/>
              <w:rPr>
                <w:rFonts w:asciiTheme="minorHAnsi" w:hAnsiTheme="minorHAnsi" w:cstheme="minorHAnsi"/>
                <w:sz w:val="21"/>
                <w:szCs w:val="21"/>
              </w:rPr>
            </w:pPr>
            <w:r>
              <w:rPr>
                <w:rFonts w:asciiTheme="minorHAnsi" w:hAnsiTheme="minorHAnsi" w:cstheme="minorHAnsi"/>
                <w:sz w:val="21"/>
                <w:szCs w:val="24"/>
              </w:rPr>
              <w:t>掘进过程中应采取超前探水和防排水措施；充分</w:t>
            </w:r>
            <w:r>
              <w:rPr>
                <w:rFonts w:asciiTheme="minorHAnsi" w:hAnsiTheme="minorHAnsi" w:cstheme="minorHAnsi"/>
                <w:sz w:val="21"/>
                <w:szCs w:val="21"/>
              </w:rPr>
              <w:t>考虑地表河流、第四系含水层以及“天窗”的影响，对井下水仓、水泵、防水矿(岩)柱、排水沟等进行合理设计；</w:t>
            </w:r>
            <w:r>
              <w:rPr>
                <w:rFonts w:asciiTheme="minorHAnsi" w:hAnsiTheme="minorHAnsi" w:cstheme="minorHAnsi"/>
                <w:sz w:val="21"/>
                <w:szCs w:val="24"/>
              </w:rPr>
              <w:t>有用的钻孔，应妥善封盖；报废的钻孔应封闭；</w:t>
            </w:r>
            <w:r>
              <w:rPr>
                <w:rFonts w:asciiTheme="minorHAnsi" w:hAnsiTheme="minorHAnsi" w:cstheme="minorHAnsi"/>
                <w:sz w:val="21"/>
                <w:szCs w:val="21"/>
              </w:rPr>
              <w:t>加强防排水使用管理；雨季加强防排水设施的维护做好夏季防汛准备。</w:t>
            </w:r>
          </w:p>
        </w:tc>
      </w:tr>
      <w:tr w14:paraId="2A0000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88" w:type="pct"/>
            <w:vAlign w:val="center"/>
          </w:tcPr>
          <w:p w14:paraId="692D150C">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机械伤害</w:t>
            </w:r>
          </w:p>
        </w:tc>
        <w:tc>
          <w:tcPr>
            <w:tcW w:w="1759" w:type="pct"/>
            <w:vAlign w:val="center"/>
          </w:tcPr>
          <w:p w14:paraId="018D4ED8">
            <w:pPr>
              <w:spacing w:line="380" w:lineRule="exact"/>
              <w:ind w:firstLine="0" w:firstLineChars="0"/>
              <w:rPr>
                <w:rFonts w:asciiTheme="minorHAnsi" w:hAnsiTheme="minorHAnsi" w:cstheme="minorHAnsi"/>
                <w:sz w:val="21"/>
                <w:szCs w:val="21"/>
              </w:rPr>
            </w:pPr>
            <w:r>
              <w:rPr>
                <w:rFonts w:asciiTheme="minorHAnsi" w:hAnsiTheme="minorHAnsi" w:cstheme="minorHAnsi"/>
                <w:sz w:val="21"/>
                <w:szCs w:val="21"/>
              </w:rPr>
              <w:t>水泵外露传动部位未采取有效的防护措施：如防护罩等；设备自身缺陷，安装、维护、使用不当；违章作业和操作失误；照明度不够或对设备的危险部位未设置警示标志。</w:t>
            </w:r>
          </w:p>
        </w:tc>
        <w:tc>
          <w:tcPr>
            <w:tcW w:w="477" w:type="pct"/>
            <w:vAlign w:val="center"/>
          </w:tcPr>
          <w:p w14:paraId="25167403">
            <w:pPr>
              <w:tabs>
                <w:tab w:val="left" w:pos="1260"/>
                <w:tab w:val="left" w:leader="middleDot" w:pos="7560"/>
              </w:tabs>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人员伤亡设备损坏</w:t>
            </w:r>
          </w:p>
        </w:tc>
        <w:tc>
          <w:tcPr>
            <w:tcW w:w="559" w:type="pct"/>
            <w:vAlign w:val="center"/>
          </w:tcPr>
          <w:p w14:paraId="696D4BC3">
            <w:pPr>
              <w:spacing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717" w:type="pct"/>
            <w:vAlign w:val="center"/>
          </w:tcPr>
          <w:p w14:paraId="210077C8">
            <w:pPr>
              <w:spacing w:line="380" w:lineRule="exact"/>
              <w:ind w:firstLine="0" w:firstLineChars="0"/>
              <w:rPr>
                <w:rFonts w:asciiTheme="minorHAnsi" w:hAnsiTheme="minorHAnsi" w:cstheme="minorHAnsi"/>
                <w:sz w:val="21"/>
                <w:szCs w:val="21"/>
              </w:rPr>
            </w:pPr>
            <w:r>
              <w:rPr>
                <w:rFonts w:asciiTheme="minorHAnsi" w:hAnsiTheme="minorHAnsi" w:cstheme="minorHAnsi"/>
                <w:sz w:val="21"/>
                <w:szCs w:val="21"/>
              </w:rPr>
              <w:t>采取合理的防护措施；保持设备自身状态良好；正确安装、维护和使用；严禁违章作业；应尽量避免操作失误；应有足够的照明度；对设备的危险部位设置警示标志。</w:t>
            </w:r>
          </w:p>
        </w:tc>
      </w:tr>
      <w:tr w14:paraId="78442D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88" w:type="pct"/>
            <w:vAlign w:val="center"/>
          </w:tcPr>
          <w:p w14:paraId="5D1009F5">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淹溺</w:t>
            </w:r>
          </w:p>
        </w:tc>
        <w:tc>
          <w:tcPr>
            <w:tcW w:w="1759" w:type="pct"/>
            <w:vAlign w:val="center"/>
          </w:tcPr>
          <w:p w14:paraId="4B5ADE29">
            <w:pPr>
              <w:spacing w:before="114" w:beforeLines="30" w:after="114" w:afterLines="30" w:line="380" w:lineRule="exact"/>
              <w:ind w:firstLine="0" w:firstLineChars="0"/>
              <w:rPr>
                <w:rFonts w:asciiTheme="minorHAnsi" w:hAnsiTheme="minorHAnsi" w:cstheme="minorHAnsi"/>
                <w:sz w:val="21"/>
                <w:szCs w:val="21"/>
              </w:rPr>
            </w:pPr>
            <w:r>
              <w:rPr>
                <w:rFonts w:asciiTheme="minorHAnsi" w:hAnsiTheme="minorHAnsi" w:cstheme="minorHAnsi"/>
                <w:sz w:val="21"/>
                <w:szCs w:val="21"/>
              </w:rPr>
              <w:t>水仓未封闭或未设置护栏；未设置安全警示标志；人员安全意识不强。</w:t>
            </w:r>
          </w:p>
        </w:tc>
        <w:tc>
          <w:tcPr>
            <w:tcW w:w="477" w:type="pct"/>
            <w:vAlign w:val="center"/>
          </w:tcPr>
          <w:p w14:paraId="7809A2C8">
            <w:pPr>
              <w:spacing w:before="114" w:beforeLines="30" w:after="114" w:afterLines="30" w:line="380" w:lineRule="exact"/>
              <w:ind w:firstLine="0" w:firstLineChars="0"/>
              <w:jc w:val="center"/>
              <w:rPr>
                <w:rFonts w:asciiTheme="minorHAnsi" w:hAnsiTheme="minorHAnsi" w:cstheme="minorHAnsi"/>
                <w:sz w:val="21"/>
                <w:szCs w:val="21"/>
              </w:rPr>
            </w:pPr>
            <w:r>
              <w:rPr>
                <w:rFonts w:asciiTheme="minorHAnsi" w:hAnsiTheme="minorHAnsi" w:cstheme="minorHAnsi"/>
                <w:bCs/>
                <w:sz w:val="21"/>
                <w:szCs w:val="21"/>
              </w:rPr>
              <w:t>人员伤亡</w:t>
            </w:r>
          </w:p>
        </w:tc>
        <w:tc>
          <w:tcPr>
            <w:tcW w:w="559" w:type="pct"/>
            <w:vAlign w:val="center"/>
          </w:tcPr>
          <w:p w14:paraId="24B6D555">
            <w:pPr>
              <w:spacing w:before="114" w:beforeLines="30" w:after="114" w:afterLines="30" w:line="38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717" w:type="pct"/>
            <w:vAlign w:val="center"/>
          </w:tcPr>
          <w:p w14:paraId="1522EF54">
            <w:pPr>
              <w:spacing w:line="380" w:lineRule="exact"/>
              <w:ind w:firstLine="0" w:firstLineChars="0"/>
              <w:rPr>
                <w:rFonts w:asciiTheme="minorHAnsi" w:hAnsiTheme="minorHAnsi" w:cstheme="minorHAnsi"/>
                <w:sz w:val="21"/>
                <w:szCs w:val="21"/>
              </w:rPr>
            </w:pPr>
            <w:r>
              <w:rPr>
                <w:rFonts w:asciiTheme="minorHAnsi" w:hAnsiTheme="minorHAnsi" w:cstheme="minorHAnsi"/>
                <w:sz w:val="21"/>
                <w:szCs w:val="21"/>
              </w:rPr>
              <w:t>水仓应封闭或设置护栏；应在危险部位设置安全警示标志；加强安全教育使人员提高安全意识。</w:t>
            </w:r>
          </w:p>
        </w:tc>
      </w:tr>
    </w:tbl>
    <w:p w14:paraId="6AA59096">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（3）</w:t>
      </w:r>
      <w:r>
        <w:rPr>
          <w:rFonts w:asciiTheme="minorHAnsi" w:hAnsiTheme="minorHAnsi" w:cstheme="minorHAnsi"/>
          <w:b/>
          <w:bCs/>
          <w:szCs w:val="28"/>
        </w:rPr>
        <w:t>安全检查表法</w:t>
      </w:r>
    </w:p>
    <w:p w14:paraId="6CA8BB8E">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表3.7-2 防排水子单元安全检查表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3800"/>
        <w:gridCol w:w="2120"/>
        <w:gridCol w:w="2320"/>
        <w:gridCol w:w="811"/>
      </w:tblGrid>
      <w:tr w14:paraId="018FE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44" w:type="pct"/>
            <w:tcBorders>
              <w:top w:val="single" w:color="auto" w:sz="4" w:space="0"/>
              <w:left w:val="single" w:color="auto" w:sz="4" w:space="0"/>
              <w:bottom w:val="single" w:color="auto" w:sz="4" w:space="0"/>
              <w:right w:val="single" w:color="auto" w:sz="4" w:space="0"/>
            </w:tcBorders>
            <w:vAlign w:val="center"/>
          </w:tcPr>
          <w:p w14:paraId="20303A76">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997" w:type="pct"/>
            <w:tcBorders>
              <w:top w:val="single" w:color="auto" w:sz="4" w:space="0"/>
              <w:left w:val="single" w:color="auto" w:sz="4" w:space="0"/>
              <w:bottom w:val="single" w:color="auto" w:sz="4" w:space="0"/>
              <w:right w:val="single" w:color="auto" w:sz="4" w:space="0"/>
            </w:tcBorders>
            <w:vAlign w:val="center"/>
          </w:tcPr>
          <w:p w14:paraId="753F8EB7">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114" w:type="pct"/>
            <w:tcBorders>
              <w:top w:val="single" w:color="auto" w:sz="4" w:space="0"/>
              <w:left w:val="single" w:color="auto" w:sz="4" w:space="0"/>
              <w:bottom w:val="single" w:color="auto" w:sz="4" w:space="0"/>
              <w:right w:val="single" w:color="auto" w:sz="4" w:space="0"/>
            </w:tcBorders>
            <w:vAlign w:val="center"/>
          </w:tcPr>
          <w:p w14:paraId="2252F81F">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219" w:type="pct"/>
            <w:tcBorders>
              <w:top w:val="single" w:color="auto" w:sz="4" w:space="0"/>
              <w:left w:val="single" w:color="auto" w:sz="4" w:space="0"/>
              <w:bottom w:val="single" w:color="auto" w:sz="4" w:space="0"/>
              <w:right w:val="single" w:color="auto" w:sz="4" w:space="0"/>
            </w:tcBorders>
            <w:vAlign w:val="center"/>
          </w:tcPr>
          <w:p w14:paraId="640577A1">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可研情况及说明</w:t>
            </w:r>
          </w:p>
        </w:tc>
        <w:tc>
          <w:tcPr>
            <w:tcW w:w="426" w:type="pct"/>
            <w:tcBorders>
              <w:top w:val="single" w:color="auto" w:sz="4" w:space="0"/>
              <w:left w:val="single" w:color="auto" w:sz="4" w:space="0"/>
              <w:bottom w:val="single" w:color="auto" w:sz="4" w:space="0"/>
              <w:right w:val="single" w:color="auto" w:sz="4" w:space="0"/>
            </w:tcBorders>
            <w:vAlign w:val="center"/>
          </w:tcPr>
          <w:p w14:paraId="40CB486F">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51A6A835">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1536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090EC9F3">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997" w:type="pct"/>
            <w:tcBorders>
              <w:top w:val="single" w:color="auto" w:sz="4" w:space="0"/>
              <w:left w:val="single" w:color="auto" w:sz="4" w:space="0"/>
              <w:bottom w:val="single" w:color="auto" w:sz="4" w:space="0"/>
              <w:right w:val="single" w:color="auto" w:sz="4" w:space="0"/>
            </w:tcBorders>
            <w:vAlign w:val="center"/>
          </w:tcPr>
          <w:p w14:paraId="17662B60">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应调查核实矿区范围内的小矿井、老井、老采空区、现有生产矿井的积水区、含水层、岩溶带、地质构造等详细情况，并填绘矿区水文地质图。</w:t>
            </w:r>
          </w:p>
        </w:tc>
        <w:tc>
          <w:tcPr>
            <w:tcW w:w="1114" w:type="pct"/>
            <w:tcBorders>
              <w:top w:val="single" w:color="auto" w:sz="4" w:space="0"/>
              <w:left w:val="single" w:color="auto" w:sz="4" w:space="0"/>
              <w:bottom w:val="single" w:color="auto" w:sz="4" w:space="0"/>
              <w:right w:val="single" w:color="auto" w:sz="4" w:space="0"/>
            </w:tcBorders>
            <w:vAlign w:val="center"/>
          </w:tcPr>
          <w:p w14:paraId="459AB46A">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5B0820FB">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61E636DE">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w:t>
            </w:r>
            <w:r>
              <w:rPr>
                <w:rFonts w:asciiTheme="minorHAnsi" w:hAnsiTheme="minorHAnsi" w:cstheme="minorHAnsi"/>
                <w:kern w:val="0"/>
                <w:sz w:val="21"/>
                <w:szCs w:val="21"/>
              </w:rPr>
              <w:t>6.8.3.1条</w:t>
            </w:r>
          </w:p>
        </w:tc>
        <w:tc>
          <w:tcPr>
            <w:tcW w:w="1219" w:type="pct"/>
            <w:tcBorders>
              <w:top w:val="single" w:color="auto" w:sz="4" w:space="0"/>
              <w:left w:val="single" w:color="auto" w:sz="4" w:space="0"/>
              <w:bottom w:val="single" w:color="auto" w:sz="4" w:space="0"/>
              <w:right w:val="single" w:color="auto" w:sz="4" w:space="0"/>
            </w:tcBorders>
            <w:vAlign w:val="center"/>
          </w:tcPr>
          <w:p w14:paraId="57D3BBE3">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查清矿区及其附近地表水流系统和汇水面积、河流沟渠汇水情况，并结合矿区特点建立和健全防水、排水系统。</w:t>
            </w:r>
          </w:p>
        </w:tc>
        <w:tc>
          <w:tcPr>
            <w:tcW w:w="426" w:type="pct"/>
            <w:tcBorders>
              <w:top w:val="single" w:color="auto" w:sz="4" w:space="0"/>
              <w:left w:val="single" w:color="auto" w:sz="4" w:space="0"/>
              <w:bottom w:val="single" w:color="auto" w:sz="4" w:space="0"/>
              <w:right w:val="single" w:color="auto" w:sz="4" w:space="0"/>
            </w:tcBorders>
            <w:vAlign w:val="center"/>
          </w:tcPr>
          <w:p w14:paraId="70DBDA1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D4B84E5">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109B9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5623A0A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997" w:type="pct"/>
            <w:tcBorders>
              <w:left w:val="single" w:color="auto" w:sz="4" w:space="0"/>
              <w:bottom w:val="single" w:color="auto" w:sz="4" w:space="0"/>
              <w:right w:val="single" w:color="auto" w:sz="4" w:space="0"/>
            </w:tcBorders>
            <w:vAlign w:val="center"/>
          </w:tcPr>
          <w:p w14:paraId="2FD7935E">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矿山井下最低中段的主水泵房和变电所的进口应装设防水门，防水门压力等级不低于0.1MPa。水仓与水泵房之间应隔开，隔墙、水仓与配水井之间的配水阀的压力等级应与防水门相同。</w:t>
            </w:r>
          </w:p>
          <w:p w14:paraId="7C3D4F6B">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通往强含水带、积水区、有可能突然大量涌水区域的巷道和专用的截水、放水巷道应设置防水门。防水门压力等级应高于其承受的静压。</w:t>
            </w:r>
          </w:p>
          <w:p w14:paraId="571CA6A5">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防水门应设置在岩石稳固的地点，由专人管理，定期维修，确保可以随时启用。</w:t>
            </w:r>
          </w:p>
        </w:tc>
        <w:tc>
          <w:tcPr>
            <w:tcW w:w="1114" w:type="pct"/>
            <w:tcBorders>
              <w:left w:val="single" w:color="auto" w:sz="4" w:space="0"/>
              <w:bottom w:val="single" w:color="auto" w:sz="4" w:space="0"/>
              <w:right w:val="single" w:color="auto" w:sz="4" w:space="0"/>
            </w:tcBorders>
            <w:vAlign w:val="center"/>
          </w:tcPr>
          <w:p w14:paraId="0131DBA4">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70C3D1E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23598FE0">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w:t>
            </w:r>
            <w:r>
              <w:rPr>
                <w:rFonts w:asciiTheme="minorHAnsi" w:hAnsiTheme="minorHAnsi" w:cstheme="minorHAnsi"/>
                <w:kern w:val="0"/>
                <w:sz w:val="21"/>
                <w:szCs w:val="21"/>
              </w:rPr>
              <w:t>6.8.3.3条</w:t>
            </w:r>
          </w:p>
        </w:tc>
        <w:tc>
          <w:tcPr>
            <w:tcW w:w="1219" w:type="pct"/>
            <w:tcBorders>
              <w:left w:val="single" w:color="auto" w:sz="4" w:space="0"/>
              <w:bottom w:val="single" w:color="auto" w:sz="4" w:space="0"/>
              <w:right w:val="single" w:color="auto" w:sz="4" w:space="0"/>
            </w:tcBorders>
            <w:vAlign w:val="center"/>
          </w:tcPr>
          <w:p w14:paraId="3DF13F7E">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在水泵房及变配电硐室出口安装防水门，</w:t>
            </w:r>
            <w:r>
              <w:rPr>
                <w:rFonts w:hint="eastAsia" w:asciiTheme="minorHAnsi" w:hAnsiTheme="minorHAnsi" w:cstheme="minorHAnsi"/>
                <w:kern w:val="0"/>
                <w:sz w:val="21"/>
                <w:szCs w:val="21"/>
              </w:rPr>
              <w:t>可研未明确防水门承压等级。</w:t>
            </w:r>
            <w:r>
              <w:rPr>
                <w:rFonts w:asciiTheme="minorHAnsi" w:hAnsiTheme="minorHAnsi" w:cstheme="minorHAnsi"/>
                <w:kern w:val="0"/>
                <w:sz w:val="21"/>
                <w:szCs w:val="21"/>
              </w:rPr>
              <w:t xml:space="preserve"> </w:t>
            </w:r>
          </w:p>
        </w:tc>
        <w:tc>
          <w:tcPr>
            <w:tcW w:w="426" w:type="pct"/>
            <w:tcBorders>
              <w:left w:val="single" w:color="auto" w:sz="4" w:space="0"/>
              <w:bottom w:val="single" w:color="auto" w:sz="4" w:space="0"/>
              <w:right w:val="single" w:color="auto" w:sz="4" w:space="0"/>
            </w:tcBorders>
            <w:vAlign w:val="center"/>
          </w:tcPr>
          <w:p w14:paraId="6C2989E2">
            <w:pPr>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4"/>
              </w:rPr>
              <w:t>下阶段设计中需完善</w:t>
            </w:r>
          </w:p>
        </w:tc>
      </w:tr>
      <w:tr w14:paraId="5FB43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3C144D42">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997" w:type="pct"/>
            <w:tcBorders>
              <w:top w:val="single" w:color="auto" w:sz="4" w:space="0"/>
              <w:left w:val="single" w:color="auto" w:sz="4" w:space="0"/>
              <w:bottom w:val="single" w:color="auto" w:sz="4" w:space="0"/>
              <w:right w:val="single" w:color="auto" w:sz="4" w:space="0"/>
            </w:tcBorders>
            <w:vAlign w:val="center"/>
          </w:tcPr>
          <w:p w14:paraId="71E4B40A">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井下主要排水设备应包括工作水泵、备用水泵和检修水泵。只设3台水泵时，水泵型号应相同。</w:t>
            </w:r>
          </w:p>
          <w:p w14:paraId="6DDBE661">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应设工作排水管路和备用排水管路。水泵出口应直接与工作排水管路和备用排水管路连接。任意一条排水管路检修时，其他排水管路应能完成正常排水任务。</w:t>
            </w:r>
          </w:p>
        </w:tc>
        <w:tc>
          <w:tcPr>
            <w:tcW w:w="1114" w:type="pct"/>
            <w:tcBorders>
              <w:top w:val="single" w:color="auto" w:sz="4" w:space="0"/>
              <w:left w:val="single" w:color="auto" w:sz="4" w:space="0"/>
              <w:bottom w:val="single" w:color="auto" w:sz="4" w:space="0"/>
              <w:right w:val="single" w:color="auto" w:sz="4" w:space="0"/>
            </w:tcBorders>
            <w:vAlign w:val="center"/>
          </w:tcPr>
          <w:p w14:paraId="28221618">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3EB65E20">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（GB16423-2020）</w:t>
            </w:r>
          </w:p>
          <w:p w14:paraId="7545CF6F">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第</w:t>
            </w:r>
            <w:r>
              <w:rPr>
                <w:rFonts w:asciiTheme="minorHAnsi" w:hAnsiTheme="minorHAnsi" w:cstheme="minorHAnsi"/>
                <w:kern w:val="0"/>
                <w:sz w:val="21"/>
                <w:szCs w:val="21"/>
              </w:rPr>
              <w:t>6.8.4.3、6.8.4.4条</w:t>
            </w:r>
          </w:p>
        </w:tc>
        <w:tc>
          <w:tcPr>
            <w:tcW w:w="1219" w:type="pct"/>
            <w:tcBorders>
              <w:top w:val="single" w:color="auto" w:sz="4" w:space="0"/>
              <w:left w:val="single" w:color="auto" w:sz="4" w:space="0"/>
              <w:bottom w:val="single" w:color="auto" w:sz="4" w:space="0"/>
              <w:right w:val="single" w:color="auto" w:sz="4" w:space="0"/>
            </w:tcBorders>
            <w:vAlign w:val="center"/>
          </w:tcPr>
          <w:p w14:paraId="13AD29E7">
            <w:pPr>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一期在-505m水平设一座排水泵房，采用集中一段式排水方式，安装4台MD500-57×11型矿用耐磨多级离心泵，单台水泵流量500m</w:t>
            </w:r>
            <w:r>
              <w:rPr>
                <w:rFonts w:hint="eastAsia" w:asciiTheme="minorHAnsi" w:hAnsiTheme="minorHAnsi" w:cstheme="minorHAnsi"/>
                <w:kern w:val="0"/>
                <w:sz w:val="21"/>
                <w:szCs w:val="21"/>
                <w:vertAlign w:val="superscript"/>
              </w:rPr>
              <w:t>3</w:t>
            </w:r>
            <w:r>
              <w:rPr>
                <w:rFonts w:hint="eastAsia" w:asciiTheme="minorHAnsi" w:hAnsiTheme="minorHAnsi" w:cstheme="minorHAnsi"/>
                <w:kern w:val="0"/>
                <w:sz w:val="21"/>
                <w:szCs w:val="21"/>
              </w:rPr>
              <w:t>/h，扬程627m。井下正常涌水时，2台工作，1台备用，1台检修；最大排水量时，3台工作，1台检修。排水管道选用2根Φ426×18无缝钢管，正常涌水时，1根工作，1根备用；最大排水量时，2根同时工作。</w:t>
            </w:r>
          </w:p>
          <w:p w14:paraId="1D63A78B">
            <w:pPr>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二期采用接力排水方式，在-835m水平设一座排水泵房，通过敷设在副井井筒内的排水管道将水排至一期已建成的-505m水平水仓，再利用一期已建成的-505m水平排水泵房接力排水，在-835m水平排水泵房安装4台MD500-57×7型矿用耐磨多级离心泵，单台水泵流量500m</w:t>
            </w:r>
            <w:r>
              <w:rPr>
                <w:rFonts w:hint="eastAsia" w:asciiTheme="minorHAnsi" w:hAnsiTheme="minorHAnsi" w:cstheme="minorHAnsi"/>
                <w:kern w:val="0"/>
                <w:sz w:val="21"/>
                <w:szCs w:val="21"/>
                <w:vertAlign w:val="superscript"/>
              </w:rPr>
              <w:t>3</w:t>
            </w:r>
            <w:r>
              <w:rPr>
                <w:rFonts w:hint="eastAsia" w:asciiTheme="minorHAnsi" w:hAnsiTheme="minorHAnsi" w:cstheme="minorHAnsi"/>
                <w:kern w:val="0"/>
                <w:sz w:val="21"/>
                <w:szCs w:val="21"/>
              </w:rPr>
              <w:t>/h，扬程399m，。井下正常涌水时，2台工作，1台备用，1台检修；最大排水量时，3台工作，1台检修。排水管道选用2根Φ426×14无缝钢管，最大流速2.24m/s，正常涌水时，1根工作，1根备用；最大排水量时，2根同时工作。</w:t>
            </w:r>
          </w:p>
        </w:tc>
        <w:tc>
          <w:tcPr>
            <w:tcW w:w="426" w:type="pct"/>
            <w:tcBorders>
              <w:top w:val="single" w:color="auto" w:sz="4" w:space="0"/>
              <w:left w:val="single" w:color="auto" w:sz="4" w:space="0"/>
              <w:bottom w:val="single" w:color="auto" w:sz="4" w:space="0"/>
              <w:right w:val="single" w:color="auto" w:sz="4" w:space="0"/>
            </w:tcBorders>
            <w:vAlign w:val="center"/>
          </w:tcPr>
          <w:p w14:paraId="131F4C4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2BEE06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51E73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 w:type="pct"/>
            <w:tcBorders>
              <w:top w:val="single" w:color="auto" w:sz="4" w:space="0"/>
              <w:left w:val="single" w:color="auto" w:sz="4" w:space="0"/>
              <w:bottom w:val="single" w:color="auto" w:sz="4" w:space="0"/>
              <w:right w:val="single" w:color="auto" w:sz="4" w:space="0"/>
            </w:tcBorders>
            <w:vAlign w:val="center"/>
          </w:tcPr>
          <w:p w14:paraId="1F98A700">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997" w:type="pct"/>
            <w:tcBorders>
              <w:top w:val="single" w:color="auto" w:sz="4" w:space="0"/>
              <w:left w:val="single" w:color="auto" w:sz="4" w:space="0"/>
              <w:bottom w:val="single" w:color="auto" w:sz="4" w:space="0"/>
              <w:right w:val="single" w:color="auto" w:sz="4" w:space="0"/>
            </w:tcBorders>
            <w:vAlign w:val="center"/>
          </w:tcPr>
          <w:p w14:paraId="3E4B75B4">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最低中段的主水泵房出口不少于两个；一个通往中段巷道并装设防水门；另一个在水泵房地面7m以上与安全出口连通，或者直接通达上一水平。水泵房地面应至少高出水泵房入口处巷道底板0.5m；潜没式泵房应设两个通往中段巷道的出口。</w:t>
            </w:r>
          </w:p>
        </w:tc>
        <w:tc>
          <w:tcPr>
            <w:tcW w:w="1114" w:type="pct"/>
            <w:tcBorders>
              <w:top w:val="single" w:color="auto" w:sz="4" w:space="0"/>
              <w:left w:val="single" w:color="auto" w:sz="4" w:space="0"/>
              <w:bottom w:val="single" w:color="auto" w:sz="4" w:space="0"/>
              <w:right w:val="single" w:color="auto" w:sz="4" w:space="0"/>
            </w:tcBorders>
            <w:vAlign w:val="center"/>
          </w:tcPr>
          <w:p w14:paraId="6FEF57E6">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6.8.4.2条</w:t>
            </w:r>
          </w:p>
        </w:tc>
        <w:tc>
          <w:tcPr>
            <w:tcW w:w="1219" w:type="pct"/>
            <w:tcBorders>
              <w:top w:val="single" w:color="auto" w:sz="4" w:space="0"/>
              <w:left w:val="single" w:color="auto" w:sz="4" w:space="0"/>
              <w:bottom w:val="single" w:color="auto" w:sz="4" w:space="0"/>
              <w:right w:val="single" w:color="auto" w:sz="4" w:space="0"/>
            </w:tcBorders>
            <w:vAlign w:val="center"/>
          </w:tcPr>
          <w:p w14:paraId="4264D140">
            <w:pPr>
              <w:adjustRightInd w:val="0"/>
              <w:snapToGrid w:val="0"/>
              <w:spacing w:line="240" w:lineRule="auto"/>
              <w:ind w:firstLine="0" w:firstLineChars="0"/>
              <w:rPr>
                <w:rFonts w:asciiTheme="minorHAnsi" w:hAnsiTheme="minorHAnsi" w:cstheme="minorHAnsi"/>
                <w:spacing w:val="4"/>
                <w:sz w:val="21"/>
                <w:szCs w:val="24"/>
              </w:rPr>
            </w:pPr>
            <w:r>
              <w:rPr>
                <w:rFonts w:hint="eastAsia" w:asciiTheme="minorHAnsi" w:hAnsiTheme="minorHAnsi" w:cstheme="minorHAnsi"/>
                <w:spacing w:val="4"/>
                <w:sz w:val="21"/>
                <w:szCs w:val="24"/>
              </w:rPr>
              <w:t>一期水泵房设有2个出口，水泵房通过管子斜巷与副井井筒相连，一侧与中央变电硐室相通，在通向副井车场的通道内均设有栅栏门及密闭防水门；二期水泵房通过管子斜巷与副井井筒相连，一侧与中央变电硐室相通，在通向副井车场的通道内设有栅栏门及密闭防水门。</w:t>
            </w:r>
          </w:p>
          <w:p w14:paraId="4C0C06C5">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spacing w:val="4"/>
                <w:sz w:val="21"/>
                <w:szCs w:val="24"/>
              </w:rPr>
              <w:t>可研未提及泵房地面标高高出入口处巷道底板标高0.5m要求。</w:t>
            </w:r>
          </w:p>
        </w:tc>
        <w:tc>
          <w:tcPr>
            <w:tcW w:w="426" w:type="pct"/>
            <w:tcBorders>
              <w:top w:val="single" w:color="auto" w:sz="4" w:space="0"/>
              <w:left w:val="single" w:color="auto" w:sz="4" w:space="0"/>
              <w:bottom w:val="single" w:color="auto" w:sz="4" w:space="0"/>
              <w:right w:val="single" w:color="auto" w:sz="4" w:space="0"/>
            </w:tcBorders>
            <w:vAlign w:val="center"/>
          </w:tcPr>
          <w:p w14:paraId="046C82EB">
            <w:pPr>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4"/>
              </w:rPr>
              <w:t>下阶段设计中需完善</w:t>
            </w:r>
          </w:p>
        </w:tc>
      </w:tr>
      <w:tr w14:paraId="7EF1E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D8B72D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1997" w:type="pct"/>
            <w:tcBorders>
              <w:top w:val="single" w:color="auto" w:sz="4" w:space="0"/>
              <w:left w:val="single" w:color="auto" w:sz="4" w:space="0"/>
              <w:bottom w:val="single" w:color="auto" w:sz="4" w:space="0"/>
              <w:right w:val="single" w:color="auto" w:sz="4" w:space="0"/>
            </w:tcBorders>
            <w:vAlign w:val="center"/>
          </w:tcPr>
          <w:p w14:paraId="59C1623E">
            <w:pPr>
              <w:adjustRightInd w:val="0"/>
              <w:snapToGrid w:val="0"/>
              <w:spacing w:line="240" w:lineRule="auto"/>
              <w:ind w:firstLine="0" w:firstLineChars="0"/>
              <w:jc w:val="left"/>
              <w:rPr>
                <w:rFonts w:asciiTheme="minorHAnsi" w:hAnsiTheme="minorHAnsi" w:cstheme="minorHAnsi"/>
                <w:kern w:val="0"/>
                <w:sz w:val="21"/>
                <w:szCs w:val="21"/>
              </w:rPr>
            </w:pPr>
            <w:r>
              <w:rPr>
                <w:rFonts w:asciiTheme="minorHAnsi" w:hAnsiTheme="minorHAnsi" w:cstheme="minorHAnsi"/>
                <w:kern w:val="0"/>
                <w:sz w:val="21"/>
                <w:szCs w:val="21"/>
              </w:rPr>
              <w:t>主要水仓应由两个独立的巷道系统组成。最低中段水仓总容积应能容纳4h的正常涌水量；正常涌水量超过2000m</w:t>
            </w:r>
            <w:r>
              <w:rPr>
                <w:rFonts w:asciiTheme="minorHAnsi" w:hAnsiTheme="minorHAnsi" w:cstheme="minorHAnsi"/>
                <w:kern w:val="0"/>
                <w:sz w:val="21"/>
                <w:szCs w:val="21"/>
                <w:vertAlign w:val="superscript"/>
              </w:rPr>
              <w:t>3</w:t>
            </w:r>
            <w:r>
              <w:rPr>
                <w:rFonts w:asciiTheme="minorHAnsi" w:hAnsiTheme="minorHAnsi" w:cstheme="minorHAnsi"/>
                <w:kern w:val="0"/>
                <w:sz w:val="21"/>
                <w:szCs w:val="21"/>
              </w:rPr>
              <w:t>/h时，应能容纳2h的正常涌水量，且不小于8000m</w:t>
            </w:r>
            <w:r>
              <w:rPr>
                <w:rFonts w:asciiTheme="minorHAnsi" w:hAnsiTheme="minorHAnsi" w:cstheme="minorHAnsi"/>
                <w:kern w:val="0"/>
                <w:sz w:val="21"/>
                <w:szCs w:val="21"/>
                <w:vertAlign w:val="superscript"/>
              </w:rPr>
              <w:t>3</w:t>
            </w:r>
            <w:r>
              <w:rPr>
                <w:rFonts w:asciiTheme="minorHAnsi" w:hAnsiTheme="minorHAnsi" w:cstheme="minorHAnsi"/>
                <w:kern w:val="0"/>
                <w:sz w:val="21"/>
                <w:szCs w:val="21"/>
              </w:rPr>
              <w:t>。</w:t>
            </w:r>
          </w:p>
        </w:tc>
        <w:tc>
          <w:tcPr>
            <w:tcW w:w="1114" w:type="pct"/>
            <w:tcBorders>
              <w:top w:val="single" w:color="auto" w:sz="4" w:space="0"/>
              <w:left w:val="single" w:color="auto" w:sz="4" w:space="0"/>
              <w:bottom w:val="single" w:color="auto" w:sz="4" w:space="0"/>
              <w:right w:val="single" w:color="auto" w:sz="4" w:space="0"/>
            </w:tcBorders>
            <w:vAlign w:val="center"/>
          </w:tcPr>
          <w:p w14:paraId="6AE2D0F1">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6.8.4.1条</w:t>
            </w:r>
          </w:p>
        </w:tc>
        <w:tc>
          <w:tcPr>
            <w:tcW w:w="1219" w:type="pct"/>
            <w:tcBorders>
              <w:top w:val="single" w:color="auto" w:sz="4" w:space="0"/>
              <w:left w:val="single" w:color="auto" w:sz="4" w:space="0"/>
              <w:bottom w:val="single" w:color="auto" w:sz="4" w:space="0"/>
              <w:right w:val="single" w:color="auto" w:sz="4" w:space="0"/>
            </w:tcBorders>
            <w:vAlign w:val="center"/>
          </w:tcPr>
          <w:p w14:paraId="1A76A763">
            <w:pPr>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-505m</w:t>
            </w:r>
            <w:r>
              <w:rPr>
                <w:rFonts w:asciiTheme="minorHAnsi" w:hAnsiTheme="minorHAnsi" w:cstheme="minorHAnsi"/>
                <w:sz w:val="21"/>
                <w:szCs w:val="21"/>
              </w:rPr>
              <w:t>中段水仓由两条独立巷道组成，</w:t>
            </w:r>
            <w:r>
              <w:rPr>
                <w:rFonts w:asciiTheme="minorHAnsi" w:hAnsiTheme="minorHAnsi" w:cstheme="minorHAnsi"/>
                <w:kern w:val="0"/>
                <w:sz w:val="21"/>
                <w:szCs w:val="21"/>
              </w:rPr>
              <w:t>水仓总长度330m，</w:t>
            </w:r>
            <w:r>
              <w:rPr>
                <w:rFonts w:asciiTheme="minorHAnsi" w:hAnsiTheme="minorHAnsi" w:cstheme="minorHAnsi"/>
                <w:sz w:val="21"/>
                <w:szCs w:val="21"/>
              </w:rPr>
              <w:t>断面13.41m</w:t>
            </w:r>
            <w:r>
              <w:rPr>
                <w:rFonts w:asciiTheme="minorHAnsi" w:hAnsiTheme="minorHAnsi" w:cstheme="minorHAnsi"/>
                <w:sz w:val="21"/>
                <w:szCs w:val="21"/>
                <w:vertAlign w:val="superscript"/>
              </w:rPr>
              <w:t>2</w:t>
            </w:r>
            <w:r>
              <w:rPr>
                <w:rFonts w:asciiTheme="minorHAnsi" w:hAnsiTheme="minorHAnsi" w:cstheme="minorHAnsi"/>
                <w:sz w:val="21"/>
                <w:szCs w:val="21"/>
              </w:rPr>
              <w:t>，</w:t>
            </w:r>
            <w:r>
              <w:rPr>
                <w:rFonts w:hint="eastAsia" w:asciiTheme="minorHAnsi" w:hAnsiTheme="minorHAnsi" w:cstheme="minorHAnsi"/>
                <w:kern w:val="0"/>
                <w:sz w:val="21"/>
                <w:szCs w:val="21"/>
              </w:rPr>
              <w:t>水仓容积</w:t>
            </w:r>
            <w:r>
              <w:rPr>
                <w:rFonts w:asciiTheme="minorHAnsi" w:hAnsiTheme="minorHAnsi" w:cstheme="minorHAnsi"/>
                <w:kern w:val="0"/>
                <w:sz w:val="21"/>
                <w:szCs w:val="21"/>
              </w:rPr>
              <w:t>4425.3</w:t>
            </w:r>
            <w:r>
              <w:rPr>
                <w:rFonts w:hint="eastAsia" w:asciiTheme="minorHAnsi" w:hAnsiTheme="minorHAnsi" w:cstheme="minorHAnsi"/>
                <w:kern w:val="0"/>
                <w:sz w:val="21"/>
                <w:szCs w:val="21"/>
              </w:rPr>
              <w:t>m</w:t>
            </w:r>
            <w:r>
              <w:rPr>
                <w:rFonts w:hint="eastAsia" w:asciiTheme="minorHAnsi" w:hAnsiTheme="minorHAnsi" w:cstheme="minorHAnsi"/>
                <w:kern w:val="0"/>
                <w:sz w:val="21"/>
                <w:szCs w:val="21"/>
                <w:vertAlign w:val="superscript"/>
              </w:rPr>
              <w:t>3</w:t>
            </w:r>
            <w:r>
              <w:rPr>
                <w:rFonts w:hint="eastAsia" w:asciiTheme="minorHAnsi" w:hAnsiTheme="minorHAnsi" w:cstheme="minorHAnsi"/>
                <w:kern w:val="0"/>
                <w:sz w:val="21"/>
                <w:szCs w:val="21"/>
              </w:rPr>
              <w:t>。</w:t>
            </w:r>
          </w:p>
          <w:p w14:paraId="550041ED">
            <w:pPr>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-835m</w:t>
            </w:r>
            <w:r>
              <w:rPr>
                <w:rFonts w:asciiTheme="minorHAnsi" w:hAnsiTheme="minorHAnsi" w:cstheme="minorHAnsi"/>
                <w:sz w:val="21"/>
                <w:szCs w:val="21"/>
              </w:rPr>
              <w:t>中段水仓由两条独立巷道组成，</w:t>
            </w:r>
            <w:r>
              <w:rPr>
                <w:rFonts w:asciiTheme="minorHAnsi" w:hAnsiTheme="minorHAnsi" w:cstheme="minorHAnsi"/>
                <w:kern w:val="0"/>
                <w:sz w:val="21"/>
                <w:szCs w:val="21"/>
              </w:rPr>
              <w:t>水仓总长度</w:t>
            </w:r>
            <w:r>
              <w:rPr>
                <w:rFonts w:hint="eastAsia" w:asciiTheme="minorHAnsi" w:hAnsiTheme="minorHAnsi" w:cstheme="minorHAnsi"/>
                <w:kern w:val="0"/>
                <w:sz w:val="21"/>
                <w:szCs w:val="21"/>
              </w:rPr>
              <w:t>2</w:t>
            </w:r>
            <w:r>
              <w:rPr>
                <w:rFonts w:asciiTheme="minorHAnsi" w:hAnsiTheme="minorHAnsi" w:cstheme="minorHAnsi"/>
                <w:kern w:val="0"/>
                <w:sz w:val="21"/>
                <w:szCs w:val="21"/>
              </w:rPr>
              <w:t>35m，</w:t>
            </w:r>
            <w:r>
              <w:rPr>
                <w:rFonts w:asciiTheme="minorHAnsi" w:hAnsiTheme="minorHAnsi" w:cstheme="minorHAnsi"/>
                <w:sz w:val="21"/>
                <w:szCs w:val="21"/>
              </w:rPr>
              <w:t>断面13.41m</w:t>
            </w:r>
            <w:r>
              <w:rPr>
                <w:rFonts w:asciiTheme="minorHAnsi" w:hAnsiTheme="minorHAnsi" w:cstheme="minorHAnsi"/>
                <w:sz w:val="21"/>
                <w:szCs w:val="21"/>
                <w:vertAlign w:val="superscript"/>
              </w:rPr>
              <w:t>2</w:t>
            </w:r>
            <w:r>
              <w:rPr>
                <w:rFonts w:asciiTheme="minorHAnsi" w:hAnsiTheme="minorHAnsi" w:cstheme="minorHAnsi"/>
                <w:sz w:val="21"/>
                <w:szCs w:val="21"/>
              </w:rPr>
              <w:t>，</w:t>
            </w:r>
            <w:r>
              <w:rPr>
                <w:rFonts w:hint="eastAsia" w:asciiTheme="minorHAnsi" w:hAnsiTheme="minorHAnsi" w:cstheme="minorHAnsi"/>
                <w:kern w:val="0"/>
                <w:sz w:val="21"/>
                <w:szCs w:val="21"/>
              </w:rPr>
              <w:t>水仓容积</w:t>
            </w:r>
            <w:r>
              <w:rPr>
                <w:rFonts w:asciiTheme="minorHAnsi" w:hAnsiTheme="minorHAnsi" w:cstheme="minorHAnsi"/>
                <w:kern w:val="0"/>
                <w:sz w:val="21"/>
                <w:szCs w:val="21"/>
              </w:rPr>
              <w:t>3151.35</w:t>
            </w:r>
            <w:r>
              <w:rPr>
                <w:rFonts w:hint="eastAsia" w:asciiTheme="minorHAnsi" w:hAnsiTheme="minorHAnsi" w:cstheme="minorHAnsi"/>
                <w:kern w:val="0"/>
                <w:sz w:val="21"/>
                <w:szCs w:val="21"/>
              </w:rPr>
              <w:t>m</w:t>
            </w:r>
            <w:r>
              <w:rPr>
                <w:rFonts w:hint="eastAsia" w:asciiTheme="minorHAnsi" w:hAnsiTheme="minorHAnsi" w:cstheme="minorHAnsi"/>
                <w:kern w:val="0"/>
                <w:sz w:val="21"/>
                <w:szCs w:val="21"/>
                <w:vertAlign w:val="superscript"/>
              </w:rPr>
              <w:t>3</w:t>
            </w:r>
            <w:r>
              <w:rPr>
                <w:rFonts w:hint="eastAsia" w:asciiTheme="minorHAnsi" w:hAnsiTheme="minorHAnsi" w:cstheme="minorHAnsi"/>
                <w:kern w:val="0"/>
                <w:sz w:val="21"/>
                <w:szCs w:val="21"/>
              </w:rPr>
              <w:t>。。</w:t>
            </w:r>
          </w:p>
        </w:tc>
        <w:tc>
          <w:tcPr>
            <w:tcW w:w="426" w:type="pct"/>
            <w:tcBorders>
              <w:top w:val="single" w:color="auto" w:sz="4" w:space="0"/>
              <w:left w:val="single" w:color="auto" w:sz="4" w:space="0"/>
              <w:bottom w:val="single" w:color="auto" w:sz="4" w:space="0"/>
              <w:right w:val="single" w:color="auto" w:sz="4" w:space="0"/>
            </w:tcBorders>
            <w:vAlign w:val="center"/>
          </w:tcPr>
          <w:p w14:paraId="05EE0D73">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18869AE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6B25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2500460">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1997" w:type="pct"/>
            <w:tcBorders>
              <w:top w:val="single" w:color="auto" w:sz="4" w:space="0"/>
              <w:left w:val="single" w:color="auto" w:sz="4" w:space="0"/>
              <w:bottom w:val="single" w:color="auto" w:sz="4" w:space="0"/>
              <w:right w:val="single" w:color="auto" w:sz="4" w:space="0"/>
            </w:tcBorders>
            <w:vAlign w:val="center"/>
          </w:tcPr>
          <w:p w14:paraId="72C488D9">
            <w:pPr>
              <w:snapToGrid w:val="0"/>
              <w:spacing w:line="240" w:lineRule="auto"/>
              <w:ind w:firstLine="0" w:firstLineChars="0"/>
              <w:rPr>
                <w:rFonts w:asciiTheme="minorHAnsi" w:hAnsiTheme="minorHAnsi" w:cstheme="minorHAnsi"/>
                <w:sz w:val="21"/>
                <w:szCs w:val="21"/>
              </w:rPr>
            </w:pPr>
            <w:r>
              <w:rPr>
                <w:rFonts w:asciiTheme="minorHAnsi" w:hAnsiTheme="minorHAnsi" w:cstheme="minorHAnsi"/>
                <w:kern w:val="0"/>
                <w:sz w:val="21"/>
                <w:szCs w:val="21"/>
              </w:rPr>
              <w:t>在有突水可能性的工作面设置的救生圈、安全绳等救生设施。</w:t>
            </w:r>
          </w:p>
        </w:tc>
        <w:tc>
          <w:tcPr>
            <w:tcW w:w="1114" w:type="pct"/>
            <w:tcBorders>
              <w:top w:val="single" w:color="auto" w:sz="4" w:space="0"/>
              <w:left w:val="single" w:color="auto" w:sz="4" w:space="0"/>
              <w:bottom w:val="single" w:color="auto" w:sz="4" w:space="0"/>
              <w:right w:val="single" w:color="auto" w:sz="4" w:space="0"/>
            </w:tcBorders>
            <w:vAlign w:val="center"/>
          </w:tcPr>
          <w:p w14:paraId="78C2F2F3">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安监总局[2015]第75号</w:t>
            </w:r>
          </w:p>
        </w:tc>
        <w:tc>
          <w:tcPr>
            <w:tcW w:w="1219" w:type="pct"/>
            <w:tcBorders>
              <w:top w:val="single" w:color="auto" w:sz="4" w:space="0"/>
              <w:left w:val="single" w:color="auto" w:sz="4" w:space="0"/>
              <w:bottom w:val="single" w:color="auto" w:sz="4" w:space="0"/>
              <w:right w:val="single" w:color="auto" w:sz="4" w:space="0"/>
            </w:tcBorders>
            <w:vAlign w:val="center"/>
          </w:tcPr>
          <w:p w14:paraId="69EF59DF">
            <w:pPr>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可研报告中没有相关内容。</w:t>
            </w:r>
          </w:p>
        </w:tc>
        <w:tc>
          <w:tcPr>
            <w:tcW w:w="426" w:type="pct"/>
            <w:tcBorders>
              <w:top w:val="single" w:color="auto" w:sz="4" w:space="0"/>
              <w:left w:val="single" w:color="auto" w:sz="4" w:space="0"/>
              <w:bottom w:val="single" w:color="auto" w:sz="4" w:space="0"/>
              <w:right w:val="single" w:color="auto" w:sz="4" w:space="0"/>
            </w:tcBorders>
            <w:vAlign w:val="center"/>
          </w:tcPr>
          <w:p w14:paraId="1E57BB1F">
            <w:pPr>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4"/>
              </w:rPr>
              <w:t>下阶段设计中需完善</w:t>
            </w:r>
          </w:p>
        </w:tc>
      </w:tr>
    </w:tbl>
    <w:p w14:paraId="22F7F27F">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（4）</w:t>
      </w:r>
      <w:r>
        <w:rPr>
          <w:rFonts w:asciiTheme="minorHAnsi" w:hAnsiTheme="minorHAnsi" w:cstheme="minorHAnsi"/>
          <w:b/>
          <w:bCs/>
          <w:szCs w:val="28"/>
        </w:rPr>
        <w:t>该项目地下开采水灾害分析</w:t>
      </w:r>
    </w:p>
    <w:p w14:paraId="3F9E5843">
      <w:pPr>
        <w:snapToGrid w:val="0"/>
        <w:spacing w:line="360" w:lineRule="auto"/>
        <w:ind w:firstLine="560"/>
        <w:rPr>
          <w:rFonts w:asciiTheme="minorHAnsi" w:hAnsiTheme="minorHAnsi" w:cstheme="minorHAnsi"/>
          <w:szCs w:val="28"/>
        </w:rPr>
      </w:pPr>
      <w:bookmarkStart w:id="115" w:name="_Hlk172552465"/>
      <w:r>
        <w:rPr>
          <w:rFonts w:hint="eastAsia" w:asciiTheme="minorHAnsi" w:hAnsiTheme="minorHAnsi" w:cstheme="minorHAnsi"/>
          <w:szCs w:val="28"/>
        </w:rPr>
        <w:t>彭集铁矿的矿床赋存于第四纪松散岩层之下的沉积变质岩中，其地下涌水直接补给水源为黑云变粒岩裂隙水。黑云变粒岩裂隙水含水层为矿床直接顶、底板，其岩石致密，裂隙不发育，本身富水性及透水性均较弱，且与上覆第四系孔隙含水层、基岩风化带裂隙水含水层水力联系较弱，接受越层补给水量较少，因此，该矿属于以基岩裂隙含水层充水为主的矿床。</w:t>
      </w:r>
    </w:p>
    <w:bookmarkEnd w:id="115"/>
    <w:p w14:paraId="24A8CA41">
      <w:pPr>
        <w:snapToGrid w:val="0"/>
        <w:spacing w:line="360" w:lineRule="auto"/>
        <w:ind w:firstLine="480" w:firstLineChars="0"/>
        <w:rPr>
          <w:rFonts w:asciiTheme="minorHAnsi" w:hAnsiTheme="minorHAnsi" w:cstheme="minorHAnsi"/>
          <w:b/>
          <w:szCs w:val="24"/>
        </w:rPr>
      </w:pPr>
      <w:r>
        <w:rPr>
          <w:rFonts w:hint="eastAsia" w:asciiTheme="minorHAnsi" w:hAnsiTheme="minorHAnsi" w:cstheme="minorHAnsi"/>
          <w:b/>
          <w:szCs w:val="24"/>
        </w:rPr>
        <w:t>1）涌水量预测</w:t>
      </w:r>
    </w:p>
    <w:p w14:paraId="7DC2070F">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彭集铁矿分为彭集矿段与冯家庄矿段，开采范围为彭集矿段5~19勘探线-100m~-805m之间矿体和冯家庄矿段-100m~475m之间矿体。分期建设：一期开采彭集矿段-100m~475m之间矿体，建设规模800×1</w:t>
      </w:r>
      <w:r>
        <w:rPr>
          <w:rFonts w:asciiTheme="minorHAnsi" w:hAnsiTheme="minorHAnsi" w:cstheme="minorHAnsi"/>
          <w:szCs w:val="24"/>
        </w:rPr>
        <w:t>0</w:t>
      </w:r>
      <w:r>
        <w:rPr>
          <w:rFonts w:asciiTheme="minorHAnsi" w:hAnsiTheme="minorHAnsi" w:cstheme="minorHAnsi"/>
          <w:szCs w:val="24"/>
          <w:vertAlign w:val="superscript"/>
        </w:rPr>
        <w:t>4</w:t>
      </w:r>
      <w:r>
        <w:rPr>
          <w:rFonts w:hint="eastAsia" w:asciiTheme="minorHAnsi" w:hAnsiTheme="minorHAnsi" w:cstheme="minorHAnsi"/>
          <w:szCs w:val="24"/>
        </w:rPr>
        <w:t>t/a；二期开采彭集矿段-475m~-805m之间矿体和冯家庄矿段-100m~475m之间矿体，建设规模450×1</w:t>
      </w:r>
      <w:r>
        <w:rPr>
          <w:rFonts w:asciiTheme="minorHAnsi" w:hAnsiTheme="minorHAnsi" w:cstheme="minorHAnsi"/>
          <w:szCs w:val="24"/>
        </w:rPr>
        <w:t>0</w:t>
      </w:r>
      <w:r>
        <w:rPr>
          <w:rFonts w:asciiTheme="minorHAnsi" w:hAnsiTheme="minorHAnsi" w:cstheme="minorHAnsi"/>
          <w:szCs w:val="24"/>
          <w:vertAlign w:val="superscript"/>
        </w:rPr>
        <w:t>4</w:t>
      </w:r>
      <w:r>
        <w:rPr>
          <w:rFonts w:hint="eastAsia" w:asciiTheme="minorHAnsi" w:hAnsiTheme="minorHAnsi" w:cstheme="minorHAnsi"/>
          <w:szCs w:val="24"/>
        </w:rPr>
        <w:t>t/a。采用充填采矿法。</w:t>
      </w:r>
    </w:p>
    <w:p w14:paraId="1795C243">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排水系统：（1）彭集矿段：一期在-505m水平设排水系统，一段式排水。二期采用倒段排水方式，在-835m水平副井附近设排水系统，倒段至彭集-505m排水系统排至地表。（2）二期冯家庄：利用一期彭集矿段排水系统，井下涌水通过泄水井汇至-505m运输水平，水沟流至彭集矿段-505m水仓。</w:t>
      </w:r>
    </w:p>
    <w:p w14:paraId="43B04EB1">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下面分期计算采场涌水量：分别采用解析法和数值法计算地下水涌水量，两种方法的计算结果进行比较，确定最终采场涌水量计算结果。</w:t>
      </w:r>
    </w:p>
    <w:p w14:paraId="7193995D">
      <w:pPr>
        <w:widowControl/>
        <w:snapToGrid w:val="0"/>
        <w:spacing w:line="360" w:lineRule="auto"/>
        <w:ind w:firstLine="560"/>
        <w:rPr>
          <w:szCs w:val="28"/>
        </w:rPr>
      </w:pPr>
      <w:r>
        <w:rPr>
          <w:rFonts w:hint="eastAsia"/>
          <w:szCs w:val="28"/>
        </w:rPr>
        <w:t>①解析法计算</w:t>
      </w:r>
    </w:p>
    <w:p w14:paraId="466F6FA2">
      <w:pPr>
        <w:widowControl/>
        <w:snapToGrid w:val="0"/>
        <w:spacing w:line="360" w:lineRule="auto"/>
        <w:ind w:firstLine="560"/>
        <w:rPr>
          <w:szCs w:val="28"/>
        </w:rPr>
      </w:pPr>
      <w:r>
        <w:rPr>
          <w:rFonts w:hint="eastAsia"/>
          <w:szCs w:val="28"/>
        </w:rPr>
        <w:t>矿山采用充填法开采，因此，设计不考虑大气降水入渗量，坑内采场涌水量只计算地下水涌水量。</w:t>
      </w:r>
    </w:p>
    <w:p w14:paraId="3C1A7497">
      <w:pPr>
        <w:widowControl/>
        <w:snapToGrid w:val="0"/>
        <w:spacing w:line="360" w:lineRule="auto"/>
        <w:ind w:firstLine="560"/>
        <w:rPr>
          <w:szCs w:val="28"/>
        </w:rPr>
      </w:pPr>
      <w:r>
        <w:rPr>
          <w:rFonts w:hint="eastAsia"/>
          <w:szCs w:val="28"/>
        </w:rPr>
        <w:t>计算公式：</w:t>
      </w:r>
    </w:p>
    <w:p w14:paraId="5DF79D6B">
      <w:pPr>
        <w:widowControl/>
        <w:snapToGrid w:val="0"/>
        <w:spacing w:line="360" w:lineRule="auto"/>
        <w:ind w:firstLine="560"/>
        <w:rPr>
          <w:szCs w:val="28"/>
        </w:rPr>
      </w:pPr>
      <w:r>
        <w:rPr>
          <w:szCs w:val="28"/>
        </w:rPr>
        <w:t>地下水涌水量采用承压转无压完整井公式进行计算：</w:t>
      </w:r>
    </w:p>
    <w:p w14:paraId="7F5F0688">
      <w:pPr>
        <w:pStyle w:val="22"/>
        <w:snapToGrid w:val="0"/>
        <w:spacing w:after="0" w:line="360" w:lineRule="auto"/>
        <w:ind w:left="0" w:leftChars="0" w:firstLine="560"/>
        <w:jc w:val="center"/>
        <w:textAlignment w:val="top"/>
        <w:rPr>
          <w:szCs w:val="28"/>
        </w:rPr>
      </w:pPr>
      <w:r>
        <w:rPr>
          <w:position w:val="-30"/>
          <w:szCs w:val="28"/>
        </w:rPr>
        <w:object>
          <v:shape id="_x0000_i1026" o:spt="75" type="#_x0000_t75" style="height:34.8pt;width:126pt;" o:ole="t" filled="f" o:preferrelative="t" stroked="f" coordsize="21600,21600">
            <v:path/>
            <v:fill on="f" focussize="0,0"/>
            <v:stroke on="f" joinstyle="miter"/>
            <v:imagedata r:id="rId112" o:title=""/>
            <o:lock v:ext="edit" aspectratio="t"/>
            <w10:wrap type="none"/>
            <w10:anchorlock/>
          </v:shape>
          <o:OLEObject Type="Embed" ProgID="Equation.3" ShapeID="_x0000_i1026" DrawAspect="Content" ObjectID="_1468075726" r:id="rId111">
            <o:LockedField>false</o:LockedField>
          </o:OLEObject>
        </w:object>
      </w:r>
    </w:p>
    <w:p w14:paraId="7B8A887D">
      <w:pPr>
        <w:pStyle w:val="22"/>
        <w:snapToGrid w:val="0"/>
        <w:spacing w:after="0" w:line="360" w:lineRule="auto"/>
        <w:ind w:left="0" w:leftChars="0" w:firstLine="560"/>
        <w:jc w:val="center"/>
        <w:textAlignment w:val="top"/>
        <w:rPr>
          <w:position w:val="-6"/>
          <w:szCs w:val="28"/>
        </w:rPr>
      </w:pPr>
      <w:r>
        <w:rPr>
          <w:position w:val="-24"/>
          <w:szCs w:val="28"/>
        </w:rPr>
        <w:object>
          <v:shape id="_x0000_i1027" o:spt="75" type="#_x0000_t75" style="height:31.8pt;width:66pt;" o:ole="t" filled="f" o:preferrelative="t" stroked="f" coordsize="21600,21600">
            <v:path/>
            <v:fill on="f" focussize="0,0"/>
            <v:stroke on="f" joinstyle="miter"/>
            <v:imagedata r:id="rId114" embosscolor="#FFFFFF" o:title=""/>
            <o:lock v:ext="edit" aspectratio="t"/>
            <w10:wrap type="none"/>
            <w10:anchorlock/>
          </v:shape>
          <o:OLEObject Type="Embed" ProgID="Equation.3" ShapeID="_x0000_i1027" DrawAspect="Content" ObjectID="_1468075727" r:id="rId113">
            <o:LockedField>false</o:LockedField>
          </o:OLEObject>
        </w:object>
      </w:r>
    </w:p>
    <w:p w14:paraId="0CA311A2">
      <w:pPr>
        <w:pStyle w:val="22"/>
        <w:snapToGrid w:val="0"/>
        <w:spacing w:after="0" w:line="360" w:lineRule="auto"/>
        <w:ind w:left="0" w:leftChars="0" w:firstLine="560"/>
        <w:jc w:val="center"/>
        <w:textAlignment w:val="top"/>
        <w:rPr>
          <w:position w:val="-6"/>
          <w:szCs w:val="28"/>
        </w:rPr>
      </w:pPr>
      <w:r>
        <w:rPr>
          <w:position w:val="-16"/>
          <w:szCs w:val="28"/>
        </w:rPr>
        <w:object>
          <v:shape id="_x0000_i1028" o:spt="75" type="#_x0000_t75" style="height:22.8pt;width:66pt;" o:ole="t" filled="f" o:preferrelative="t" stroked="f" coordsize="21600,21600">
            <v:path/>
            <v:fill on="f" focussize="0,0"/>
            <v:stroke on="f" joinstyle="miter"/>
            <v:imagedata r:id="rId116" o:title=""/>
            <o:lock v:ext="edit" aspectratio="t"/>
            <w10:wrap type="none"/>
            <w10:anchorlock/>
          </v:shape>
          <o:OLEObject Type="Embed" ProgID="Equation.3" ShapeID="_x0000_i1028" DrawAspect="Content" ObjectID="_1468075728" r:id="rId115">
            <o:LockedField>false</o:LockedField>
          </o:OLEObject>
        </w:object>
      </w:r>
    </w:p>
    <w:p w14:paraId="66E82ED1">
      <w:pPr>
        <w:widowControl/>
        <w:snapToGrid w:val="0"/>
        <w:spacing w:line="360" w:lineRule="auto"/>
        <w:ind w:firstLine="560"/>
        <w:jc w:val="center"/>
        <w:rPr>
          <w:szCs w:val="28"/>
        </w:rPr>
      </w:pPr>
      <w:r>
        <w:rPr>
          <w:szCs w:val="28"/>
        </w:rPr>
        <w:t>R</w:t>
      </w:r>
      <w:r>
        <w:rPr>
          <w:szCs w:val="28"/>
          <w:vertAlign w:val="subscript"/>
        </w:rPr>
        <w:t>0</w:t>
      </w:r>
      <w:r>
        <w:rPr>
          <w:szCs w:val="28"/>
        </w:rPr>
        <w:t>=R+r</w:t>
      </w:r>
      <w:r>
        <w:rPr>
          <w:szCs w:val="28"/>
          <w:vertAlign w:val="subscript"/>
        </w:rPr>
        <w:t>0</w:t>
      </w:r>
    </w:p>
    <w:p w14:paraId="74590641">
      <w:pPr>
        <w:widowControl/>
        <w:snapToGrid w:val="0"/>
        <w:spacing w:line="360" w:lineRule="auto"/>
        <w:ind w:firstLine="560"/>
        <w:rPr>
          <w:szCs w:val="28"/>
        </w:rPr>
      </w:pPr>
      <w:r>
        <w:rPr>
          <w:szCs w:val="28"/>
        </w:rPr>
        <w:t>式中：</w:t>
      </w:r>
    </w:p>
    <w:p w14:paraId="1651CEE5">
      <w:pPr>
        <w:widowControl/>
        <w:snapToGrid w:val="0"/>
        <w:spacing w:line="360" w:lineRule="auto"/>
        <w:ind w:firstLine="560"/>
        <w:rPr>
          <w:szCs w:val="28"/>
        </w:rPr>
      </w:pPr>
      <w:r>
        <w:rPr>
          <w:szCs w:val="28"/>
        </w:rPr>
        <w:t>Q──地下水涌水量，m</w:t>
      </w:r>
      <w:r>
        <w:rPr>
          <w:szCs w:val="28"/>
          <w:vertAlign w:val="superscript"/>
        </w:rPr>
        <w:t>3</w:t>
      </w:r>
      <w:r>
        <w:rPr>
          <w:szCs w:val="28"/>
        </w:rPr>
        <w:t>/d；</w:t>
      </w:r>
    </w:p>
    <w:p w14:paraId="5B7AF497">
      <w:pPr>
        <w:widowControl/>
        <w:snapToGrid w:val="0"/>
        <w:spacing w:line="360" w:lineRule="auto"/>
        <w:ind w:firstLine="560"/>
        <w:rPr>
          <w:szCs w:val="28"/>
        </w:rPr>
      </w:pPr>
      <w:r>
        <w:rPr>
          <w:szCs w:val="28"/>
        </w:rPr>
        <w:t>kcp──渗透系数，取ZK11-11、水2号孔、SHK16-3平均值，m/d；</w:t>
      </w:r>
    </w:p>
    <w:p w14:paraId="1706370D">
      <w:pPr>
        <w:widowControl/>
        <w:snapToGrid w:val="0"/>
        <w:spacing w:line="360" w:lineRule="auto"/>
        <w:ind w:firstLine="560"/>
        <w:rPr>
          <w:szCs w:val="28"/>
        </w:rPr>
      </w:pPr>
      <w:r>
        <w:rPr>
          <w:szCs w:val="28"/>
        </w:rPr>
        <w:t>S──水位降深，m（静止水位标高平均值为37.58m）；</w:t>
      </w:r>
    </w:p>
    <w:p w14:paraId="647A9A4E">
      <w:pPr>
        <w:widowControl/>
        <w:snapToGrid w:val="0"/>
        <w:spacing w:line="360" w:lineRule="auto"/>
        <w:ind w:firstLine="560"/>
        <w:rPr>
          <w:szCs w:val="28"/>
        </w:rPr>
      </w:pPr>
      <w:r>
        <w:rPr>
          <w:szCs w:val="28"/>
        </w:rPr>
        <w:t>M──含水层厚度，m（计算水平至含水层顶板的厚度，根据ZK11-11、水2孔和SHK16-3孔含水层顶板标高平均值为-54.64m进行计算）；</w:t>
      </w:r>
    </w:p>
    <w:p w14:paraId="4E7E7F19">
      <w:pPr>
        <w:widowControl/>
        <w:snapToGrid w:val="0"/>
        <w:spacing w:line="360" w:lineRule="auto"/>
        <w:ind w:firstLine="560"/>
        <w:rPr>
          <w:szCs w:val="28"/>
        </w:rPr>
      </w:pPr>
      <w:r>
        <w:rPr>
          <w:szCs w:val="28"/>
        </w:rPr>
        <w:t>R──影响半径，m；</w:t>
      </w:r>
    </w:p>
    <w:p w14:paraId="65DEB6F9">
      <w:pPr>
        <w:widowControl/>
        <w:snapToGrid w:val="0"/>
        <w:spacing w:line="360" w:lineRule="auto"/>
        <w:ind w:firstLine="560"/>
        <w:rPr>
          <w:szCs w:val="28"/>
        </w:rPr>
      </w:pPr>
      <w:r>
        <w:rPr>
          <w:szCs w:val="28"/>
        </w:rPr>
        <w:t>R0──引用影响半径，m；</w:t>
      </w:r>
    </w:p>
    <w:p w14:paraId="2C1E66F1">
      <w:pPr>
        <w:widowControl/>
        <w:snapToGrid w:val="0"/>
        <w:spacing w:line="360" w:lineRule="auto"/>
        <w:ind w:firstLine="560"/>
        <w:rPr>
          <w:szCs w:val="28"/>
        </w:rPr>
      </w:pPr>
      <w:r>
        <w:rPr>
          <w:szCs w:val="28"/>
        </w:rPr>
        <w:t>r0──大井引用半径，m；</w:t>
      </w:r>
    </w:p>
    <w:p w14:paraId="25600864">
      <w:pPr>
        <w:widowControl/>
        <w:snapToGrid w:val="0"/>
        <w:spacing w:line="360" w:lineRule="auto"/>
        <w:ind w:firstLine="560"/>
        <w:rPr>
          <w:szCs w:val="28"/>
        </w:rPr>
      </w:pPr>
      <w:r>
        <w:rPr>
          <w:szCs w:val="28"/>
        </w:rPr>
        <w:t>a、b—开采范围的长和宽，m；</w:t>
      </w:r>
    </w:p>
    <w:p w14:paraId="702E99D3">
      <w:pPr>
        <w:widowControl/>
        <w:snapToGrid w:val="0"/>
        <w:spacing w:line="360" w:lineRule="auto"/>
        <w:ind w:firstLine="560"/>
        <w:rPr>
          <w:szCs w:val="28"/>
        </w:rPr>
      </w:pPr>
      <w:r>
        <w:rPr>
          <w:szCs w:val="28"/>
        </w:rPr>
        <w:t>η</w:t>
      </w:r>
      <w:r>
        <w:rPr>
          <w:szCs w:val="28"/>
          <w:vertAlign w:val="subscript"/>
        </w:rPr>
        <w:t xml:space="preserve"> </w:t>
      </w:r>
      <w:r>
        <w:rPr>
          <w:szCs w:val="28"/>
        </w:rPr>
        <w:t>——系数。</w:t>
      </w:r>
    </w:p>
    <w:p w14:paraId="46D02804">
      <w:pPr>
        <w:widowControl/>
        <w:snapToGrid w:val="0"/>
        <w:spacing w:line="360" w:lineRule="auto"/>
        <w:ind w:firstLine="560"/>
        <w:rPr>
          <w:szCs w:val="28"/>
        </w:rPr>
      </w:pPr>
      <w:bookmarkStart w:id="116" w:name="OLE_LINK14"/>
      <w:bookmarkStart w:id="117" w:name="OLE_LINK19"/>
      <w:r>
        <w:rPr>
          <w:szCs w:val="28"/>
        </w:rPr>
        <w:t>一期</w:t>
      </w:r>
      <w:bookmarkStart w:id="118" w:name="OLE_LINK22"/>
      <w:r>
        <w:rPr>
          <w:szCs w:val="28"/>
        </w:rPr>
        <w:t>开采</w:t>
      </w:r>
      <w:bookmarkEnd w:id="118"/>
      <w:r>
        <w:rPr>
          <w:szCs w:val="28"/>
        </w:rPr>
        <w:t>涌水量</w:t>
      </w:r>
      <w:r>
        <w:rPr>
          <w:rFonts w:hint="eastAsia"/>
          <w:szCs w:val="28"/>
        </w:rPr>
        <w:t>：</w:t>
      </w:r>
    </w:p>
    <w:bookmarkEnd w:id="116"/>
    <w:bookmarkEnd w:id="117"/>
    <w:p w14:paraId="3A9BFEBD">
      <w:pPr>
        <w:widowControl/>
        <w:snapToGrid w:val="0"/>
        <w:spacing w:line="360" w:lineRule="auto"/>
        <w:ind w:firstLine="560"/>
        <w:rPr>
          <w:szCs w:val="28"/>
        </w:rPr>
      </w:pPr>
      <w:r>
        <w:rPr>
          <w:szCs w:val="28"/>
        </w:rPr>
        <w:t>一期开采彭集矿段-475m以上矿体，首采阶段为-400m~-475m，-505m为运输水平。一期在-505m水平设排水系统，一段式集中排水。</w:t>
      </w:r>
    </w:p>
    <w:p w14:paraId="0D8877F9">
      <w:pPr>
        <w:widowControl/>
        <w:snapToGrid w:val="0"/>
        <w:spacing w:line="360" w:lineRule="auto"/>
        <w:ind w:firstLine="560"/>
        <w:rPr>
          <w:szCs w:val="28"/>
        </w:rPr>
      </w:pPr>
      <w:bookmarkStart w:id="119" w:name="OLE_LINK15"/>
      <w:r>
        <w:rPr>
          <w:szCs w:val="28"/>
        </w:rPr>
        <w:t>一期</w:t>
      </w:r>
      <w:bookmarkEnd w:id="119"/>
      <w:r>
        <w:rPr>
          <w:szCs w:val="28"/>
        </w:rPr>
        <w:t>开采各项参数及计算结果见表3.7-3。</w:t>
      </w:r>
    </w:p>
    <w:p w14:paraId="542737C8">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表3</w:t>
      </w:r>
      <w:r>
        <w:rPr>
          <w:rFonts w:asciiTheme="minorHAnsi" w:hAnsiTheme="minorHAnsi" w:cstheme="minorHAnsi"/>
          <w:szCs w:val="24"/>
        </w:rPr>
        <w:t xml:space="preserve">.7-3 </w:t>
      </w:r>
      <w:r>
        <w:rPr>
          <w:rFonts w:hint="eastAsia" w:asciiTheme="minorHAnsi" w:hAnsiTheme="minorHAnsi" w:cstheme="minorHAnsi"/>
          <w:szCs w:val="24"/>
        </w:rPr>
        <w:t>一期开采地下水涌水量计算结果表</w:t>
      </w:r>
    </w:p>
    <w:tbl>
      <w:tblPr>
        <w:tblStyle w:val="54"/>
        <w:tblpPr w:leftFromText="180" w:rightFromText="180" w:vertAnchor="text" w:tblpX="-137" w:tblpY="1"/>
        <w:tblOverlap w:val="never"/>
        <w:tblW w:w="5282" w:type="pct"/>
        <w:tblInd w:w="0" w:type="dxa"/>
        <w:tblLayout w:type="fixed"/>
        <w:tblCellMar>
          <w:top w:w="0" w:type="dxa"/>
          <w:left w:w="0" w:type="dxa"/>
          <w:bottom w:w="0" w:type="dxa"/>
          <w:right w:w="0" w:type="dxa"/>
        </w:tblCellMar>
      </w:tblPr>
      <w:tblGrid>
        <w:gridCol w:w="845"/>
        <w:gridCol w:w="855"/>
        <w:gridCol w:w="858"/>
        <w:gridCol w:w="705"/>
        <w:gridCol w:w="698"/>
        <w:gridCol w:w="519"/>
        <w:gridCol w:w="846"/>
        <w:gridCol w:w="742"/>
        <w:gridCol w:w="920"/>
        <w:gridCol w:w="854"/>
        <w:gridCol w:w="754"/>
        <w:gridCol w:w="1239"/>
      </w:tblGrid>
      <w:tr w14:paraId="354D5F3C">
        <w:tblPrEx>
          <w:tblCellMar>
            <w:top w:w="0" w:type="dxa"/>
            <w:left w:w="0" w:type="dxa"/>
            <w:bottom w:w="0" w:type="dxa"/>
            <w:right w:w="0" w:type="dxa"/>
          </w:tblCellMar>
        </w:tblPrEx>
        <w:trPr>
          <w:trHeight w:val="510" w:hRule="atLeast"/>
        </w:trPr>
        <w:tc>
          <w:tcPr>
            <w:tcW w:w="430" w:type="pct"/>
            <w:tcBorders>
              <w:top w:val="single" w:color="auto" w:sz="4" w:space="0"/>
              <w:left w:val="single" w:color="auto" w:sz="4" w:space="0"/>
              <w:bottom w:val="single" w:color="auto" w:sz="4" w:space="0"/>
              <w:right w:val="single" w:color="auto" w:sz="4" w:space="0"/>
            </w:tcBorders>
            <w:noWrap/>
            <w:vAlign w:val="center"/>
          </w:tcPr>
          <w:p w14:paraId="0DC93361">
            <w:pPr>
              <w:pStyle w:val="116"/>
              <w:adjustRightInd w:val="0"/>
              <w:snapToGrid w:val="0"/>
              <w:spacing w:line="240" w:lineRule="auto"/>
              <w:rPr>
                <w:w w:val="90"/>
                <w:sz w:val="21"/>
                <w:szCs w:val="21"/>
              </w:rPr>
            </w:pPr>
            <w:bookmarkStart w:id="120" w:name="OLE_LINK17"/>
            <w:r>
              <w:rPr>
                <w:rFonts w:hint="eastAsia"/>
                <w:w w:val="90"/>
                <w:sz w:val="21"/>
                <w:szCs w:val="21"/>
              </w:rPr>
              <w:t>排水</w:t>
            </w:r>
          </w:p>
          <w:p w14:paraId="7AC4CBA7">
            <w:pPr>
              <w:pStyle w:val="116"/>
              <w:adjustRightInd w:val="0"/>
              <w:snapToGrid w:val="0"/>
              <w:spacing w:line="240" w:lineRule="auto"/>
              <w:rPr>
                <w:w w:val="90"/>
                <w:sz w:val="21"/>
                <w:szCs w:val="21"/>
              </w:rPr>
            </w:pPr>
            <w:r>
              <w:rPr>
                <w:w w:val="90"/>
                <w:sz w:val="21"/>
                <w:szCs w:val="21"/>
              </w:rPr>
              <w:t>水平</w:t>
            </w:r>
          </w:p>
          <w:bookmarkEnd w:id="120"/>
          <w:p w14:paraId="6AC5C771">
            <w:pPr>
              <w:pStyle w:val="116"/>
              <w:adjustRightInd w:val="0"/>
              <w:snapToGrid w:val="0"/>
              <w:spacing w:line="240" w:lineRule="auto"/>
              <w:rPr>
                <w:w w:val="90"/>
                <w:sz w:val="21"/>
                <w:szCs w:val="21"/>
              </w:rPr>
            </w:pPr>
            <w:r>
              <w:rPr>
                <w:w w:val="90"/>
                <w:sz w:val="21"/>
                <w:szCs w:val="21"/>
              </w:rPr>
              <w:t>（m）</w:t>
            </w:r>
          </w:p>
        </w:tc>
        <w:tc>
          <w:tcPr>
            <w:tcW w:w="435" w:type="pct"/>
            <w:tcBorders>
              <w:top w:val="single" w:color="auto" w:sz="4" w:space="0"/>
              <w:left w:val="single" w:color="auto" w:sz="4" w:space="0"/>
              <w:bottom w:val="single" w:color="auto" w:sz="4" w:space="0"/>
              <w:right w:val="single" w:color="auto" w:sz="4" w:space="0"/>
            </w:tcBorders>
            <w:vAlign w:val="center"/>
          </w:tcPr>
          <w:p w14:paraId="40812AF8">
            <w:pPr>
              <w:pStyle w:val="116"/>
              <w:adjustRightInd w:val="0"/>
              <w:snapToGrid w:val="0"/>
              <w:spacing w:line="240" w:lineRule="auto"/>
              <w:rPr>
                <w:w w:val="90"/>
                <w:sz w:val="21"/>
                <w:szCs w:val="21"/>
              </w:rPr>
            </w:pPr>
            <w:r>
              <w:rPr>
                <w:w w:val="90"/>
                <w:sz w:val="21"/>
                <w:szCs w:val="21"/>
              </w:rPr>
              <w:t>K</w:t>
            </w:r>
          </w:p>
          <w:p w14:paraId="365A3BBE">
            <w:pPr>
              <w:pStyle w:val="116"/>
              <w:adjustRightInd w:val="0"/>
              <w:snapToGrid w:val="0"/>
              <w:spacing w:line="240" w:lineRule="auto"/>
              <w:rPr>
                <w:w w:val="90"/>
                <w:sz w:val="21"/>
                <w:szCs w:val="21"/>
              </w:rPr>
            </w:pPr>
            <w:r>
              <w:rPr>
                <w:w w:val="90"/>
                <w:sz w:val="21"/>
                <w:szCs w:val="21"/>
              </w:rPr>
              <w:t>（m/d）</w:t>
            </w:r>
          </w:p>
        </w:tc>
        <w:tc>
          <w:tcPr>
            <w:tcW w:w="436" w:type="pct"/>
            <w:tcBorders>
              <w:top w:val="single" w:color="auto" w:sz="4" w:space="0"/>
              <w:left w:val="single" w:color="auto" w:sz="4" w:space="0"/>
              <w:bottom w:val="single" w:color="auto" w:sz="4" w:space="0"/>
              <w:right w:val="single" w:color="auto" w:sz="4" w:space="0"/>
            </w:tcBorders>
            <w:vAlign w:val="center"/>
          </w:tcPr>
          <w:p w14:paraId="3EB2C516">
            <w:pPr>
              <w:pStyle w:val="116"/>
              <w:adjustRightInd w:val="0"/>
              <w:snapToGrid w:val="0"/>
              <w:spacing w:line="240" w:lineRule="auto"/>
              <w:rPr>
                <w:w w:val="90"/>
                <w:sz w:val="21"/>
                <w:szCs w:val="21"/>
                <w:vertAlign w:val="subscript"/>
              </w:rPr>
            </w:pPr>
            <w:r>
              <w:rPr>
                <w:w w:val="90"/>
                <w:sz w:val="21"/>
                <w:szCs w:val="21"/>
              </w:rPr>
              <w:t>R</w:t>
            </w:r>
            <w:r>
              <w:rPr>
                <w:w w:val="90"/>
                <w:sz w:val="21"/>
                <w:szCs w:val="21"/>
                <w:vertAlign w:val="subscript"/>
              </w:rPr>
              <w:t>0</w:t>
            </w:r>
          </w:p>
          <w:p w14:paraId="6B3FA765">
            <w:pPr>
              <w:pStyle w:val="116"/>
              <w:adjustRightInd w:val="0"/>
              <w:snapToGrid w:val="0"/>
              <w:spacing w:line="240" w:lineRule="auto"/>
              <w:rPr>
                <w:w w:val="90"/>
                <w:sz w:val="21"/>
                <w:szCs w:val="21"/>
              </w:rPr>
            </w:pPr>
            <w:r>
              <w:rPr>
                <w:w w:val="90"/>
                <w:sz w:val="21"/>
                <w:szCs w:val="21"/>
              </w:rPr>
              <w:t>（m）</w:t>
            </w:r>
          </w:p>
        </w:tc>
        <w:tc>
          <w:tcPr>
            <w:tcW w:w="358" w:type="pct"/>
            <w:tcBorders>
              <w:top w:val="single" w:color="auto" w:sz="4" w:space="0"/>
              <w:left w:val="single" w:color="auto" w:sz="4" w:space="0"/>
              <w:bottom w:val="single" w:color="auto" w:sz="4" w:space="0"/>
              <w:right w:val="single" w:color="auto" w:sz="4" w:space="0"/>
            </w:tcBorders>
            <w:vAlign w:val="center"/>
          </w:tcPr>
          <w:p w14:paraId="0405B5B2">
            <w:pPr>
              <w:pStyle w:val="116"/>
              <w:adjustRightInd w:val="0"/>
              <w:snapToGrid w:val="0"/>
              <w:spacing w:line="240" w:lineRule="auto"/>
              <w:rPr>
                <w:w w:val="90"/>
                <w:sz w:val="21"/>
                <w:szCs w:val="21"/>
              </w:rPr>
            </w:pPr>
            <w:r>
              <w:rPr>
                <w:sz w:val="21"/>
                <w:szCs w:val="21"/>
              </w:rPr>
              <w:t>a</w:t>
            </w:r>
          </w:p>
          <w:p w14:paraId="6A1825A2">
            <w:pPr>
              <w:pStyle w:val="116"/>
              <w:adjustRightInd w:val="0"/>
              <w:snapToGrid w:val="0"/>
              <w:spacing w:line="240" w:lineRule="auto"/>
              <w:rPr>
                <w:w w:val="90"/>
                <w:sz w:val="21"/>
                <w:szCs w:val="21"/>
              </w:rPr>
            </w:pPr>
            <w:r>
              <w:rPr>
                <w:w w:val="90"/>
                <w:sz w:val="21"/>
                <w:szCs w:val="21"/>
              </w:rPr>
              <w:t>（m）</w:t>
            </w:r>
          </w:p>
        </w:tc>
        <w:tc>
          <w:tcPr>
            <w:tcW w:w="355" w:type="pct"/>
            <w:tcBorders>
              <w:top w:val="single" w:color="auto" w:sz="4" w:space="0"/>
              <w:left w:val="nil"/>
              <w:bottom w:val="single" w:color="auto" w:sz="4" w:space="0"/>
              <w:right w:val="single" w:color="auto" w:sz="4" w:space="0"/>
            </w:tcBorders>
            <w:noWrap/>
            <w:vAlign w:val="center"/>
          </w:tcPr>
          <w:p w14:paraId="3B68ABFE">
            <w:pPr>
              <w:pStyle w:val="116"/>
              <w:adjustRightInd w:val="0"/>
              <w:snapToGrid w:val="0"/>
              <w:spacing w:line="240" w:lineRule="auto"/>
              <w:rPr>
                <w:w w:val="90"/>
                <w:sz w:val="21"/>
                <w:szCs w:val="21"/>
              </w:rPr>
            </w:pPr>
            <w:r>
              <w:rPr>
                <w:sz w:val="21"/>
                <w:szCs w:val="21"/>
              </w:rPr>
              <w:t>b</w:t>
            </w:r>
          </w:p>
          <w:p w14:paraId="399AF794">
            <w:pPr>
              <w:pStyle w:val="116"/>
              <w:adjustRightInd w:val="0"/>
              <w:snapToGrid w:val="0"/>
              <w:spacing w:line="240" w:lineRule="auto"/>
              <w:rPr>
                <w:w w:val="90"/>
                <w:sz w:val="21"/>
                <w:szCs w:val="21"/>
              </w:rPr>
            </w:pPr>
            <w:r>
              <w:rPr>
                <w:w w:val="90"/>
                <w:sz w:val="21"/>
                <w:szCs w:val="21"/>
              </w:rPr>
              <w:t>（m）</w:t>
            </w:r>
          </w:p>
        </w:tc>
        <w:tc>
          <w:tcPr>
            <w:tcW w:w="264" w:type="pct"/>
            <w:tcBorders>
              <w:top w:val="single" w:color="auto" w:sz="4" w:space="0"/>
              <w:left w:val="nil"/>
              <w:bottom w:val="single" w:color="auto" w:sz="4" w:space="0"/>
              <w:right w:val="single" w:color="auto" w:sz="4" w:space="0"/>
            </w:tcBorders>
            <w:vAlign w:val="center"/>
          </w:tcPr>
          <w:p w14:paraId="0918CD79">
            <w:pPr>
              <w:pStyle w:val="116"/>
              <w:adjustRightInd w:val="0"/>
              <w:snapToGrid w:val="0"/>
              <w:spacing w:line="240" w:lineRule="auto"/>
              <w:rPr>
                <w:sz w:val="21"/>
                <w:szCs w:val="21"/>
              </w:rPr>
            </w:pPr>
            <w:r>
              <w:rPr>
                <w:sz w:val="21"/>
                <w:szCs w:val="21"/>
              </w:rPr>
              <w:t>η</w:t>
            </w:r>
          </w:p>
        </w:tc>
        <w:tc>
          <w:tcPr>
            <w:tcW w:w="430" w:type="pct"/>
            <w:tcBorders>
              <w:top w:val="single" w:color="auto" w:sz="4" w:space="0"/>
              <w:left w:val="nil"/>
              <w:bottom w:val="single" w:color="auto" w:sz="4" w:space="0"/>
              <w:right w:val="single" w:color="auto" w:sz="4" w:space="0"/>
            </w:tcBorders>
            <w:noWrap/>
            <w:vAlign w:val="center"/>
          </w:tcPr>
          <w:p w14:paraId="178F533B">
            <w:pPr>
              <w:pStyle w:val="116"/>
              <w:adjustRightInd w:val="0"/>
              <w:snapToGrid w:val="0"/>
              <w:spacing w:line="240" w:lineRule="auto"/>
              <w:rPr>
                <w:w w:val="90"/>
                <w:sz w:val="21"/>
                <w:szCs w:val="21"/>
              </w:rPr>
            </w:pPr>
            <w:r>
              <w:rPr>
                <w:w w:val="90"/>
                <w:sz w:val="21"/>
                <w:szCs w:val="21"/>
              </w:rPr>
              <w:t>R</w:t>
            </w:r>
          </w:p>
          <w:p w14:paraId="7078C1B7">
            <w:pPr>
              <w:pStyle w:val="116"/>
              <w:adjustRightInd w:val="0"/>
              <w:snapToGrid w:val="0"/>
              <w:spacing w:line="240" w:lineRule="auto"/>
              <w:rPr>
                <w:w w:val="90"/>
                <w:sz w:val="21"/>
                <w:szCs w:val="21"/>
              </w:rPr>
            </w:pPr>
            <w:r>
              <w:rPr>
                <w:w w:val="90"/>
                <w:sz w:val="21"/>
                <w:szCs w:val="21"/>
              </w:rPr>
              <w:t>（m）</w:t>
            </w:r>
          </w:p>
        </w:tc>
        <w:tc>
          <w:tcPr>
            <w:tcW w:w="377" w:type="pct"/>
            <w:tcBorders>
              <w:top w:val="single" w:color="auto" w:sz="4" w:space="0"/>
              <w:left w:val="nil"/>
              <w:bottom w:val="single" w:color="auto" w:sz="4" w:space="0"/>
              <w:right w:val="single" w:color="auto" w:sz="4" w:space="0"/>
            </w:tcBorders>
            <w:noWrap/>
            <w:vAlign w:val="center"/>
          </w:tcPr>
          <w:p w14:paraId="63AC8E07">
            <w:pPr>
              <w:pStyle w:val="116"/>
              <w:adjustRightInd w:val="0"/>
              <w:snapToGrid w:val="0"/>
              <w:spacing w:line="240" w:lineRule="auto"/>
              <w:rPr>
                <w:w w:val="90"/>
                <w:sz w:val="21"/>
                <w:szCs w:val="21"/>
                <w:vertAlign w:val="subscript"/>
              </w:rPr>
            </w:pPr>
            <w:r>
              <w:rPr>
                <w:w w:val="90"/>
                <w:sz w:val="21"/>
                <w:szCs w:val="21"/>
              </w:rPr>
              <w:t>r</w:t>
            </w:r>
            <w:r>
              <w:rPr>
                <w:w w:val="90"/>
                <w:sz w:val="21"/>
                <w:szCs w:val="21"/>
                <w:vertAlign w:val="subscript"/>
              </w:rPr>
              <w:t>0</w:t>
            </w:r>
          </w:p>
          <w:p w14:paraId="6DD188D1">
            <w:pPr>
              <w:pStyle w:val="116"/>
              <w:adjustRightInd w:val="0"/>
              <w:snapToGrid w:val="0"/>
              <w:spacing w:line="240" w:lineRule="auto"/>
              <w:rPr>
                <w:w w:val="90"/>
                <w:sz w:val="21"/>
                <w:szCs w:val="21"/>
              </w:rPr>
            </w:pPr>
            <w:r>
              <w:rPr>
                <w:w w:val="90"/>
                <w:sz w:val="21"/>
                <w:szCs w:val="21"/>
              </w:rPr>
              <w:t>（m）</w:t>
            </w:r>
          </w:p>
        </w:tc>
        <w:tc>
          <w:tcPr>
            <w:tcW w:w="468" w:type="pct"/>
            <w:tcBorders>
              <w:top w:val="single" w:color="auto" w:sz="4" w:space="0"/>
              <w:left w:val="nil"/>
              <w:bottom w:val="single" w:color="auto" w:sz="4" w:space="0"/>
              <w:right w:val="single" w:color="auto" w:sz="4" w:space="0"/>
            </w:tcBorders>
            <w:noWrap/>
            <w:vAlign w:val="center"/>
          </w:tcPr>
          <w:p w14:paraId="1A7AB7CF">
            <w:pPr>
              <w:pStyle w:val="116"/>
              <w:adjustRightInd w:val="0"/>
              <w:snapToGrid w:val="0"/>
              <w:spacing w:line="240" w:lineRule="auto"/>
              <w:rPr>
                <w:w w:val="90"/>
                <w:sz w:val="21"/>
                <w:szCs w:val="21"/>
              </w:rPr>
            </w:pPr>
            <w:r>
              <w:rPr>
                <w:w w:val="90"/>
                <w:sz w:val="21"/>
                <w:szCs w:val="21"/>
              </w:rPr>
              <w:t>M</w:t>
            </w:r>
          </w:p>
          <w:p w14:paraId="70EA39AB">
            <w:pPr>
              <w:pStyle w:val="116"/>
              <w:adjustRightInd w:val="0"/>
              <w:snapToGrid w:val="0"/>
              <w:spacing w:line="240" w:lineRule="auto"/>
              <w:rPr>
                <w:w w:val="90"/>
                <w:sz w:val="21"/>
                <w:szCs w:val="21"/>
              </w:rPr>
            </w:pPr>
            <w:r>
              <w:rPr>
                <w:w w:val="90"/>
                <w:sz w:val="21"/>
                <w:szCs w:val="21"/>
              </w:rPr>
              <w:t>（m）</w:t>
            </w:r>
          </w:p>
        </w:tc>
        <w:tc>
          <w:tcPr>
            <w:tcW w:w="434" w:type="pct"/>
            <w:tcBorders>
              <w:top w:val="single" w:color="auto" w:sz="4" w:space="0"/>
              <w:left w:val="nil"/>
              <w:bottom w:val="single" w:color="auto" w:sz="4" w:space="0"/>
              <w:right w:val="single" w:color="auto" w:sz="4" w:space="0"/>
            </w:tcBorders>
            <w:noWrap/>
            <w:vAlign w:val="center"/>
          </w:tcPr>
          <w:p w14:paraId="64B33B2C">
            <w:pPr>
              <w:pStyle w:val="116"/>
              <w:adjustRightInd w:val="0"/>
              <w:snapToGrid w:val="0"/>
              <w:spacing w:line="240" w:lineRule="auto"/>
              <w:rPr>
                <w:w w:val="90"/>
                <w:sz w:val="21"/>
                <w:szCs w:val="21"/>
              </w:rPr>
            </w:pPr>
            <w:r>
              <w:rPr>
                <w:w w:val="90"/>
                <w:sz w:val="21"/>
                <w:szCs w:val="21"/>
              </w:rPr>
              <w:t>S</w:t>
            </w:r>
          </w:p>
          <w:p w14:paraId="4AF1F01C">
            <w:pPr>
              <w:pStyle w:val="116"/>
              <w:adjustRightInd w:val="0"/>
              <w:snapToGrid w:val="0"/>
              <w:spacing w:line="240" w:lineRule="auto"/>
              <w:rPr>
                <w:w w:val="90"/>
                <w:sz w:val="21"/>
                <w:szCs w:val="21"/>
              </w:rPr>
            </w:pPr>
            <w:r>
              <w:rPr>
                <w:w w:val="90"/>
                <w:sz w:val="21"/>
                <w:szCs w:val="21"/>
              </w:rPr>
              <w:t>（m）</w:t>
            </w:r>
          </w:p>
        </w:tc>
        <w:tc>
          <w:tcPr>
            <w:tcW w:w="383" w:type="pct"/>
            <w:tcBorders>
              <w:top w:val="single" w:color="auto" w:sz="4" w:space="0"/>
              <w:left w:val="nil"/>
              <w:bottom w:val="single" w:color="auto" w:sz="4" w:space="0"/>
              <w:right w:val="single" w:color="auto" w:sz="4" w:space="0"/>
            </w:tcBorders>
            <w:noWrap/>
            <w:vAlign w:val="center"/>
          </w:tcPr>
          <w:p w14:paraId="3E9535F1">
            <w:pPr>
              <w:pStyle w:val="116"/>
              <w:adjustRightInd w:val="0"/>
              <w:snapToGrid w:val="0"/>
              <w:spacing w:line="240" w:lineRule="auto"/>
              <w:rPr>
                <w:w w:val="90"/>
                <w:sz w:val="21"/>
                <w:szCs w:val="21"/>
                <w:vertAlign w:val="subscript"/>
              </w:rPr>
            </w:pPr>
            <w:r>
              <w:rPr>
                <w:w w:val="90"/>
                <w:sz w:val="21"/>
                <w:szCs w:val="21"/>
              </w:rPr>
              <w:t>Q</w:t>
            </w:r>
          </w:p>
          <w:p w14:paraId="7D433B3C">
            <w:pPr>
              <w:pStyle w:val="116"/>
              <w:adjustRightInd w:val="0"/>
              <w:snapToGrid w:val="0"/>
              <w:spacing w:line="240" w:lineRule="auto"/>
              <w:rPr>
                <w:w w:val="90"/>
                <w:sz w:val="21"/>
                <w:szCs w:val="21"/>
              </w:rPr>
            </w:pPr>
            <w:r>
              <w:rPr>
                <w:w w:val="90"/>
                <w:sz w:val="21"/>
                <w:szCs w:val="21"/>
              </w:rPr>
              <w:t>（m</w:t>
            </w:r>
            <w:r>
              <w:rPr>
                <w:w w:val="90"/>
                <w:sz w:val="21"/>
                <w:szCs w:val="21"/>
                <w:vertAlign w:val="superscript"/>
              </w:rPr>
              <w:t>3</w:t>
            </w:r>
            <w:r>
              <w:rPr>
                <w:w w:val="90"/>
                <w:sz w:val="21"/>
                <w:szCs w:val="21"/>
              </w:rPr>
              <w:t>/d）</w:t>
            </w:r>
          </w:p>
        </w:tc>
        <w:tc>
          <w:tcPr>
            <w:tcW w:w="631" w:type="pct"/>
            <w:tcBorders>
              <w:top w:val="single" w:color="auto" w:sz="4" w:space="0"/>
              <w:left w:val="nil"/>
              <w:bottom w:val="single" w:color="auto" w:sz="4" w:space="0"/>
              <w:right w:val="single" w:color="auto" w:sz="4" w:space="0"/>
            </w:tcBorders>
            <w:noWrap/>
            <w:vAlign w:val="center"/>
          </w:tcPr>
          <w:p w14:paraId="17446117">
            <w:pPr>
              <w:pStyle w:val="116"/>
              <w:adjustRightInd w:val="0"/>
              <w:snapToGrid w:val="0"/>
              <w:spacing w:line="240" w:lineRule="auto"/>
              <w:rPr>
                <w:w w:val="90"/>
                <w:sz w:val="21"/>
                <w:szCs w:val="21"/>
              </w:rPr>
            </w:pPr>
            <w:r>
              <w:rPr>
                <w:rFonts w:hint="eastAsia"/>
                <w:w w:val="90"/>
                <w:sz w:val="21"/>
                <w:szCs w:val="21"/>
              </w:rPr>
              <w:t>备注</w:t>
            </w:r>
          </w:p>
        </w:tc>
      </w:tr>
      <w:tr w14:paraId="4EAD1D0B">
        <w:tblPrEx>
          <w:tblCellMar>
            <w:top w:w="0" w:type="dxa"/>
            <w:left w:w="0" w:type="dxa"/>
            <w:bottom w:w="0" w:type="dxa"/>
            <w:right w:w="0" w:type="dxa"/>
          </w:tblCellMar>
        </w:tblPrEx>
        <w:trPr>
          <w:trHeight w:val="510" w:hRule="atLeast"/>
        </w:trPr>
        <w:tc>
          <w:tcPr>
            <w:tcW w:w="430" w:type="pct"/>
            <w:tcBorders>
              <w:top w:val="single" w:color="auto" w:sz="4" w:space="0"/>
              <w:left w:val="single" w:color="auto" w:sz="4" w:space="0"/>
              <w:bottom w:val="single" w:color="auto" w:sz="4" w:space="0"/>
              <w:right w:val="single" w:color="auto" w:sz="4" w:space="0"/>
            </w:tcBorders>
            <w:noWrap/>
            <w:vAlign w:val="center"/>
          </w:tcPr>
          <w:p w14:paraId="744B5D41">
            <w:pPr>
              <w:widowControl/>
              <w:adjustRightInd w:val="0"/>
              <w:snapToGrid w:val="0"/>
              <w:spacing w:line="240" w:lineRule="auto"/>
              <w:ind w:firstLine="0" w:firstLineChars="0"/>
              <w:jc w:val="center"/>
              <w:textAlignment w:val="center"/>
              <w:rPr>
                <w:w w:val="90"/>
                <w:sz w:val="21"/>
                <w:szCs w:val="21"/>
              </w:rPr>
            </w:pPr>
            <w:r>
              <w:rPr>
                <w:kern w:val="0"/>
                <w:sz w:val="21"/>
                <w:szCs w:val="21"/>
                <w:lang w:bidi="ar"/>
              </w:rPr>
              <w:t>-505</w:t>
            </w:r>
          </w:p>
        </w:tc>
        <w:tc>
          <w:tcPr>
            <w:tcW w:w="435" w:type="pct"/>
            <w:tcBorders>
              <w:top w:val="single" w:color="auto" w:sz="4" w:space="0"/>
              <w:left w:val="single" w:color="auto" w:sz="4" w:space="0"/>
              <w:bottom w:val="single" w:color="auto" w:sz="4" w:space="0"/>
              <w:right w:val="single" w:color="auto" w:sz="4" w:space="0"/>
            </w:tcBorders>
            <w:vAlign w:val="center"/>
          </w:tcPr>
          <w:p w14:paraId="0A458C5D">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0.0037</w:t>
            </w:r>
          </w:p>
        </w:tc>
        <w:tc>
          <w:tcPr>
            <w:tcW w:w="436" w:type="pct"/>
            <w:tcBorders>
              <w:top w:val="single" w:color="auto" w:sz="4" w:space="0"/>
              <w:left w:val="single" w:color="auto" w:sz="4" w:space="0"/>
              <w:bottom w:val="single" w:color="auto" w:sz="4" w:space="0"/>
              <w:right w:val="single" w:color="auto" w:sz="4" w:space="0"/>
            </w:tcBorders>
            <w:vAlign w:val="center"/>
          </w:tcPr>
          <w:p w14:paraId="2926881B">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1142.74</w:t>
            </w:r>
          </w:p>
        </w:tc>
        <w:tc>
          <w:tcPr>
            <w:tcW w:w="358" w:type="pct"/>
            <w:tcBorders>
              <w:top w:val="single" w:color="auto" w:sz="4" w:space="0"/>
              <w:left w:val="single" w:color="auto" w:sz="4" w:space="0"/>
              <w:bottom w:val="single" w:color="auto" w:sz="4" w:space="0"/>
              <w:right w:val="single" w:color="auto" w:sz="4" w:space="0"/>
            </w:tcBorders>
            <w:vAlign w:val="center"/>
          </w:tcPr>
          <w:p w14:paraId="46402FC0">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2810</w:t>
            </w:r>
          </w:p>
        </w:tc>
        <w:tc>
          <w:tcPr>
            <w:tcW w:w="355" w:type="pct"/>
            <w:tcBorders>
              <w:top w:val="single" w:color="auto" w:sz="4" w:space="0"/>
              <w:left w:val="single" w:color="auto" w:sz="4" w:space="0"/>
              <w:bottom w:val="single" w:color="auto" w:sz="4" w:space="0"/>
              <w:right w:val="single" w:color="auto" w:sz="4" w:space="0"/>
            </w:tcBorders>
            <w:noWrap/>
            <w:vAlign w:val="center"/>
          </w:tcPr>
          <w:p w14:paraId="2774BE94">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200</w:t>
            </w:r>
          </w:p>
        </w:tc>
        <w:tc>
          <w:tcPr>
            <w:tcW w:w="264" w:type="pct"/>
            <w:tcBorders>
              <w:top w:val="single" w:color="auto" w:sz="4" w:space="0"/>
              <w:left w:val="single" w:color="auto" w:sz="4" w:space="0"/>
              <w:bottom w:val="single" w:color="auto" w:sz="4" w:space="0"/>
              <w:right w:val="single" w:color="auto" w:sz="4" w:space="0"/>
            </w:tcBorders>
            <w:vAlign w:val="center"/>
          </w:tcPr>
          <w:p w14:paraId="44C007D6">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1.08</w:t>
            </w:r>
          </w:p>
        </w:tc>
        <w:tc>
          <w:tcPr>
            <w:tcW w:w="430" w:type="pct"/>
            <w:tcBorders>
              <w:top w:val="single" w:color="auto" w:sz="4" w:space="0"/>
              <w:left w:val="single" w:color="auto" w:sz="4" w:space="0"/>
              <w:bottom w:val="single" w:color="auto" w:sz="4" w:space="0"/>
              <w:right w:val="single" w:color="auto" w:sz="4" w:space="0"/>
            </w:tcBorders>
            <w:noWrap/>
            <w:vAlign w:val="center"/>
          </w:tcPr>
          <w:p w14:paraId="15F96EF1">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330.04</w:t>
            </w:r>
          </w:p>
        </w:tc>
        <w:tc>
          <w:tcPr>
            <w:tcW w:w="377" w:type="pct"/>
            <w:tcBorders>
              <w:top w:val="single" w:color="auto" w:sz="4" w:space="0"/>
              <w:left w:val="single" w:color="auto" w:sz="4" w:space="0"/>
              <w:bottom w:val="single" w:color="auto" w:sz="4" w:space="0"/>
              <w:right w:val="single" w:color="auto" w:sz="4" w:space="0"/>
            </w:tcBorders>
            <w:noWrap/>
            <w:vAlign w:val="center"/>
          </w:tcPr>
          <w:p w14:paraId="1D21D0FF">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812.70</w:t>
            </w:r>
          </w:p>
        </w:tc>
        <w:tc>
          <w:tcPr>
            <w:tcW w:w="468" w:type="pct"/>
            <w:tcBorders>
              <w:top w:val="single" w:color="auto" w:sz="4" w:space="0"/>
              <w:left w:val="single" w:color="auto" w:sz="4" w:space="0"/>
              <w:bottom w:val="single" w:color="auto" w:sz="4" w:space="0"/>
              <w:right w:val="single" w:color="auto" w:sz="4" w:space="0"/>
            </w:tcBorders>
            <w:noWrap/>
            <w:vAlign w:val="center"/>
          </w:tcPr>
          <w:p w14:paraId="355B7804">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450.36</w:t>
            </w:r>
          </w:p>
        </w:tc>
        <w:tc>
          <w:tcPr>
            <w:tcW w:w="434" w:type="pct"/>
            <w:tcBorders>
              <w:top w:val="single" w:color="auto" w:sz="4" w:space="0"/>
              <w:left w:val="single" w:color="auto" w:sz="4" w:space="0"/>
              <w:bottom w:val="single" w:color="auto" w:sz="4" w:space="0"/>
              <w:right w:val="single" w:color="auto" w:sz="4" w:space="0"/>
            </w:tcBorders>
            <w:noWrap/>
            <w:vAlign w:val="center"/>
          </w:tcPr>
          <w:p w14:paraId="1117FFD5">
            <w:pPr>
              <w:widowControl/>
              <w:adjustRightInd w:val="0"/>
              <w:snapToGrid w:val="0"/>
              <w:spacing w:line="240" w:lineRule="auto"/>
              <w:ind w:firstLine="0" w:firstLineChars="0"/>
              <w:jc w:val="center"/>
              <w:textAlignment w:val="bottom"/>
              <w:rPr>
                <w:w w:val="90"/>
                <w:sz w:val="21"/>
                <w:szCs w:val="21"/>
              </w:rPr>
            </w:pPr>
            <w:r>
              <w:rPr>
                <w:kern w:val="0"/>
                <w:sz w:val="21"/>
                <w:szCs w:val="21"/>
                <w:lang w:bidi="ar"/>
              </w:rPr>
              <w:t>542.58</w:t>
            </w:r>
          </w:p>
        </w:tc>
        <w:tc>
          <w:tcPr>
            <w:tcW w:w="383" w:type="pct"/>
            <w:tcBorders>
              <w:top w:val="single" w:color="auto" w:sz="4" w:space="0"/>
              <w:left w:val="single" w:color="auto" w:sz="4" w:space="0"/>
              <w:bottom w:val="single" w:color="auto" w:sz="4" w:space="0"/>
              <w:right w:val="single" w:color="auto" w:sz="4" w:space="0"/>
            </w:tcBorders>
            <w:noWrap/>
            <w:vAlign w:val="center"/>
          </w:tcPr>
          <w:p w14:paraId="60BE41B4">
            <w:pPr>
              <w:widowControl/>
              <w:adjustRightInd w:val="0"/>
              <w:snapToGrid w:val="0"/>
              <w:spacing w:line="240" w:lineRule="auto"/>
              <w:ind w:firstLine="0" w:firstLineChars="0"/>
              <w:jc w:val="center"/>
              <w:textAlignment w:val="bottom"/>
              <w:rPr>
                <w:w w:val="90"/>
                <w:sz w:val="21"/>
                <w:szCs w:val="21"/>
              </w:rPr>
            </w:pPr>
            <w:bookmarkStart w:id="121" w:name="OLE_LINK18"/>
            <w:r>
              <w:rPr>
                <w:kern w:val="0"/>
                <w:sz w:val="21"/>
                <w:szCs w:val="21"/>
                <w:lang w:bidi="ar"/>
              </w:rPr>
              <w:t>9762</w:t>
            </w:r>
            <w:bookmarkEnd w:id="121"/>
          </w:p>
        </w:tc>
        <w:tc>
          <w:tcPr>
            <w:tcW w:w="631" w:type="pct"/>
            <w:tcBorders>
              <w:top w:val="single" w:color="auto" w:sz="4" w:space="0"/>
              <w:left w:val="single" w:color="auto" w:sz="4" w:space="0"/>
              <w:bottom w:val="single" w:color="auto" w:sz="4" w:space="0"/>
              <w:right w:val="single" w:color="auto" w:sz="4" w:space="0"/>
            </w:tcBorders>
            <w:noWrap/>
            <w:vAlign w:val="center"/>
          </w:tcPr>
          <w:p w14:paraId="7DEB807C">
            <w:pPr>
              <w:widowControl/>
              <w:adjustRightInd w:val="0"/>
              <w:snapToGrid w:val="0"/>
              <w:spacing w:line="240" w:lineRule="auto"/>
              <w:ind w:firstLine="0" w:firstLineChars="0"/>
              <w:jc w:val="center"/>
              <w:textAlignment w:val="bottom"/>
              <w:rPr>
                <w:kern w:val="0"/>
                <w:sz w:val="21"/>
                <w:szCs w:val="21"/>
                <w:lang w:bidi="ar"/>
              </w:rPr>
            </w:pPr>
            <w:bookmarkStart w:id="122" w:name="OLE_LINK16"/>
            <w:r>
              <w:rPr>
                <w:rFonts w:hint="eastAsia"/>
                <w:kern w:val="0"/>
                <w:sz w:val="21"/>
                <w:szCs w:val="21"/>
                <w:lang w:bidi="ar"/>
              </w:rPr>
              <w:t>彭集</w:t>
            </w:r>
            <w:bookmarkEnd w:id="122"/>
            <w:r>
              <w:rPr>
                <w:rFonts w:hint="eastAsia"/>
                <w:kern w:val="0"/>
                <w:sz w:val="21"/>
                <w:szCs w:val="21"/>
                <w:lang w:bidi="ar"/>
              </w:rPr>
              <w:t>矿段</w:t>
            </w:r>
          </w:p>
        </w:tc>
      </w:tr>
    </w:tbl>
    <w:p w14:paraId="41DF7EF9">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一期开采矿坑总涌水量计算结果见表</w:t>
      </w:r>
      <w:r>
        <w:rPr>
          <w:rFonts w:asciiTheme="minorHAnsi" w:hAnsiTheme="minorHAnsi" w:cstheme="minorHAnsi"/>
          <w:szCs w:val="24"/>
        </w:rPr>
        <w:t>3.7-4</w:t>
      </w:r>
      <w:r>
        <w:rPr>
          <w:rFonts w:hint="eastAsia" w:asciiTheme="minorHAnsi" w:hAnsiTheme="minorHAnsi" w:cstheme="minorHAnsi"/>
          <w:szCs w:val="24"/>
        </w:rPr>
        <w:t>。</w:t>
      </w:r>
    </w:p>
    <w:p w14:paraId="64B378D7">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表3</w:t>
      </w:r>
      <w:r>
        <w:rPr>
          <w:rFonts w:asciiTheme="minorHAnsi" w:hAnsiTheme="minorHAnsi" w:cstheme="minorHAnsi"/>
          <w:szCs w:val="24"/>
        </w:rPr>
        <w:t xml:space="preserve">.7-4 </w:t>
      </w:r>
      <w:r>
        <w:rPr>
          <w:rFonts w:hint="eastAsia" w:asciiTheme="minorHAnsi" w:hAnsiTheme="minorHAnsi" w:cstheme="minorHAnsi"/>
          <w:szCs w:val="24"/>
        </w:rPr>
        <w:t>一期开采矿坑总涌水量计算结果表</w:t>
      </w:r>
    </w:p>
    <w:tbl>
      <w:tblPr>
        <w:tblStyle w:val="5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3"/>
        <w:gridCol w:w="2190"/>
        <w:gridCol w:w="2192"/>
        <w:gridCol w:w="2397"/>
      </w:tblGrid>
      <w:tr w14:paraId="0EE08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restart"/>
            <w:vAlign w:val="center"/>
          </w:tcPr>
          <w:p w14:paraId="1421AFD3">
            <w:pPr>
              <w:pStyle w:val="116"/>
              <w:snapToGrid w:val="0"/>
              <w:spacing w:line="240" w:lineRule="auto"/>
              <w:rPr>
                <w:w w:val="90"/>
                <w:sz w:val="21"/>
              </w:rPr>
            </w:pPr>
            <w:r>
              <w:rPr>
                <w:rFonts w:hint="eastAsia"/>
                <w:w w:val="90"/>
                <w:sz w:val="21"/>
              </w:rPr>
              <w:t>排水</w:t>
            </w:r>
            <w:r>
              <w:rPr>
                <w:w w:val="90"/>
                <w:sz w:val="21"/>
              </w:rPr>
              <w:t>水平</w:t>
            </w:r>
          </w:p>
          <w:p w14:paraId="6B62F65C">
            <w:pPr>
              <w:pStyle w:val="116"/>
              <w:adjustRightInd w:val="0"/>
              <w:snapToGrid w:val="0"/>
              <w:spacing w:line="240" w:lineRule="auto"/>
              <w:rPr>
                <w:sz w:val="21"/>
              </w:rPr>
            </w:pPr>
            <w:r>
              <w:rPr>
                <w:rFonts w:hint="eastAsia"/>
                <w:sz w:val="21"/>
              </w:rPr>
              <w:t>（m）</w:t>
            </w:r>
          </w:p>
        </w:tc>
        <w:tc>
          <w:tcPr>
            <w:tcW w:w="2303" w:type="pct"/>
            <w:gridSpan w:val="2"/>
            <w:vAlign w:val="center"/>
          </w:tcPr>
          <w:p w14:paraId="4E9216EA">
            <w:pPr>
              <w:pStyle w:val="116"/>
              <w:adjustRightInd w:val="0"/>
              <w:snapToGrid w:val="0"/>
              <w:spacing w:line="240" w:lineRule="auto"/>
              <w:rPr>
                <w:sz w:val="21"/>
              </w:rPr>
            </w:pPr>
            <w:r>
              <w:rPr>
                <w:rFonts w:hint="eastAsia"/>
                <w:sz w:val="21"/>
              </w:rPr>
              <w:t>矿坑总涌水量（m</w:t>
            </w:r>
            <w:r>
              <w:rPr>
                <w:rFonts w:hint="eastAsia"/>
                <w:sz w:val="21"/>
                <w:vertAlign w:val="superscript"/>
              </w:rPr>
              <w:t>3</w:t>
            </w:r>
            <w:r>
              <w:rPr>
                <w:rFonts w:hint="eastAsia"/>
                <w:sz w:val="21"/>
              </w:rPr>
              <w:t>/d）</w:t>
            </w:r>
          </w:p>
        </w:tc>
        <w:tc>
          <w:tcPr>
            <w:tcW w:w="1260" w:type="pct"/>
            <w:vMerge w:val="restart"/>
            <w:vAlign w:val="center"/>
          </w:tcPr>
          <w:p w14:paraId="5585F3A3">
            <w:pPr>
              <w:pStyle w:val="116"/>
              <w:adjustRightInd w:val="0"/>
              <w:snapToGrid w:val="0"/>
              <w:spacing w:line="240" w:lineRule="auto"/>
              <w:rPr>
                <w:sz w:val="21"/>
              </w:rPr>
            </w:pPr>
            <w:r>
              <w:rPr>
                <w:rFonts w:hint="eastAsia"/>
                <w:sz w:val="21"/>
              </w:rPr>
              <w:t>备注</w:t>
            </w:r>
          </w:p>
        </w:tc>
      </w:tr>
      <w:tr w14:paraId="73802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7" w:type="pct"/>
            <w:vMerge w:val="continue"/>
            <w:vAlign w:val="center"/>
          </w:tcPr>
          <w:p w14:paraId="57632482">
            <w:pPr>
              <w:pStyle w:val="116"/>
              <w:adjustRightInd w:val="0"/>
              <w:snapToGrid w:val="0"/>
              <w:spacing w:line="240" w:lineRule="auto"/>
              <w:rPr>
                <w:sz w:val="21"/>
              </w:rPr>
            </w:pPr>
          </w:p>
        </w:tc>
        <w:tc>
          <w:tcPr>
            <w:tcW w:w="1151" w:type="pct"/>
            <w:vAlign w:val="center"/>
          </w:tcPr>
          <w:p w14:paraId="117C6D0A">
            <w:pPr>
              <w:pStyle w:val="116"/>
              <w:adjustRightInd w:val="0"/>
              <w:snapToGrid w:val="0"/>
              <w:spacing w:line="240" w:lineRule="auto"/>
              <w:rPr>
                <w:sz w:val="21"/>
              </w:rPr>
            </w:pPr>
            <w:r>
              <w:rPr>
                <w:rFonts w:hint="eastAsia"/>
                <w:sz w:val="21"/>
              </w:rPr>
              <w:t>正常</w:t>
            </w:r>
          </w:p>
        </w:tc>
        <w:tc>
          <w:tcPr>
            <w:tcW w:w="1152" w:type="pct"/>
            <w:vAlign w:val="center"/>
          </w:tcPr>
          <w:p w14:paraId="6D6FDBFE">
            <w:pPr>
              <w:pStyle w:val="116"/>
              <w:adjustRightInd w:val="0"/>
              <w:snapToGrid w:val="0"/>
              <w:spacing w:line="240" w:lineRule="auto"/>
              <w:rPr>
                <w:sz w:val="21"/>
              </w:rPr>
            </w:pPr>
            <w:r>
              <w:rPr>
                <w:rFonts w:hint="eastAsia"/>
                <w:sz w:val="21"/>
              </w:rPr>
              <w:t>最大</w:t>
            </w:r>
          </w:p>
        </w:tc>
        <w:tc>
          <w:tcPr>
            <w:tcW w:w="1260" w:type="pct"/>
            <w:vMerge w:val="continue"/>
            <w:vAlign w:val="center"/>
          </w:tcPr>
          <w:p w14:paraId="7757846C">
            <w:pPr>
              <w:pStyle w:val="116"/>
              <w:adjustRightInd w:val="0"/>
              <w:snapToGrid w:val="0"/>
              <w:spacing w:line="240" w:lineRule="auto"/>
              <w:rPr>
                <w:sz w:val="21"/>
              </w:rPr>
            </w:pPr>
          </w:p>
        </w:tc>
      </w:tr>
      <w:tr w14:paraId="21D33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rPr>
        <w:tc>
          <w:tcPr>
            <w:tcW w:w="1437" w:type="pct"/>
            <w:shd w:val="clear" w:color="auto" w:fill="FFFFFF"/>
            <w:noWrap/>
            <w:vAlign w:val="center"/>
          </w:tcPr>
          <w:p w14:paraId="171E42F4">
            <w:pPr>
              <w:pStyle w:val="116"/>
              <w:adjustRightInd w:val="0"/>
              <w:snapToGrid w:val="0"/>
              <w:spacing w:line="240" w:lineRule="auto"/>
              <w:rPr>
                <w:sz w:val="21"/>
              </w:rPr>
            </w:pPr>
            <w:r>
              <w:rPr>
                <w:rFonts w:hint="eastAsia"/>
                <w:sz w:val="21"/>
              </w:rPr>
              <w:t>-505</w:t>
            </w:r>
          </w:p>
        </w:tc>
        <w:tc>
          <w:tcPr>
            <w:tcW w:w="1151" w:type="pct"/>
            <w:shd w:val="clear" w:color="auto" w:fill="FFFFFF"/>
            <w:vAlign w:val="center"/>
          </w:tcPr>
          <w:p w14:paraId="7EFB4382">
            <w:pPr>
              <w:pStyle w:val="116"/>
              <w:adjustRightInd w:val="0"/>
              <w:snapToGrid w:val="0"/>
              <w:spacing w:line="240" w:lineRule="auto"/>
              <w:rPr>
                <w:sz w:val="21"/>
              </w:rPr>
            </w:pPr>
            <w:r>
              <w:rPr>
                <w:kern w:val="0"/>
                <w:sz w:val="21"/>
                <w:lang w:bidi="ar"/>
              </w:rPr>
              <w:t>9762</w:t>
            </w:r>
          </w:p>
        </w:tc>
        <w:tc>
          <w:tcPr>
            <w:tcW w:w="1152" w:type="pct"/>
            <w:shd w:val="clear" w:color="auto" w:fill="FFFFFF"/>
            <w:vAlign w:val="center"/>
          </w:tcPr>
          <w:p w14:paraId="0859CD43">
            <w:pPr>
              <w:pStyle w:val="116"/>
              <w:adjustRightInd w:val="0"/>
              <w:snapToGrid w:val="0"/>
              <w:spacing w:line="240" w:lineRule="auto"/>
              <w:rPr>
                <w:sz w:val="21"/>
              </w:rPr>
            </w:pPr>
            <w:r>
              <w:rPr>
                <w:rFonts w:hint="eastAsia"/>
                <w:sz w:val="21"/>
              </w:rPr>
              <w:t>14643</w:t>
            </w:r>
          </w:p>
        </w:tc>
        <w:tc>
          <w:tcPr>
            <w:tcW w:w="1260" w:type="pct"/>
            <w:shd w:val="clear" w:color="auto" w:fill="FFFFFF"/>
            <w:vAlign w:val="center"/>
          </w:tcPr>
          <w:p w14:paraId="782440B4">
            <w:pPr>
              <w:pStyle w:val="116"/>
              <w:adjustRightInd w:val="0"/>
              <w:snapToGrid w:val="0"/>
              <w:spacing w:line="240" w:lineRule="auto"/>
              <w:rPr>
                <w:sz w:val="21"/>
              </w:rPr>
            </w:pPr>
            <w:r>
              <w:rPr>
                <w:rFonts w:hint="eastAsia"/>
                <w:kern w:val="0"/>
                <w:sz w:val="21"/>
                <w:lang w:bidi="ar"/>
              </w:rPr>
              <w:t>彭集矿段</w:t>
            </w:r>
          </w:p>
        </w:tc>
      </w:tr>
    </w:tbl>
    <w:p w14:paraId="4418D4C4">
      <w:pPr>
        <w:snapToGrid w:val="0"/>
        <w:spacing w:line="360" w:lineRule="auto"/>
        <w:ind w:firstLine="480" w:firstLineChars="0"/>
        <w:rPr>
          <w:rFonts w:asciiTheme="minorHAnsi" w:hAnsiTheme="minorHAnsi" w:cstheme="minorHAnsi"/>
          <w:sz w:val="24"/>
          <w:szCs w:val="24"/>
        </w:rPr>
      </w:pPr>
      <w:r>
        <w:rPr>
          <w:rFonts w:hint="eastAsia" w:asciiTheme="minorHAnsi" w:hAnsiTheme="minorHAnsi" w:cstheme="minorHAnsi"/>
          <w:sz w:val="24"/>
          <w:szCs w:val="24"/>
        </w:rPr>
        <w:t>注：表中不包含充填析出水和生产用水量。根据储量核实报告，最大地下水涌水量按照正常涌水量的1.5倍考虑。</w:t>
      </w:r>
    </w:p>
    <w:p w14:paraId="46F63176">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二期涌水量：</w:t>
      </w:r>
    </w:p>
    <w:p w14:paraId="6DD45E65">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二期开采彭集矿段-475m~-795m之间矿体和冯家庄矿段-475m以上矿体。二期采用倒段排水方式，在彭集矿段-835m水平设排水系统，倒段至彭集-505m排水系统排至地表。冯家庄矿段二期开采利用一期彭集矿段-505m排水系统排水，井下涌水通过泄水井汇至-505m运输水平，水沟流至彭集矿段-505m水仓。</w:t>
      </w:r>
    </w:p>
    <w:p w14:paraId="36C0B674">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二期开采各项参数及计算结果见表</w:t>
      </w:r>
      <w:r>
        <w:rPr>
          <w:rFonts w:asciiTheme="minorHAnsi" w:hAnsiTheme="minorHAnsi" w:cstheme="minorHAnsi"/>
          <w:szCs w:val="24"/>
        </w:rPr>
        <w:t>3.7-5</w:t>
      </w:r>
      <w:r>
        <w:rPr>
          <w:rFonts w:hint="eastAsia" w:asciiTheme="minorHAnsi" w:hAnsiTheme="minorHAnsi" w:cstheme="minorHAnsi"/>
          <w:szCs w:val="24"/>
        </w:rPr>
        <w:t>。</w:t>
      </w:r>
    </w:p>
    <w:p w14:paraId="099EFADF">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表3</w:t>
      </w:r>
      <w:r>
        <w:rPr>
          <w:rFonts w:asciiTheme="minorHAnsi" w:hAnsiTheme="minorHAnsi" w:cstheme="minorHAnsi"/>
          <w:szCs w:val="24"/>
        </w:rPr>
        <w:t xml:space="preserve">.7-5 </w:t>
      </w:r>
      <w:r>
        <w:rPr>
          <w:rFonts w:hint="eastAsia" w:asciiTheme="minorHAnsi" w:hAnsiTheme="minorHAnsi" w:cstheme="minorHAnsi"/>
          <w:szCs w:val="24"/>
        </w:rPr>
        <w:t>二期开采地下水涌水量计算结果表</w:t>
      </w:r>
    </w:p>
    <w:tbl>
      <w:tblPr>
        <w:tblStyle w:val="54"/>
        <w:tblpPr w:leftFromText="180" w:rightFromText="180" w:vertAnchor="text" w:tblpX="-137" w:tblpY="1"/>
        <w:tblOverlap w:val="never"/>
        <w:tblW w:w="5282" w:type="pct"/>
        <w:tblInd w:w="0" w:type="dxa"/>
        <w:tblLayout w:type="fixed"/>
        <w:tblCellMar>
          <w:top w:w="0" w:type="dxa"/>
          <w:left w:w="0" w:type="dxa"/>
          <w:bottom w:w="0" w:type="dxa"/>
          <w:right w:w="0" w:type="dxa"/>
        </w:tblCellMar>
      </w:tblPr>
      <w:tblGrid>
        <w:gridCol w:w="845"/>
        <w:gridCol w:w="855"/>
        <w:gridCol w:w="858"/>
        <w:gridCol w:w="705"/>
        <w:gridCol w:w="698"/>
        <w:gridCol w:w="519"/>
        <w:gridCol w:w="846"/>
        <w:gridCol w:w="742"/>
        <w:gridCol w:w="920"/>
        <w:gridCol w:w="854"/>
        <w:gridCol w:w="754"/>
        <w:gridCol w:w="1239"/>
      </w:tblGrid>
      <w:tr w14:paraId="6B2A3A4D">
        <w:tblPrEx>
          <w:tblCellMar>
            <w:top w:w="0" w:type="dxa"/>
            <w:left w:w="0" w:type="dxa"/>
            <w:bottom w:w="0" w:type="dxa"/>
            <w:right w:w="0" w:type="dxa"/>
          </w:tblCellMar>
        </w:tblPrEx>
        <w:trPr>
          <w:trHeight w:val="510" w:hRule="atLeast"/>
        </w:trPr>
        <w:tc>
          <w:tcPr>
            <w:tcW w:w="430" w:type="pct"/>
            <w:tcBorders>
              <w:top w:val="single" w:color="auto" w:sz="4" w:space="0"/>
              <w:left w:val="single" w:color="auto" w:sz="4" w:space="0"/>
              <w:bottom w:val="single" w:color="auto" w:sz="4" w:space="0"/>
              <w:right w:val="single" w:color="auto" w:sz="4" w:space="0"/>
            </w:tcBorders>
            <w:noWrap/>
            <w:vAlign w:val="center"/>
          </w:tcPr>
          <w:p w14:paraId="02C03A5B">
            <w:pPr>
              <w:pStyle w:val="116"/>
              <w:adjustRightInd w:val="0"/>
              <w:snapToGrid w:val="0"/>
              <w:spacing w:line="240" w:lineRule="auto"/>
              <w:rPr>
                <w:w w:val="90"/>
                <w:sz w:val="21"/>
                <w:szCs w:val="21"/>
              </w:rPr>
            </w:pPr>
            <w:r>
              <w:rPr>
                <w:w w:val="90"/>
                <w:sz w:val="21"/>
                <w:szCs w:val="21"/>
              </w:rPr>
              <w:t>排水</w:t>
            </w:r>
          </w:p>
          <w:p w14:paraId="238B5D5F">
            <w:pPr>
              <w:pStyle w:val="116"/>
              <w:adjustRightInd w:val="0"/>
              <w:snapToGrid w:val="0"/>
              <w:spacing w:line="240" w:lineRule="auto"/>
              <w:rPr>
                <w:w w:val="90"/>
                <w:sz w:val="21"/>
                <w:szCs w:val="21"/>
              </w:rPr>
            </w:pPr>
            <w:r>
              <w:rPr>
                <w:w w:val="90"/>
                <w:sz w:val="21"/>
                <w:szCs w:val="21"/>
              </w:rPr>
              <w:t>水平</w:t>
            </w:r>
          </w:p>
          <w:p w14:paraId="3489D4B7">
            <w:pPr>
              <w:pStyle w:val="116"/>
              <w:adjustRightInd w:val="0"/>
              <w:snapToGrid w:val="0"/>
              <w:spacing w:line="240" w:lineRule="auto"/>
              <w:rPr>
                <w:w w:val="90"/>
                <w:sz w:val="21"/>
                <w:szCs w:val="21"/>
              </w:rPr>
            </w:pPr>
            <w:r>
              <w:rPr>
                <w:w w:val="90"/>
                <w:sz w:val="21"/>
                <w:szCs w:val="21"/>
              </w:rPr>
              <w:t>（m）</w:t>
            </w:r>
          </w:p>
        </w:tc>
        <w:tc>
          <w:tcPr>
            <w:tcW w:w="435" w:type="pct"/>
            <w:tcBorders>
              <w:top w:val="single" w:color="auto" w:sz="4" w:space="0"/>
              <w:left w:val="single" w:color="auto" w:sz="4" w:space="0"/>
              <w:bottom w:val="single" w:color="auto" w:sz="4" w:space="0"/>
              <w:right w:val="single" w:color="auto" w:sz="4" w:space="0"/>
            </w:tcBorders>
            <w:vAlign w:val="center"/>
          </w:tcPr>
          <w:p w14:paraId="26B23ABC">
            <w:pPr>
              <w:pStyle w:val="116"/>
              <w:adjustRightInd w:val="0"/>
              <w:snapToGrid w:val="0"/>
              <w:spacing w:line="240" w:lineRule="auto"/>
              <w:rPr>
                <w:w w:val="90"/>
                <w:sz w:val="21"/>
                <w:szCs w:val="21"/>
              </w:rPr>
            </w:pPr>
            <w:r>
              <w:rPr>
                <w:w w:val="90"/>
                <w:sz w:val="21"/>
                <w:szCs w:val="21"/>
              </w:rPr>
              <w:t>K</w:t>
            </w:r>
          </w:p>
          <w:p w14:paraId="1E84185D">
            <w:pPr>
              <w:pStyle w:val="116"/>
              <w:adjustRightInd w:val="0"/>
              <w:snapToGrid w:val="0"/>
              <w:spacing w:line="240" w:lineRule="auto"/>
              <w:rPr>
                <w:w w:val="90"/>
                <w:sz w:val="21"/>
                <w:szCs w:val="21"/>
              </w:rPr>
            </w:pPr>
            <w:r>
              <w:rPr>
                <w:w w:val="90"/>
                <w:sz w:val="21"/>
                <w:szCs w:val="21"/>
              </w:rPr>
              <w:t>（m/d）</w:t>
            </w:r>
          </w:p>
        </w:tc>
        <w:tc>
          <w:tcPr>
            <w:tcW w:w="436" w:type="pct"/>
            <w:tcBorders>
              <w:top w:val="single" w:color="auto" w:sz="4" w:space="0"/>
              <w:left w:val="single" w:color="auto" w:sz="4" w:space="0"/>
              <w:bottom w:val="single" w:color="auto" w:sz="4" w:space="0"/>
              <w:right w:val="single" w:color="auto" w:sz="4" w:space="0"/>
            </w:tcBorders>
            <w:vAlign w:val="center"/>
          </w:tcPr>
          <w:p w14:paraId="4CA76800">
            <w:pPr>
              <w:pStyle w:val="116"/>
              <w:adjustRightInd w:val="0"/>
              <w:snapToGrid w:val="0"/>
              <w:spacing w:line="240" w:lineRule="auto"/>
              <w:rPr>
                <w:w w:val="90"/>
                <w:sz w:val="21"/>
                <w:szCs w:val="21"/>
                <w:vertAlign w:val="subscript"/>
              </w:rPr>
            </w:pPr>
            <w:r>
              <w:rPr>
                <w:w w:val="90"/>
                <w:sz w:val="21"/>
                <w:szCs w:val="21"/>
              </w:rPr>
              <w:t>R</w:t>
            </w:r>
            <w:r>
              <w:rPr>
                <w:w w:val="90"/>
                <w:sz w:val="21"/>
                <w:szCs w:val="21"/>
                <w:vertAlign w:val="subscript"/>
              </w:rPr>
              <w:t>0</w:t>
            </w:r>
          </w:p>
          <w:p w14:paraId="4D4D9507">
            <w:pPr>
              <w:pStyle w:val="116"/>
              <w:adjustRightInd w:val="0"/>
              <w:snapToGrid w:val="0"/>
              <w:spacing w:line="240" w:lineRule="auto"/>
              <w:rPr>
                <w:w w:val="90"/>
                <w:sz w:val="21"/>
                <w:szCs w:val="21"/>
              </w:rPr>
            </w:pPr>
            <w:r>
              <w:rPr>
                <w:w w:val="90"/>
                <w:sz w:val="21"/>
                <w:szCs w:val="21"/>
              </w:rPr>
              <w:t>（m）</w:t>
            </w:r>
          </w:p>
        </w:tc>
        <w:tc>
          <w:tcPr>
            <w:tcW w:w="358" w:type="pct"/>
            <w:tcBorders>
              <w:top w:val="single" w:color="auto" w:sz="4" w:space="0"/>
              <w:left w:val="single" w:color="auto" w:sz="4" w:space="0"/>
              <w:bottom w:val="single" w:color="auto" w:sz="4" w:space="0"/>
              <w:right w:val="single" w:color="auto" w:sz="4" w:space="0"/>
            </w:tcBorders>
            <w:vAlign w:val="center"/>
          </w:tcPr>
          <w:p w14:paraId="345AFCE5">
            <w:pPr>
              <w:pStyle w:val="116"/>
              <w:adjustRightInd w:val="0"/>
              <w:snapToGrid w:val="0"/>
              <w:spacing w:line="240" w:lineRule="auto"/>
              <w:rPr>
                <w:w w:val="90"/>
                <w:sz w:val="21"/>
                <w:szCs w:val="21"/>
              </w:rPr>
            </w:pPr>
            <w:r>
              <w:rPr>
                <w:sz w:val="21"/>
                <w:szCs w:val="21"/>
              </w:rPr>
              <w:t>a</w:t>
            </w:r>
          </w:p>
          <w:p w14:paraId="21A49E62">
            <w:pPr>
              <w:pStyle w:val="116"/>
              <w:adjustRightInd w:val="0"/>
              <w:snapToGrid w:val="0"/>
              <w:spacing w:line="240" w:lineRule="auto"/>
              <w:rPr>
                <w:w w:val="90"/>
                <w:sz w:val="21"/>
                <w:szCs w:val="21"/>
              </w:rPr>
            </w:pPr>
            <w:r>
              <w:rPr>
                <w:w w:val="90"/>
                <w:sz w:val="21"/>
                <w:szCs w:val="21"/>
              </w:rPr>
              <w:t>（m）</w:t>
            </w:r>
          </w:p>
        </w:tc>
        <w:tc>
          <w:tcPr>
            <w:tcW w:w="355" w:type="pct"/>
            <w:tcBorders>
              <w:top w:val="single" w:color="auto" w:sz="4" w:space="0"/>
              <w:left w:val="nil"/>
              <w:bottom w:val="single" w:color="auto" w:sz="4" w:space="0"/>
              <w:right w:val="single" w:color="auto" w:sz="4" w:space="0"/>
            </w:tcBorders>
            <w:noWrap/>
            <w:vAlign w:val="center"/>
          </w:tcPr>
          <w:p w14:paraId="435CCA20">
            <w:pPr>
              <w:pStyle w:val="116"/>
              <w:adjustRightInd w:val="0"/>
              <w:snapToGrid w:val="0"/>
              <w:spacing w:line="240" w:lineRule="auto"/>
              <w:rPr>
                <w:w w:val="90"/>
                <w:sz w:val="21"/>
                <w:szCs w:val="21"/>
              </w:rPr>
            </w:pPr>
            <w:r>
              <w:rPr>
                <w:sz w:val="21"/>
                <w:szCs w:val="21"/>
              </w:rPr>
              <w:t>b</w:t>
            </w:r>
          </w:p>
          <w:p w14:paraId="59C31420">
            <w:pPr>
              <w:pStyle w:val="116"/>
              <w:adjustRightInd w:val="0"/>
              <w:snapToGrid w:val="0"/>
              <w:spacing w:line="240" w:lineRule="auto"/>
              <w:rPr>
                <w:w w:val="90"/>
                <w:sz w:val="21"/>
                <w:szCs w:val="21"/>
              </w:rPr>
            </w:pPr>
            <w:r>
              <w:rPr>
                <w:w w:val="90"/>
                <w:sz w:val="21"/>
                <w:szCs w:val="21"/>
              </w:rPr>
              <w:t>（m）</w:t>
            </w:r>
          </w:p>
        </w:tc>
        <w:tc>
          <w:tcPr>
            <w:tcW w:w="264" w:type="pct"/>
            <w:tcBorders>
              <w:top w:val="single" w:color="auto" w:sz="4" w:space="0"/>
              <w:left w:val="nil"/>
              <w:bottom w:val="single" w:color="auto" w:sz="4" w:space="0"/>
              <w:right w:val="single" w:color="auto" w:sz="4" w:space="0"/>
            </w:tcBorders>
            <w:vAlign w:val="center"/>
          </w:tcPr>
          <w:p w14:paraId="2BE7FC0C">
            <w:pPr>
              <w:pStyle w:val="116"/>
              <w:adjustRightInd w:val="0"/>
              <w:snapToGrid w:val="0"/>
              <w:spacing w:line="240" w:lineRule="auto"/>
              <w:rPr>
                <w:sz w:val="21"/>
                <w:szCs w:val="21"/>
              </w:rPr>
            </w:pPr>
            <w:r>
              <w:rPr>
                <w:sz w:val="21"/>
                <w:szCs w:val="21"/>
              </w:rPr>
              <w:t>η</w:t>
            </w:r>
          </w:p>
        </w:tc>
        <w:tc>
          <w:tcPr>
            <w:tcW w:w="430" w:type="pct"/>
            <w:tcBorders>
              <w:top w:val="single" w:color="auto" w:sz="4" w:space="0"/>
              <w:left w:val="nil"/>
              <w:bottom w:val="single" w:color="auto" w:sz="4" w:space="0"/>
              <w:right w:val="single" w:color="auto" w:sz="4" w:space="0"/>
            </w:tcBorders>
            <w:noWrap/>
            <w:vAlign w:val="center"/>
          </w:tcPr>
          <w:p w14:paraId="7DBD2BD3">
            <w:pPr>
              <w:pStyle w:val="116"/>
              <w:adjustRightInd w:val="0"/>
              <w:snapToGrid w:val="0"/>
              <w:spacing w:line="240" w:lineRule="auto"/>
              <w:rPr>
                <w:w w:val="90"/>
                <w:sz w:val="21"/>
                <w:szCs w:val="21"/>
              </w:rPr>
            </w:pPr>
            <w:r>
              <w:rPr>
                <w:w w:val="90"/>
                <w:sz w:val="21"/>
                <w:szCs w:val="21"/>
              </w:rPr>
              <w:t>R</w:t>
            </w:r>
          </w:p>
          <w:p w14:paraId="5D474B31">
            <w:pPr>
              <w:pStyle w:val="116"/>
              <w:adjustRightInd w:val="0"/>
              <w:snapToGrid w:val="0"/>
              <w:spacing w:line="240" w:lineRule="auto"/>
              <w:rPr>
                <w:w w:val="90"/>
                <w:sz w:val="21"/>
                <w:szCs w:val="21"/>
              </w:rPr>
            </w:pPr>
            <w:r>
              <w:rPr>
                <w:w w:val="90"/>
                <w:sz w:val="21"/>
                <w:szCs w:val="21"/>
              </w:rPr>
              <w:t>（m）</w:t>
            </w:r>
          </w:p>
        </w:tc>
        <w:tc>
          <w:tcPr>
            <w:tcW w:w="377" w:type="pct"/>
            <w:tcBorders>
              <w:top w:val="single" w:color="auto" w:sz="4" w:space="0"/>
              <w:left w:val="nil"/>
              <w:bottom w:val="single" w:color="auto" w:sz="4" w:space="0"/>
              <w:right w:val="single" w:color="auto" w:sz="4" w:space="0"/>
            </w:tcBorders>
            <w:noWrap/>
            <w:vAlign w:val="center"/>
          </w:tcPr>
          <w:p w14:paraId="131C754A">
            <w:pPr>
              <w:pStyle w:val="116"/>
              <w:adjustRightInd w:val="0"/>
              <w:snapToGrid w:val="0"/>
              <w:spacing w:line="240" w:lineRule="auto"/>
              <w:rPr>
                <w:w w:val="90"/>
                <w:sz w:val="21"/>
                <w:szCs w:val="21"/>
                <w:vertAlign w:val="subscript"/>
              </w:rPr>
            </w:pPr>
            <w:r>
              <w:rPr>
                <w:w w:val="90"/>
                <w:sz w:val="21"/>
                <w:szCs w:val="21"/>
              </w:rPr>
              <w:t>r</w:t>
            </w:r>
            <w:r>
              <w:rPr>
                <w:w w:val="90"/>
                <w:sz w:val="21"/>
                <w:szCs w:val="21"/>
                <w:vertAlign w:val="subscript"/>
              </w:rPr>
              <w:t>0</w:t>
            </w:r>
          </w:p>
          <w:p w14:paraId="45CC4D3B">
            <w:pPr>
              <w:pStyle w:val="116"/>
              <w:adjustRightInd w:val="0"/>
              <w:snapToGrid w:val="0"/>
              <w:spacing w:line="240" w:lineRule="auto"/>
              <w:rPr>
                <w:w w:val="90"/>
                <w:sz w:val="21"/>
                <w:szCs w:val="21"/>
              </w:rPr>
            </w:pPr>
            <w:r>
              <w:rPr>
                <w:w w:val="90"/>
                <w:sz w:val="21"/>
                <w:szCs w:val="21"/>
              </w:rPr>
              <w:t>（m）</w:t>
            </w:r>
          </w:p>
        </w:tc>
        <w:tc>
          <w:tcPr>
            <w:tcW w:w="468" w:type="pct"/>
            <w:tcBorders>
              <w:top w:val="single" w:color="auto" w:sz="4" w:space="0"/>
              <w:left w:val="nil"/>
              <w:bottom w:val="single" w:color="auto" w:sz="4" w:space="0"/>
              <w:right w:val="single" w:color="auto" w:sz="4" w:space="0"/>
            </w:tcBorders>
            <w:noWrap/>
            <w:vAlign w:val="center"/>
          </w:tcPr>
          <w:p w14:paraId="49BBB6DC">
            <w:pPr>
              <w:pStyle w:val="116"/>
              <w:adjustRightInd w:val="0"/>
              <w:snapToGrid w:val="0"/>
              <w:spacing w:line="240" w:lineRule="auto"/>
              <w:rPr>
                <w:w w:val="90"/>
                <w:sz w:val="21"/>
                <w:szCs w:val="21"/>
              </w:rPr>
            </w:pPr>
            <w:r>
              <w:rPr>
                <w:w w:val="90"/>
                <w:sz w:val="21"/>
                <w:szCs w:val="21"/>
              </w:rPr>
              <w:t>M</w:t>
            </w:r>
          </w:p>
          <w:p w14:paraId="4162FB60">
            <w:pPr>
              <w:pStyle w:val="116"/>
              <w:adjustRightInd w:val="0"/>
              <w:snapToGrid w:val="0"/>
              <w:spacing w:line="240" w:lineRule="auto"/>
              <w:rPr>
                <w:w w:val="90"/>
                <w:sz w:val="21"/>
                <w:szCs w:val="21"/>
              </w:rPr>
            </w:pPr>
            <w:r>
              <w:rPr>
                <w:w w:val="90"/>
                <w:sz w:val="21"/>
                <w:szCs w:val="21"/>
              </w:rPr>
              <w:t>（m）</w:t>
            </w:r>
          </w:p>
        </w:tc>
        <w:tc>
          <w:tcPr>
            <w:tcW w:w="434" w:type="pct"/>
            <w:tcBorders>
              <w:top w:val="single" w:color="auto" w:sz="4" w:space="0"/>
              <w:left w:val="nil"/>
              <w:bottom w:val="single" w:color="auto" w:sz="4" w:space="0"/>
              <w:right w:val="single" w:color="auto" w:sz="4" w:space="0"/>
            </w:tcBorders>
            <w:noWrap/>
            <w:vAlign w:val="center"/>
          </w:tcPr>
          <w:p w14:paraId="0D526978">
            <w:pPr>
              <w:pStyle w:val="116"/>
              <w:adjustRightInd w:val="0"/>
              <w:snapToGrid w:val="0"/>
              <w:spacing w:line="240" w:lineRule="auto"/>
              <w:rPr>
                <w:w w:val="90"/>
                <w:sz w:val="21"/>
                <w:szCs w:val="21"/>
              </w:rPr>
            </w:pPr>
            <w:r>
              <w:rPr>
                <w:w w:val="90"/>
                <w:sz w:val="21"/>
                <w:szCs w:val="21"/>
              </w:rPr>
              <w:t>S</w:t>
            </w:r>
          </w:p>
          <w:p w14:paraId="2DA4E109">
            <w:pPr>
              <w:pStyle w:val="116"/>
              <w:adjustRightInd w:val="0"/>
              <w:snapToGrid w:val="0"/>
              <w:spacing w:line="240" w:lineRule="auto"/>
              <w:rPr>
                <w:w w:val="90"/>
                <w:sz w:val="21"/>
                <w:szCs w:val="21"/>
              </w:rPr>
            </w:pPr>
            <w:r>
              <w:rPr>
                <w:w w:val="90"/>
                <w:sz w:val="21"/>
                <w:szCs w:val="21"/>
              </w:rPr>
              <w:t>（m）</w:t>
            </w:r>
          </w:p>
        </w:tc>
        <w:tc>
          <w:tcPr>
            <w:tcW w:w="383" w:type="pct"/>
            <w:tcBorders>
              <w:top w:val="single" w:color="auto" w:sz="4" w:space="0"/>
              <w:left w:val="nil"/>
              <w:bottom w:val="single" w:color="auto" w:sz="4" w:space="0"/>
              <w:right w:val="single" w:color="auto" w:sz="4" w:space="0"/>
            </w:tcBorders>
            <w:noWrap/>
            <w:vAlign w:val="center"/>
          </w:tcPr>
          <w:p w14:paraId="2959D1D7">
            <w:pPr>
              <w:pStyle w:val="116"/>
              <w:adjustRightInd w:val="0"/>
              <w:snapToGrid w:val="0"/>
              <w:spacing w:line="240" w:lineRule="auto"/>
              <w:rPr>
                <w:w w:val="90"/>
                <w:sz w:val="21"/>
                <w:szCs w:val="21"/>
                <w:vertAlign w:val="subscript"/>
              </w:rPr>
            </w:pPr>
            <w:r>
              <w:rPr>
                <w:w w:val="90"/>
                <w:sz w:val="21"/>
                <w:szCs w:val="21"/>
              </w:rPr>
              <w:t>Q</w:t>
            </w:r>
          </w:p>
          <w:p w14:paraId="75D3E817">
            <w:pPr>
              <w:pStyle w:val="116"/>
              <w:adjustRightInd w:val="0"/>
              <w:snapToGrid w:val="0"/>
              <w:spacing w:line="240" w:lineRule="auto"/>
              <w:rPr>
                <w:w w:val="90"/>
                <w:sz w:val="21"/>
                <w:szCs w:val="21"/>
              </w:rPr>
            </w:pPr>
            <w:r>
              <w:rPr>
                <w:w w:val="90"/>
                <w:sz w:val="21"/>
                <w:szCs w:val="21"/>
              </w:rPr>
              <w:t>（m</w:t>
            </w:r>
            <w:r>
              <w:rPr>
                <w:w w:val="90"/>
                <w:sz w:val="21"/>
                <w:szCs w:val="21"/>
                <w:vertAlign w:val="superscript"/>
              </w:rPr>
              <w:t>3</w:t>
            </w:r>
            <w:r>
              <w:rPr>
                <w:w w:val="90"/>
                <w:sz w:val="21"/>
                <w:szCs w:val="21"/>
              </w:rPr>
              <w:t>/d）</w:t>
            </w:r>
          </w:p>
        </w:tc>
        <w:tc>
          <w:tcPr>
            <w:tcW w:w="631" w:type="pct"/>
            <w:tcBorders>
              <w:top w:val="single" w:color="auto" w:sz="4" w:space="0"/>
              <w:left w:val="nil"/>
              <w:bottom w:val="single" w:color="auto" w:sz="4" w:space="0"/>
              <w:right w:val="single" w:color="auto" w:sz="4" w:space="0"/>
            </w:tcBorders>
            <w:noWrap/>
            <w:vAlign w:val="center"/>
          </w:tcPr>
          <w:p w14:paraId="5D7BA307">
            <w:pPr>
              <w:pStyle w:val="116"/>
              <w:adjustRightInd w:val="0"/>
              <w:snapToGrid w:val="0"/>
              <w:spacing w:line="240" w:lineRule="auto"/>
              <w:rPr>
                <w:w w:val="90"/>
                <w:sz w:val="21"/>
                <w:szCs w:val="21"/>
              </w:rPr>
            </w:pPr>
            <w:r>
              <w:rPr>
                <w:w w:val="90"/>
                <w:sz w:val="21"/>
                <w:szCs w:val="21"/>
              </w:rPr>
              <w:t>备注</w:t>
            </w:r>
          </w:p>
        </w:tc>
      </w:tr>
      <w:tr w14:paraId="2BD12942">
        <w:tblPrEx>
          <w:tblCellMar>
            <w:top w:w="0" w:type="dxa"/>
            <w:left w:w="0" w:type="dxa"/>
            <w:bottom w:w="0" w:type="dxa"/>
            <w:right w:w="0" w:type="dxa"/>
          </w:tblCellMar>
        </w:tblPrEx>
        <w:trPr>
          <w:trHeight w:val="510" w:hRule="atLeast"/>
        </w:trPr>
        <w:tc>
          <w:tcPr>
            <w:tcW w:w="430" w:type="pct"/>
            <w:tcBorders>
              <w:top w:val="single" w:color="auto" w:sz="4" w:space="0"/>
              <w:left w:val="single" w:color="auto" w:sz="4" w:space="0"/>
              <w:bottom w:val="single" w:color="auto" w:sz="4" w:space="0"/>
              <w:right w:val="single" w:color="auto" w:sz="4" w:space="0"/>
            </w:tcBorders>
            <w:noWrap/>
            <w:vAlign w:val="center"/>
          </w:tcPr>
          <w:p w14:paraId="4E0B985A">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-505</w:t>
            </w:r>
          </w:p>
        </w:tc>
        <w:tc>
          <w:tcPr>
            <w:tcW w:w="435" w:type="pct"/>
            <w:tcBorders>
              <w:top w:val="single" w:color="auto" w:sz="4" w:space="0"/>
              <w:left w:val="single" w:color="auto" w:sz="4" w:space="0"/>
              <w:bottom w:val="single" w:color="auto" w:sz="4" w:space="0"/>
              <w:right w:val="single" w:color="auto" w:sz="4" w:space="0"/>
            </w:tcBorders>
            <w:vAlign w:val="center"/>
          </w:tcPr>
          <w:p w14:paraId="2DE0A29E">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0.0037</w:t>
            </w:r>
          </w:p>
        </w:tc>
        <w:tc>
          <w:tcPr>
            <w:tcW w:w="436" w:type="pct"/>
            <w:tcBorders>
              <w:top w:val="single" w:color="auto" w:sz="4" w:space="0"/>
              <w:left w:val="single" w:color="auto" w:sz="4" w:space="0"/>
              <w:bottom w:val="single" w:color="auto" w:sz="4" w:space="0"/>
              <w:right w:val="single" w:color="auto" w:sz="4" w:space="0"/>
            </w:tcBorders>
            <w:vAlign w:val="center"/>
          </w:tcPr>
          <w:p w14:paraId="1DCB4CC9">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542.84</w:t>
            </w:r>
          </w:p>
        </w:tc>
        <w:tc>
          <w:tcPr>
            <w:tcW w:w="358" w:type="pct"/>
            <w:tcBorders>
              <w:top w:val="single" w:color="auto" w:sz="4" w:space="0"/>
              <w:left w:val="single" w:color="auto" w:sz="4" w:space="0"/>
              <w:bottom w:val="single" w:color="auto" w:sz="4" w:space="0"/>
              <w:right w:val="single" w:color="auto" w:sz="4" w:space="0"/>
            </w:tcBorders>
            <w:vAlign w:val="center"/>
          </w:tcPr>
          <w:p w14:paraId="1B4D7624">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660</w:t>
            </w:r>
          </w:p>
        </w:tc>
        <w:tc>
          <w:tcPr>
            <w:tcW w:w="355" w:type="pct"/>
            <w:tcBorders>
              <w:top w:val="single" w:color="auto" w:sz="4" w:space="0"/>
              <w:left w:val="single" w:color="auto" w:sz="4" w:space="0"/>
              <w:bottom w:val="single" w:color="auto" w:sz="4" w:space="0"/>
              <w:right w:val="single" w:color="auto" w:sz="4" w:space="0"/>
            </w:tcBorders>
            <w:noWrap/>
            <w:vAlign w:val="center"/>
          </w:tcPr>
          <w:p w14:paraId="05BA029F">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100</w:t>
            </w:r>
          </w:p>
        </w:tc>
        <w:tc>
          <w:tcPr>
            <w:tcW w:w="264" w:type="pct"/>
            <w:tcBorders>
              <w:top w:val="single" w:color="auto" w:sz="4" w:space="0"/>
              <w:left w:val="single" w:color="auto" w:sz="4" w:space="0"/>
              <w:bottom w:val="single" w:color="auto" w:sz="4" w:space="0"/>
              <w:right w:val="single" w:color="auto" w:sz="4" w:space="0"/>
            </w:tcBorders>
            <w:vAlign w:val="center"/>
          </w:tcPr>
          <w:p w14:paraId="4C034270">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1.12</w:t>
            </w:r>
          </w:p>
        </w:tc>
        <w:tc>
          <w:tcPr>
            <w:tcW w:w="430" w:type="pct"/>
            <w:tcBorders>
              <w:top w:val="single" w:color="auto" w:sz="4" w:space="0"/>
              <w:left w:val="single" w:color="auto" w:sz="4" w:space="0"/>
              <w:bottom w:val="single" w:color="auto" w:sz="4" w:space="0"/>
              <w:right w:val="single" w:color="auto" w:sz="4" w:space="0"/>
            </w:tcBorders>
            <w:noWrap/>
            <w:vAlign w:val="center"/>
          </w:tcPr>
          <w:p w14:paraId="341890C4">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330.04</w:t>
            </w:r>
          </w:p>
        </w:tc>
        <w:tc>
          <w:tcPr>
            <w:tcW w:w="377" w:type="pct"/>
            <w:tcBorders>
              <w:top w:val="single" w:color="auto" w:sz="4" w:space="0"/>
              <w:left w:val="single" w:color="auto" w:sz="4" w:space="0"/>
              <w:bottom w:val="single" w:color="auto" w:sz="4" w:space="0"/>
              <w:right w:val="single" w:color="auto" w:sz="4" w:space="0"/>
            </w:tcBorders>
            <w:noWrap/>
            <w:vAlign w:val="center"/>
          </w:tcPr>
          <w:p w14:paraId="2D766D05">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212.80</w:t>
            </w:r>
          </w:p>
        </w:tc>
        <w:tc>
          <w:tcPr>
            <w:tcW w:w="468" w:type="pct"/>
            <w:tcBorders>
              <w:top w:val="single" w:color="auto" w:sz="4" w:space="0"/>
              <w:left w:val="single" w:color="auto" w:sz="4" w:space="0"/>
              <w:bottom w:val="single" w:color="auto" w:sz="4" w:space="0"/>
              <w:right w:val="single" w:color="auto" w:sz="4" w:space="0"/>
            </w:tcBorders>
            <w:noWrap/>
            <w:vAlign w:val="center"/>
          </w:tcPr>
          <w:p w14:paraId="33412D09">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450.36</w:t>
            </w:r>
          </w:p>
        </w:tc>
        <w:tc>
          <w:tcPr>
            <w:tcW w:w="434" w:type="pct"/>
            <w:tcBorders>
              <w:top w:val="single" w:color="auto" w:sz="4" w:space="0"/>
              <w:left w:val="single" w:color="auto" w:sz="4" w:space="0"/>
              <w:bottom w:val="single" w:color="auto" w:sz="4" w:space="0"/>
              <w:right w:val="single" w:color="auto" w:sz="4" w:space="0"/>
            </w:tcBorders>
            <w:noWrap/>
            <w:vAlign w:val="center"/>
          </w:tcPr>
          <w:p w14:paraId="66699267">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542.58</w:t>
            </w:r>
          </w:p>
        </w:tc>
        <w:tc>
          <w:tcPr>
            <w:tcW w:w="383" w:type="pct"/>
            <w:tcBorders>
              <w:top w:val="single" w:color="auto" w:sz="4" w:space="0"/>
              <w:left w:val="single" w:color="auto" w:sz="4" w:space="0"/>
              <w:bottom w:val="single" w:color="auto" w:sz="4" w:space="0"/>
              <w:right w:val="single" w:color="auto" w:sz="4" w:space="0"/>
            </w:tcBorders>
            <w:noWrap/>
            <w:vAlign w:val="center"/>
          </w:tcPr>
          <w:p w14:paraId="7B2254FA">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3553</w:t>
            </w:r>
          </w:p>
        </w:tc>
        <w:tc>
          <w:tcPr>
            <w:tcW w:w="631" w:type="pct"/>
            <w:tcBorders>
              <w:top w:val="single" w:color="auto" w:sz="4" w:space="0"/>
              <w:left w:val="single" w:color="auto" w:sz="4" w:space="0"/>
              <w:bottom w:val="single" w:color="auto" w:sz="4" w:space="0"/>
              <w:right w:val="single" w:color="auto" w:sz="4" w:space="0"/>
            </w:tcBorders>
            <w:noWrap/>
            <w:vAlign w:val="center"/>
          </w:tcPr>
          <w:p w14:paraId="6F22F9AC">
            <w:pPr>
              <w:widowControl/>
              <w:adjustRightInd w:val="0"/>
              <w:snapToGrid w:val="0"/>
              <w:spacing w:line="240" w:lineRule="auto"/>
              <w:ind w:firstLine="0" w:firstLineChars="0"/>
              <w:jc w:val="center"/>
              <w:textAlignment w:val="bottom"/>
              <w:rPr>
                <w:kern w:val="0"/>
                <w:sz w:val="21"/>
                <w:szCs w:val="21"/>
                <w:lang w:bidi="ar"/>
              </w:rPr>
            </w:pPr>
            <w:bookmarkStart w:id="123" w:name="OLE_LINK21"/>
            <w:r>
              <w:rPr>
                <w:kern w:val="0"/>
                <w:sz w:val="21"/>
                <w:szCs w:val="21"/>
                <w:lang w:bidi="ar"/>
              </w:rPr>
              <w:t>冯家庄矿段</w:t>
            </w:r>
            <w:bookmarkEnd w:id="123"/>
          </w:p>
        </w:tc>
      </w:tr>
      <w:tr w14:paraId="40FDC658">
        <w:tblPrEx>
          <w:tblCellMar>
            <w:top w:w="0" w:type="dxa"/>
            <w:left w:w="0" w:type="dxa"/>
            <w:bottom w:w="0" w:type="dxa"/>
            <w:right w:w="0" w:type="dxa"/>
          </w:tblCellMar>
        </w:tblPrEx>
        <w:trPr>
          <w:trHeight w:val="510" w:hRule="atLeast"/>
        </w:trPr>
        <w:tc>
          <w:tcPr>
            <w:tcW w:w="430" w:type="pct"/>
            <w:tcBorders>
              <w:top w:val="single" w:color="auto" w:sz="4" w:space="0"/>
              <w:left w:val="single" w:color="auto" w:sz="4" w:space="0"/>
              <w:bottom w:val="single" w:color="auto" w:sz="4" w:space="0"/>
              <w:right w:val="single" w:color="auto" w:sz="4" w:space="0"/>
            </w:tcBorders>
            <w:noWrap/>
            <w:vAlign w:val="center"/>
          </w:tcPr>
          <w:p w14:paraId="12288080">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-835</w:t>
            </w:r>
          </w:p>
        </w:tc>
        <w:tc>
          <w:tcPr>
            <w:tcW w:w="435" w:type="pct"/>
            <w:tcBorders>
              <w:top w:val="single" w:color="auto" w:sz="4" w:space="0"/>
              <w:left w:val="single" w:color="auto" w:sz="4" w:space="0"/>
              <w:bottom w:val="single" w:color="auto" w:sz="4" w:space="0"/>
              <w:right w:val="single" w:color="auto" w:sz="4" w:space="0"/>
            </w:tcBorders>
            <w:vAlign w:val="center"/>
          </w:tcPr>
          <w:p w14:paraId="36D678D4">
            <w:pPr>
              <w:widowControl/>
              <w:adjustRightInd w:val="0"/>
              <w:snapToGrid w:val="0"/>
              <w:spacing w:line="240" w:lineRule="auto"/>
              <w:ind w:firstLine="0" w:firstLineChars="0"/>
              <w:jc w:val="center"/>
              <w:textAlignment w:val="center"/>
              <w:rPr>
                <w:kern w:val="0"/>
                <w:sz w:val="21"/>
                <w:szCs w:val="21"/>
                <w:lang w:bidi="ar"/>
              </w:rPr>
            </w:pPr>
            <w:r>
              <w:rPr>
                <w:kern w:val="0"/>
                <w:sz w:val="21"/>
                <w:szCs w:val="21"/>
                <w:lang w:bidi="ar"/>
              </w:rPr>
              <w:t>0.0037</w:t>
            </w:r>
          </w:p>
        </w:tc>
        <w:tc>
          <w:tcPr>
            <w:tcW w:w="436" w:type="pct"/>
            <w:tcBorders>
              <w:top w:val="single" w:color="auto" w:sz="4" w:space="0"/>
              <w:left w:val="single" w:color="auto" w:sz="4" w:space="0"/>
              <w:bottom w:val="single" w:color="auto" w:sz="4" w:space="0"/>
              <w:right w:val="single" w:color="auto" w:sz="4" w:space="0"/>
            </w:tcBorders>
            <w:vAlign w:val="center"/>
          </w:tcPr>
          <w:p w14:paraId="5CE63E0C">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1034.77</w:t>
            </w:r>
          </w:p>
        </w:tc>
        <w:tc>
          <w:tcPr>
            <w:tcW w:w="358" w:type="pct"/>
            <w:tcBorders>
              <w:top w:val="single" w:color="auto" w:sz="4" w:space="0"/>
              <w:left w:val="single" w:color="auto" w:sz="4" w:space="0"/>
              <w:bottom w:val="single" w:color="auto" w:sz="4" w:space="0"/>
              <w:right w:val="single" w:color="auto" w:sz="4" w:space="0"/>
            </w:tcBorders>
            <w:vAlign w:val="center"/>
          </w:tcPr>
          <w:p w14:paraId="07E734D2">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1820</w:t>
            </w:r>
          </w:p>
        </w:tc>
        <w:tc>
          <w:tcPr>
            <w:tcW w:w="355" w:type="pct"/>
            <w:tcBorders>
              <w:top w:val="single" w:color="auto" w:sz="4" w:space="0"/>
              <w:left w:val="single" w:color="auto" w:sz="4" w:space="0"/>
              <w:bottom w:val="single" w:color="auto" w:sz="4" w:space="0"/>
              <w:right w:val="single" w:color="auto" w:sz="4" w:space="0"/>
            </w:tcBorders>
            <w:noWrap/>
            <w:vAlign w:val="center"/>
          </w:tcPr>
          <w:p w14:paraId="4BE20354">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200</w:t>
            </w:r>
          </w:p>
        </w:tc>
        <w:tc>
          <w:tcPr>
            <w:tcW w:w="264" w:type="pct"/>
            <w:tcBorders>
              <w:top w:val="single" w:color="auto" w:sz="4" w:space="0"/>
              <w:left w:val="single" w:color="auto" w:sz="4" w:space="0"/>
              <w:bottom w:val="single" w:color="auto" w:sz="4" w:space="0"/>
              <w:right w:val="single" w:color="auto" w:sz="4" w:space="0"/>
            </w:tcBorders>
            <w:vAlign w:val="center"/>
          </w:tcPr>
          <w:p w14:paraId="38A67958">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1.12</w:t>
            </w:r>
          </w:p>
        </w:tc>
        <w:tc>
          <w:tcPr>
            <w:tcW w:w="430" w:type="pct"/>
            <w:tcBorders>
              <w:top w:val="single" w:color="auto" w:sz="4" w:space="0"/>
              <w:left w:val="single" w:color="auto" w:sz="4" w:space="0"/>
              <w:bottom w:val="single" w:color="auto" w:sz="4" w:space="0"/>
              <w:right w:val="single" w:color="auto" w:sz="4" w:space="0"/>
            </w:tcBorders>
            <w:noWrap/>
            <w:vAlign w:val="center"/>
          </w:tcPr>
          <w:p w14:paraId="6589F7EA">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530.77</w:t>
            </w:r>
          </w:p>
        </w:tc>
        <w:tc>
          <w:tcPr>
            <w:tcW w:w="377" w:type="pct"/>
            <w:tcBorders>
              <w:top w:val="single" w:color="auto" w:sz="4" w:space="0"/>
              <w:left w:val="single" w:color="auto" w:sz="4" w:space="0"/>
              <w:bottom w:val="single" w:color="auto" w:sz="4" w:space="0"/>
              <w:right w:val="single" w:color="auto" w:sz="4" w:space="0"/>
            </w:tcBorders>
            <w:noWrap/>
            <w:vAlign w:val="center"/>
          </w:tcPr>
          <w:p w14:paraId="78F8A8C4">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565.60</w:t>
            </w:r>
          </w:p>
        </w:tc>
        <w:tc>
          <w:tcPr>
            <w:tcW w:w="468" w:type="pct"/>
            <w:tcBorders>
              <w:top w:val="single" w:color="auto" w:sz="4" w:space="0"/>
              <w:left w:val="single" w:color="auto" w:sz="4" w:space="0"/>
              <w:bottom w:val="single" w:color="auto" w:sz="4" w:space="0"/>
              <w:right w:val="single" w:color="auto" w:sz="4" w:space="0"/>
            </w:tcBorders>
            <w:noWrap/>
            <w:vAlign w:val="center"/>
          </w:tcPr>
          <w:p w14:paraId="766F6275">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780.36</w:t>
            </w:r>
          </w:p>
        </w:tc>
        <w:tc>
          <w:tcPr>
            <w:tcW w:w="434" w:type="pct"/>
            <w:tcBorders>
              <w:top w:val="single" w:color="auto" w:sz="4" w:space="0"/>
              <w:left w:val="single" w:color="auto" w:sz="4" w:space="0"/>
              <w:bottom w:val="single" w:color="auto" w:sz="4" w:space="0"/>
              <w:right w:val="single" w:color="auto" w:sz="4" w:space="0"/>
            </w:tcBorders>
            <w:noWrap/>
            <w:vAlign w:val="center"/>
          </w:tcPr>
          <w:p w14:paraId="2A211B11">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872.58</w:t>
            </w:r>
          </w:p>
        </w:tc>
        <w:tc>
          <w:tcPr>
            <w:tcW w:w="383" w:type="pct"/>
            <w:tcBorders>
              <w:top w:val="single" w:color="auto" w:sz="4" w:space="0"/>
              <w:left w:val="single" w:color="auto" w:sz="4" w:space="0"/>
              <w:bottom w:val="single" w:color="auto" w:sz="4" w:space="0"/>
              <w:right w:val="single" w:color="auto" w:sz="4" w:space="0"/>
            </w:tcBorders>
            <w:noWrap/>
            <w:vAlign w:val="center"/>
          </w:tcPr>
          <w:p w14:paraId="531818B1">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12180</w:t>
            </w:r>
          </w:p>
        </w:tc>
        <w:tc>
          <w:tcPr>
            <w:tcW w:w="631" w:type="pct"/>
            <w:tcBorders>
              <w:top w:val="single" w:color="auto" w:sz="4" w:space="0"/>
              <w:left w:val="single" w:color="auto" w:sz="4" w:space="0"/>
              <w:bottom w:val="single" w:color="auto" w:sz="4" w:space="0"/>
              <w:right w:val="single" w:color="auto" w:sz="4" w:space="0"/>
            </w:tcBorders>
            <w:noWrap/>
            <w:vAlign w:val="center"/>
          </w:tcPr>
          <w:p w14:paraId="5E781D02">
            <w:pPr>
              <w:widowControl/>
              <w:adjustRightInd w:val="0"/>
              <w:snapToGrid w:val="0"/>
              <w:spacing w:line="240" w:lineRule="auto"/>
              <w:ind w:firstLine="0" w:firstLineChars="0"/>
              <w:jc w:val="center"/>
              <w:textAlignment w:val="bottom"/>
              <w:rPr>
                <w:kern w:val="0"/>
                <w:sz w:val="21"/>
                <w:szCs w:val="21"/>
                <w:lang w:bidi="ar"/>
              </w:rPr>
            </w:pPr>
            <w:r>
              <w:rPr>
                <w:kern w:val="0"/>
                <w:sz w:val="21"/>
                <w:szCs w:val="21"/>
                <w:lang w:bidi="ar"/>
              </w:rPr>
              <w:t>彭集矿段</w:t>
            </w:r>
          </w:p>
        </w:tc>
      </w:tr>
    </w:tbl>
    <w:p w14:paraId="41365F02">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二期开采矿坑总涌水量计算结果见表3</w:t>
      </w:r>
      <w:r>
        <w:rPr>
          <w:rFonts w:asciiTheme="minorHAnsi" w:hAnsiTheme="minorHAnsi" w:cstheme="minorHAnsi"/>
          <w:szCs w:val="24"/>
        </w:rPr>
        <w:t>.7-6</w:t>
      </w:r>
      <w:r>
        <w:rPr>
          <w:rFonts w:hint="eastAsia" w:asciiTheme="minorHAnsi" w:hAnsiTheme="minorHAnsi" w:cstheme="minorHAnsi"/>
          <w:szCs w:val="24"/>
        </w:rPr>
        <w:t>。</w:t>
      </w:r>
    </w:p>
    <w:p w14:paraId="47314C24">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w:t>
      </w:r>
      <w:r>
        <w:rPr>
          <w:rFonts w:asciiTheme="minorHAnsi" w:hAnsiTheme="minorHAnsi" w:cstheme="minorHAnsi"/>
          <w:szCs w:val="24"/>
        </w:rPr>
        <w:t xml:space="preserve">3.7-6 </w:t>
      </w:r>
      <w:r>
        <w:rPr>
          <w:rFonts w:hint="eastAsia" w:asciiTheme="minorHAnsi" w:hAnsiTheme="minorHAnsi" w:cstheme="minorHAnsi"/>
          <w:szCs w:val="24"/>
        </w:rPr>
        <w:t>二期开采矿坑总涌水量计算结果表</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2189"/>
        <w:gridCol w:w="2189"/>
        <w:gridCol w:w="2397"/>
      </w:tblGrid>
      <w:tr w14:paraId="24ACF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8" w:type="pct"/>
            <w:vMerge w:val="restart"/>
            <w:vAlign w:val="center"/>
          </w:tcPr>
          <w:p w14:paraId="35C602CF">
            <w:pPr>
              <w:pStyle w:val="116"/>
              <w:adjustRightInd w:val="0"/>
              <w:snapToGrid w:val="0"/>
              <w:spacing w:line="240" w:lineRule="auto"/>
              <w:rPr>
                <w:w w:val="90"/>
                <w:sz w:val="21"/>
              </w:rPr>
            </w:pPr>
            <w:r>
              <w:rPr>
                <w:w w:val="90"/>
                <w:sz w:val="21"/>
              </w:rPr>
              <w:t>排水水平</w:t>
            </w:r>
          </w:p>
          <w:p w14:paraId="08669572">
            <w:pPr>
              <w:pStyle w:val="116"/>
              <w:adjustRightInd w:val="0"/>
              <w:snapToGrid w:val="0"/>
              <w:spacing w:line="240" w:lineRule="auto"/>
              <w:rPr>
                <w:sz w:val="21"/>
              </w:rPr>
            </w:pPr>
            <w:r>
              <w:rPr>
                <w:sz w:val="21"/>
              </w:rPr>
              <w:t>（m）</w:t>
            </w:r>
          </w:p>
        </w:tc>
        <w:tc>
          <w:tcPr>
            <w:tcW w:w="2302" w:type="pct"/>
            <w:gridSpan w:val="2"/>
            <w:vAlign w:val="center"/>
          </w:tcPr>
          <w:p w14:paraId="627FEC83">
            <w:pPr>
              <w:pStyle w:val="116"/>
              <w:adjustRightInd w:val="0"/>
              <w:snapToGrid w:val="0"/>
              <w:spacing w:line="240" w:lineRule="auto"/>
              <w:rPr>
                <w:sz w:val="21"/>
              </w:rPr>
            </w:pPr>
            <w:r>
              <w:rPr>
                <w:sz w:val="21"/>
              </w:rPr>
              <w:t>矿坑总涌水量（m</w:t>
            </w:r>
            <w:r>
              <w:rPr>
                <w:sz w:val="21"/>
                <w:vertAlign w:val="superscript"/>
              </w:rPr>
              <w:t>3</w:t>
            </w:r>
            <w:r>
              <w:rPr>
                <w:sz w:val="21"/>
              </w:rPr>
              <w:t>/d）</w:t>
            </w:r>
          </w:p>
        </w:tc>
        <w:tc>
          <w:tcPr>
            <w:tcW w:w="1260" w:type="pct"/>
            <w:vMerge w:val="restart"/>
            <w:vAlign w:val="center"/>
          </w:tcPr>
          <w:p w14:paraId="60A13CF9">
            <w:pPr>
              <w:pStyle w:val="116"/>
              <w:adjustRightInd w:val="0"/>
              <w:snapToGrid w:val="0"/>
              <w:spacing w:line="240" w:lineRule="auto"/>
              <w:rPr>
                <w:sz w:val="21"/>
              </w:rPr>
            </w:pPr>
            <w:r>
              <w:rPr>
                <w:sz w:val="21"/>
              </w:rPr>
              <w:t>备注</w:t>
            </w:r>
          </w:p>
        </w:tc>
      </w:tr>
      <w:tr w14:paraId="20C33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8" w:type="pct"/>
            <w:vMerge w:val="continue"/>
            <w:vAlign w:val="center"/>
          </w:tcPr>
          <w:p w14:paraId="1BC1E427">
            <w:pPr>
              <w:pStyle w:val="116"/>
              <w:adjustRightInd w:val="0"/>
              <w:snapToGrid w:val="0"/>
              <w:spacing w:line="240" w:lineRule="auto"/>
              <w:rPr>
                <w:sz w:val="21"/>
              </w:rPr>
            </w:pPr>
          </w:p>
        </w:tc>
        <w:tc>
          <w:tcPr>
            <w:tcW w:w="1151" w:type="pct"/>
            <w:vAlign w:val="center"/>
          </w:tcPr>
          <w:p w14:paraId="785A6FC0">
            <w:pPr>
              <w:pStyle w:val="116"/>
              <w:adjustRightInd w:val="0"/>
              <w:snapToGrid w:val="0"/>
              <w:spacing w:line="240" w:lineRule="auto"/>
              <w:rPr>
                <w:sz w:val="21"/>
              </w:rPr>
            </w:pPr>
            <w:r>
              <w:rPr>
                <w:sz w:val="21"/>
              </w:rPr>
              <w:t>正常</w:t>
            </w:r>
          </w:p>
        </w:tc>
        <w:tc>
          <w:tcPr>
            <w:tcW w:w="1151" w:type="pct"/>
            <w:vAlign w:val="center"/>
          </w:tcPr>
          <w:p w14:paraId="407E12CF">
            <w:pPr>
              <w:pStyle w:val="116"/>
              <w:adjustRightInd w:val="0"/>
              <w:snapToGrid w:val="0"/>
              <w:spacing w:line="240" w:lineRule="auto"/>
              <w:rPr>
                <w:sz w:val="21"/>
              </w:rPr>
            </w:pPr>
            <w:r>
              <w:rPr>
                <w:sz w:val="21"/>
              </w:rPr>
              <w:t>最大</w:t>
            </w:r>
          </w:p>
        </w:tc>
        <w:tc>
          <w:tcPr>
            <w:tcW w:w="1260" w:type="pct"/>
            <w:vMerge w:val="continue"/>
            <w:vAlign w:val="center"/>
          </w:tcPr>
          <w:p w14:paraId="3FA464FE">
            <w:pPr>
              <w:pStyle w:val="116"/>
              <w:adjustRightInd w:val="0"/>
              <w:snapToGrid w:val="0"/>
              <w:spacing w:line="240" w:lineRule="auto"/>
              <w:rPr>
                <w:sz w:val="21"/>
              </w:rPr>
            </w:pPr>
          </w:p>
        </w:tc>
      </w:tr>
      <w:tr w14:paraId="6897B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8" w:type="pct"/>
            <w:shd w:val="clear" w:color="auto" w:fill="FFFFFF"/>
            <w:noWrap/>
            <w:vAlign w:val="center"/>
          </w:tcPr>
          <w:p w14:paraId="7D1311A0">
            <w:pPr>
              <w:pStyle w:val="116"/>
              <w:adjustRightInd w:val="0"/>
              <w:snapToGrid w:val="0"/>
              <w:spacing w:line="240" w:lineRule="auto"/>
              <w:rPr>
                <w:sz w:val="21"/>
              </w:rPr>
            </w:pPr>
            <w:r>
              <w:rPr>
                <w:sz w:val="21"/>
              </w:rPr>
              <w:t>-505</w:t>
            </w:r>
          </w:p>
        </w:tc>
        <w:tc>
          <w:tcPr>
            <w:tcW w:w="1151" w:type="pct"/>
            <w:shd w:val="clear" w:color="auto" w:fill="FFFFFF"/>
            <w:vAlign w:val="center"/>
          </w:tcPr>
          <w:p w14:paraId="5F982DD8">
            <w:pPr>
              <w:adjustRightInd w:val="0"/>
              <w:snapToGrid w:val="0"/>
              <w:spacing w:line="240" w:lineRule="auto"/>
              <w:ind w:firstLine="0" w:firstLineChars="0"/>
              <w:jc w:val="center"/>
              <w:rPr>
                <w:sz w:val="21"/>
              </w:rPr>
            </w:pPr>
            <w:r>
              <w:rPr>
                <w:bCs/>
                <w:sz w:val="21"/>
                <w:szCs w:val="24"/>
              </w:rPr>
              <w:t>3554</w:t>
            </w:r>
          </w:p>
        </w:tc>
        <w:tc>
          <w:tcPr>
            <w:tcW w:w="1151" w:type="pct"/>
            <w:shd w:val="clear" w:color="auto" w:fill="FFFFFF"/>
            <w:vAlign w:val="center"/>
          </w:tcPr>
          <w:p w14:paraId="6C23A815">
            <w:pPr>
              <w:widowControl/>
              <w:adjustRightInd w:val="0"/>
              <w:snapToGrid w:val="0"/>
              <w:spacing w:line="240" w:lineRule="auto"/>
              <w:ind w:firstLine="0" w:firstLineChars="0"/>
              <w:jc w:val="center"/>
              <w:textAlignment w:val="bottom"/>
              <w:rPr>
                <w:sz w:val="21"/>
              </w:rPr>
            </w:pPr>
            <w:r>
              <w:rPr>
                <w:bCs/>
                <w:sz w:val="21"/>
                <w:szCs w:val="24"/>
              </w:rPr>
              <w:t>5332</w:t>
            </w:r>
          </w:p>
        </w:tc>
        <w:tc>
          <w:tcPr>
            <w:tcW w:w="1260" w:type="pct"/>
            <w:shd w:val="clear" w:color="auto" w:fill="FFFFFF"/>
            <w:vAlign w:val="center"/>
          </w:tcPr>
          <w:p w14:paraId="2EF42E0F">
            <w:pPr>
              <w:pStyle w:val="116"/>
              <w:adjustRightInd w:val="0"/>
              <w:snapToGrid w:val="0"/>
              <w:spacing w:line="240" w:lineRule="auto"/>
              <w:rPr>
                <w:sz w:val="21"/>
              </w:rPr>
            </w:pPr>
            <w:r>
              <w:rPr>
                <w:kern w:val="0"/>
                <w:sz w:val="21"/>
                <w:lang w:bidi="ar"/>
              </w:rPr>
              <w:t>冯家庄矿段</w:t>
            </w:r>
          </w:p>
        </w:tc>
      </w:tr>
      <w:tr w14:paraId="349C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8" w:type="pct"/>
            <w:shd w:val="clear" w:color="auto" w:fill="FFFFFF"/>
            <w:noWrap/>
            <w:vAlign w:val="center"/>
          </w:tcPr>
          <w:p w14:paraId="1F26C787">
            <w:pPr>
              <w:pStyle w:val="116"/>
              <w:adjustRightInd w:val="0"/>
              <w:snapToGrid w:val="0"/>
              <w:spacing w:line="240" w:lineRule="auto"/>
              <w:rPr>
                <w:sz w:val="21"/>
              </w:rPr>
            </w:pPr>
            <w:r>
              <w:rPr>
                <w:sz w:val="21"/>
              </w:rPr>
              <w:t>-835</w:t>
            </w:r>
          </w:p>
        </w:tc>
        <w:tc>
          <w:tcPr>
            <w:tcW w:w="1151" w:type="pct"/>
            <w:shd w:val="clear" w:color="auto" w:fill="FFFFFF"/>
            <w:vAlign w:val="center"/>
          </w:tcPr>
          <w:p w14:paraId="2DC14D27">
            <w:pPr>
              <w:adjustRightInd w:val="0"/>
              <w:snapToGrid w:val="0"/>
              <w:spacing w:line="240" w:lineRule="auto"/>
              <w:ind w:firstLine="0" w:firstLineChars="0"/>
              <w:jc w:val="center"/>
              <w:rPr>
                <w:kern w:val="0"/>
                <w:sz w:val="21"/>
                <w:szCs w:val="24"/>
                <w:lang w:bidi="ar"/>
              </w:rPr>
            </w:pPr>
            <w:r>
              <w:rPr>
                <w:bCs/>
                <w:sz w:val="21"/>
                <w:szCs w:val="24"/>
              </w:rPr>
              <w:t>12180</w:t>
            </w:r>
          </w:p>
        </w:tc>
        <w:tc>
          <w:tcPr>
            <w:tcW w:w="1151" w:type="pct"/>
            <w:shd w:val="clear" w:color="auto" w:fill="FFFFFF"/>
            <w:vAlign w:val="center"/>
          </w:tcPr>
          <w:p w14:paraId="6BB9931A">
            <w:pPr>
              <w:widowControl/>
              <w:adjustRightInd w:val="0"/>
              <w:snapToGrid w:val="0"/>
              <w:spacing w:line="240" w:lineRule="auto"/>
              <w:ind w:firstLine="0" w:firstLineChars="0"/>
              <w:jc w:val="center"/>
              <w:textAlignment w:val="bottom"/>
              <w:rPr>
                <w:sz w:val="21"/>
              </w:rPr>
            </w:pPr>
            <w:r>
              <w:rPr>
                <w:bCs/>
                <w:sz w:val="21"/>
                <w:szCs w:val="24"/>
              </w:rPr>
              <w:t>18279</w:t>
            </w:r>
          </w:p>
        </w:tc>
        <w:tc>
          <w:tcPr>
            <w:tcW w:w="1260" w:type="pct"/>
            <w:shd w:val="clear" w:color="auto" w:fill="FFFFFF"/>
            <w:vAlign w:val="center"/>
          </w:tcPr>
          <w:p w14:paraId="494D46A7">
            <w:pPr>
              <w:pStyle w:val="116"/>
              <w:adjustRightInd w:val="0"/>
              <w:snapToGrid w:val="0"/>
              <w:spacing w:line="240" w:lineRule="auto"/>
              <w:rPr>
                <w:kern w:val="0"/>
                <w:sz w:val="21"/>
                <w:lang w:bidi="ar"/>
              </w:rPr>
            </w:pPr>
            <w:r>
              <w:rPr>
                <w:kern w:val="0"/>
                <w:sz w:val="21"/>
                <w:lang w:bidi="ar"/>
              </w:rPr>
              <w:t>彭集矿段</w:t>
            </w:r>
          </w:p>
        </w:tc>
      </w:tr>
      <w:tr w14:paraId="7D150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8" w:type="pct"/>
            <w:shd w:val="clear" w:color="auto" w:fill="FFFFFF"/>
            <w:noWrap/>
            <w:vAlign w:val="center"/>
          </w:tcPr>
          <w:p w14:paraId="6CF811D3">
            <w:pPr>
              <w:pStyle w:val="116"/>
              <w:adjustRightInd w:val="0"/>
              <w:snapToGrid w:val="0"/>
              <w:spacing w:line="240" w:lineRule="auto"/>
              <w:rPr>
                <w:sz w:val="21"/>
              </w:rPr>
            </w:pPr>
            <w:r>
              <w:rPr>
                <w:sz w:val="21"/>
              </w:rPr>
              <w:t>合计</w:t>
            </w:r>
          </w:p>
        </w:tc>
        <w:tc>
          <w:tcPr>
            <w:tcW w:w="1151" w:type="pct"/>
            <w:shd w:val="clear" w:color="auto" w:fill="FFFFFF"/>
            <w:vAlign w:val="center"/>
          </w:tcPr>
          <w:p w14:paraId="03D0C484">
            <w:pPr>
              <w:widowControl/>
              <w:adjustRightInd w:val="0"/>
              <w:snapToGrid w:val="0"/>
              <w:spacing w:line="240" w:lineRule="auto"/>
              <w:ind w:firstLine="0" w:firstLineChars="0"/>
              <w:jc w:val="center"/>
              <w:textAlignment w:val="center"/>
              <w:rPr>
                <w:kern w:val="0"/>
                <w:sz w:val="21"/>
                <w:szCs w:val="24"/>
                <w:lang w:bidi="ar"/>
              </w:rPr>
            </w:pPr>
            <w:r>
              <w:rPr>
                <w:kern w:val="0"/>
                <w:sz w:val="21"/>
                <w:szCs w:val="24"/>
                <w:lang w:bidi="ar"/>
              </w:rPr>
              <w:t>15734</w:t>
            </w:r>
          </w:p>
        </w:tc>
        <w:tc>
          <w:tcPr>
            <w:tcW w:w="1151" w:type="pct"/>
            <w:shd w:val="clear" w:color="auto" w:fill="FFFFFF"/>
            <w:vAlign w:val="center"/>
          </w:tcPr>
          <w:p w14:paraId="7B0FAEFA">
            <w:pPr>
              <w:widowControl/>
              <w:adjustRightInd w:val="0"/>
              <w:snapToGrid w:val="0"/>
              <w:spacing w:line="240" w:lineRule="auto"/>
              <w:ind w:firstLine="0" w:firstLineChars="0"/>
              <w:jc w:val="center"/>
              <w:textAlignment w:val="center"/>
              <w:rPr>
                <w:sz w:val="21"/>
              </w:rPr>
            </w:pPr>
            <w:r>
              <w:rPr>
                <w:kern w:val="0"/>
                <w:sz w:val="21"/>
                <w:szCs w:val="24"/>
                <w:lang w:bidi="ar"/>
              </w:rPr>
              <w:t>23611</w:t>
            </w:r>
          </w:p>
        </w:tc>
        <w:tc>
          <w:tcPr>
            <w:tcW w:w="1260" w:type="pct"/>
            <w:shd w:val="clear" w:color="auto" w:fill="FFFFFF"/>
            <w:vAlign w:val="center"/>
          </w:tcPr>
          <w:p w14:paraId="23B8A169">
            <w:pPr>
              <w:pStyle w:val="116"/>
              <w:adjustRightInd w:val="0"/>
              <w:snapToGrid w:val="0"/>
              <w:spacing w:line="240" w:lineRule="auto"/>
              <w:rPr>
                <w:kern w:val="0"/>
                <w:sz w:val="21"/>
                <w:lang w:bidi="ar"/>
              </w:rPr>
            </w:pPr>
            <w:r>
              <w:rPr>
                <w:kern w:val="0"/>
                <w:sz w:val="21"/>
                <w:lang w:bidi="ar"/>
              </w:rPr>
              <w:t>二期-505排水系统</w:t>
            </w:r>
          </w:p>
        </w:tc>
      </w:tr>
    </w:tbl>
    <w:p w14:paraId="2459A09B">
      <w:pPr>
        <w:snapToGrid w:val="0"/>
        <w:spacing w:line="360" w:lineRule="auto"/>
        <w:ind w:firstLine="480" w:firstLineChars="0"/>
        <w:rPr>
          <w:rFonts w:asciiTheme="minorHAnsi" w:hAnsiTheme="minorHAnsi" w:cstheme="minorHAnsi"/>
          <w:sz w:val="24"/>
          <w:szCs w:val="24"/>
        </w:rPr>
      </w:pPr>
      <w:r>
        <w:rPr>
          <w:rFonts w:hint="eastAsia" w:asciiTheme="minorHAnsi" w:hAnsiTheme="minorHAnsi" w:cstheme="minorHAnsi"/>
          <w:sz w:val="24"/>
          <w:szCs w:val="24"/>
        </w:rPr>
        <w:t>注：表中不包含充填析出水和生产用水量。根据储量核实报告，最大地下水涌水量按照正常涌水量的1.5倍考虑。</w:t>
      </w:r>
    </w:p>
    <w:p w14:paraId="4006E5D4">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②数值法计算</w:t>
      </w:r>
    </w:p>
    <w:p w14:paraId="63ABC570">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Visual Modflow软件是地下水三维有限差分法数值模拟软件，最初应用于孔隙介质，现已广泛应用于裂隙介质地下水的模拟计算。通过对矿床水文地质条件概化，用勘探时抽水试验测得的水位变化资料对Visual Modflow三维地下水模型进行模拟与识别，校准后的模型真实可靠，可用于地下水涌水量和流场的预测。</w:t>
      </w:r>
    </w:p>
    <w:p w14:paraId="4FC24835">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数值法预测矿坑涌水量是建立在矿山上向充填开采法的基础上，不破坏矿床上覆第四系含水层、风化裂隙含水层组介质场结构前提下进行的。</w:t>
      </w:r>
    </w:p>
    <w:p w14:paraId="6562A178">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矿山开采条件下，地下采场的大量排水，基岩含水层地下水头开始降低，基岩风化带及深部基岩开始释水，随着基岩含水层水头的持续降低，第四系含水层与下部基岩含水层水头差逐渐增大，在水力梯度的作用下，第四系地下水将通过粘土层缓慢越流补给基岩风化裂隙含水层，再由风化裂隙含水层进入深部含水层，最终向矿坑渗流，地下水流场呈现三维空间流场。</w:t>
      </w:r>
    </w:p>
    <w:p w14:paraId="223EB779">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模型建立和边界条件：</w:t>
      </w:r>
    </w:p>
    <w:p w14:paraId="5B115B12">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首采矿段范围为-100m~-475m水平，运输水平为-505m水平。由于采用保护顶板的胶结充填法开采，开采过程中顶板不允许破坏，且在-100m水平以上预留20m厚的护顶矿柱，保护第四系地下水不直接进入坑内采场。因此，仅计算基岩裂隙水含水层的地下水涌水量。</w:t>
      </w:r>
    </w:p>
    <w:p w14:paraId="43DFB1A2">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上部边界：顶部边界接收大气降水和地表水体的入渗补给。侧向边界：模型北部和南部边界为隔水边界，东部和西部边界为流量边界，随矿区疏干排水的进行，发生流出和流入方向的变化，边界流量的强度也将发生变化，为反映边界变化的特点概化为混合边界。下部边界：矿区范围内，深埋的基底围岩为相对隔水层，视为隔水边界。</w:t>
      </w:r>
    </w:p>
    <w:p w14:paraId="77AE637F">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将含水系统概化为非均质各向异性含水系统，地下水流系统概化为三维非稳定流。</w:t>
      </w:r>
    </w:p>
    <w:p w14:paraId="782C028F">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渗流区剖分：</w:t>
      </w:r>
    </w:p>
    <w:p w14:paraId="4B6B18DE">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对研究区进行空间网格剖分时需要考虑以下因素：水文地质条件变化或重要工程地段的区域剖分时要细化，观测孔尽量位于剖分单元的中心节点，矿坑排水和集中出水的地方，由于水力坡度及流场变化趋势较大，剖分时要适当加密。</w:t>
      </w:r>
    </w:p>
    <w:p w14:paraId="66A5CC4C">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计算区域均采用100m×100m的矩形网格，在开采区和水文地质条件变化较大的地方加密部分网格为50m×50m，以增加计算的精度。为了保证收敛的同时提高计算速度，对网格作平滑处理。</w:t>
      </w:r>
    </w:p>
    <w:p w14:paraId="6C8F3FED">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采用有限差分法对物理模型进行矩形剖分，对地层分界线、抽水孔、观测孔附近进行加密处理。本次将模型区在垂向上自上而下划分为11层，描述如下：第四系含水层（1层）、第四系底部粘性土弱透水层（2层）、基岩风化裂隙含水层（3层）、基岩弱含水层（4-11层）。</w:t>
      </w:r>
    </w:p>
    <w:p w14:paraId="2E5F34CA">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模型的计算：</w:t>
      </w:r>
    </w:p>
    <w:p w14:paraId="157900D4">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模型利用软件中的WHS解算器对上述数学模型进行求解计算。将数值模拟的各个步骤紧密连接，从建模、输入和修改参数、运行模型、反演校正参数，一直到显示输出结果整个过程系统化、规范化。不仅可以模拟放水试验所形成的人工疏降流场，分析水文地质条件，还可以准确预测矿井涌水量和水位降深。</w:t>
      </w:r>
    </w:p>
    <w:p w14:paraId="5E217784">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数值模型识别—计算参数的确定“”</w:t>
      </w:r>
    </w:p>
    <w:p w14:paraId="29919D3E">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通过模型识别，各观测孔地下水动态拟合曲线基本吻合，说明水文地质条件概化和建立的数学模型是合理的，识别后的水文地质参数是符合客观实际的，利用数值模型预测矿坑涌水量是可靠的。根据调参识别后的数学模型，给出了基岩含水层在不同标高的参数分区及参数值。模型识别后参数取值见表</w:t>
      </w:r>
      <w:r>
        <w:rPr>
          <w:rFonts w:asciiTheme="minorHAnsi" w:hAnsiTheme="minorHAnsi" w:cstheme="minorHAnsi"/>
          <w:szCs w:val="24"/>
        </w:rPr>
        <w:t>3.7-7</w:t>
      </w:r>
      <w:r>
        <w:rPr>
          <w:rFonts w:hint="eastAsia" w:asciiTheme="minorHAnsi" w:hAnsiTheme="minorHAnsi" w:cstheme="minorHAnsi"/>
          <w:szCs w:val="24"/>
        </w:rPr>
        <w:t>。</w:t>
      </w:r>
    </w:p>
    <w:p w14:paraId="46188F9C">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表3</w:t>
      </w:r>
      <w:r>
        <w:rPr>
          <w:rFonts w:asciiTheme="minorHAnsi" w:hAnsiTheme="minorHAnsi" w:cstheme="minorHAnsi"/>
          <w:szCs w:val="24"/>
        </w:rPr>
        <w:t xml:space="preserve">.7-7 </w:t>
      </w:r>
      <w:r>
        <w:rPr>
          <w:rFonts w:hint="eastAsia" w:asciiTheme="minorHAnsi" w:hAnsiTheme="minorHAnsi" w:cstheme="minorHAnsi"/>
          <w:szCs w:val="24"/>
        </w:rPr>
        <w:t>水文地质参数表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951"/>
        <w:gridCol w:w="1440"/>
        <w:gridCol w:w="1440"/>
        <w:gridCol w:w="1440"/>
        <w:gridCol w:w="1140"/>
        <w:gridCol w:w="1103"/>
      </w:tblGrid>
      <w:tr w14:paraId="4124F0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tblHeader/>
          <w:jc w:val="center"/>
        </w:trPr>
        <w:tc>
          <w:tcPr>
            <w:tcW w:w="1551" w:type="pct"/>
            <w:tcBorders>
              <w:top w:val="single" w:color="auto" w:sz="4" w:space="0"/>
              <w:left w:val="single" w:color="auto" w:sz="4" w:space="0"/>
              <w:bottom w:val="single" w:color="auto" w:sz="4" w:space="0"/>
              <w:right w:val="single" w:color="auto" w:sz="4" w:space="0"/>
            </w:tcBorders>
            <w:vAlign w:val="center"/>
          </w:tcPr>
          <w:p w14:paraId="7A53DCC7">
            <w:pPr>
              <w:pStyle w:val="390"/>
              <w:adjustRightInd w:val="0"/>
              <w:snapToGrid w:val="0"/>
              <w:rPr>
                <w:rFonts w:ascii="Times New Roman" w:hAnsi="Times New Roman"/>
                <w:b w:val="0"/>
                <w:bCs/>
                <w:szCs w:val="24"/>
              </w:rPr>
            </w:pPr>
            <w:r>
              <w:rPr>
                <w:rFonts w:ascii="Times New Roman" w:hAnsi="Times New Roman"/>
                <w:b w:val="0"/>
                <w:bCs/>
                <w:szCs w:val="24"/>
              </w:rPr>
              <w:t>分层、分区编号</w:t>
            </w:r>
          </w:p>
        </w:tc>
        <w:tc>
          <w:tcPr>
            <w:tcW w:w="757" w:type="pct"/>
            <w:tcBorders>
              <w:top w:val="single" w:color="auto" w:sz="4" w:space="0"/>
              <w:left w:val="single" w:color="auto" w:sz="4" w:space="0"/>
              <w:bottom w:val="single" w:color="auto" w:sz="4" w:space="0"/>
              <w:right w:val="single" w:color="auto" w:sz="4" w:space="0"/>
            </w:tcBorders>
            <w:vAlign w:val="center"/>
          </w:tcPr>
          <w:p w14:paraId="7E49A5C4">
            <w:pPr>
              <w:pStyle w:val="390"/>
              <w:adjustRightInd w:val="0"/>
              <w:snapToGrid w:val="0"/>
              <w:rPr>
                <w:rFonts w:ascii="Times New Roman" w:hAnsi="Times New Roman"/>
                <w:b w:val="0"/>
                <w:bCs/>
                <w:szCs w:val="24"/>
              </w:rPr>
            </w:pPr>
            <w:r>
              <w:rPr>
                <w:rFonts w:ascii="Times New Roman" w:hAnsi="Times New Roman"/>
                <w:b w:val="0"/>
                <w:bCs/>
                <w:szCs w:val="24"/>
              </w:rPr>
              <w:t>渗透系数</w:t>
            </w:r>
          </w:p>
          <w:p w14:paraId="6A694A8F">
            <w:pPr>
              <w:pStyle w:val="390"/>
              <w:adjustRightInd w:val="0"/>
              <w:snapToGrid w:val="0"/>
              <w:rPr>
                <w:rFonts w:ascii="Times New Roman" w:hAnsi="Times New Roman"/>
                <w:b w:val="0"/>
                <w:bCs/>
                <w:szCs w:val="24"/>
              </w:rPr>
            </w:pPr>
            <w:r>
              <w:rPr>
                <w:rFonts w:ascii="Times New Roman" w:hAnsi="Times New Roman"/>
                <w:b w:val="0"/>
                <w:bCs/>
                <w:szCs w:val="24"/>
              </w:rPr>
              <w:t>Kx,（m/d）</w:t>
            </w:r>
          </w:p>
        </w:tc>
        <w:tc>
          <w:tcPr>
            <w:tcW w:w="757" w:type="pct"/>
            <w:tcBorders>
              <w:top w:val="single" w:color="auto" w:sz="4" w:space="0"/>
              <w:left w:val="single" w:color="auto" w:sz="4" w:space="0"/>
              <w:bottom w:val="single" w:color="auto" w:sz="4" w:space="0"/>
              <w:right w:val="single" w:color="auto" w:sz="4" w:space="0"/>
            </w:tcBorders>
            <w:vAlign w:val="center"/>
          </w:tcPr>
          <w:p w14:paraId="645E419D">
            <w:pPr>
              <w:pStyle w:val="390"/>
              <w:adjustRightInd w:val="0"/>
              <w:snapToGrid w:val="0"/>
              <w:rPr>
                <w:rFonts w:ascii="Times New Roman" w:hAnsi="Times New Roman"/>
                <w:b w:val="0"/>
                <w:bCs/>
                <w:szCs w:val="24"/>
              </w:rPr>
            </w:pPr>
            <w:r>
              <w:rPr>
                <w:rFonts w:ascii="Times New Roman" w:hAnsi="Times New Roman"/>
                <w:b w:val="0"/>
                <w:bCs/>
                <w:szCs w:val="24"/>
              </w:rPr>
              <w:t>渗透系数</w:t>
            </w:r>
          </w:p>
          <w:p w14:paraId="0F0812EF">
            <w:pPr>
              <w:pStyle w:val="390"/>
              <w:adjustRightInd w:val="0"/>
              <w:snapToGrid w:val="0"/>
              <w:rPr>
                <w:rFonts w:ascii="Times New Roman" w:hAnsi="Times New Roman"/>
                <w:b w:val="0"/>
                <w:bCs/>
                <w:szCs w:val="24"/>
              </w:rPr>
            </w:pPr>
            <w:r>
              <w:rPr>
                <w:rFonts w:ascii="Times New Roman" w:hAnsi="Times New Roman"/>
                <w:b w:val="0"/>
                <w:bCs/>
                <w:szCs w:val="24"/>
              </w:rPr>
              <w:t>Ky,（m/d）</w:t>
            </w:r>
          </w:p>
        </w:tc>
        <w:tc>
          <w:tcPr>
            <w:tcW w:w="757" w:type="pct"/>
            <w:tcBorders>
              <w:top w:val="single" w:color="auto" w:sz="4" w:space="0"/>
              <w:left w:val="single" w:color="auto" w:sz="4" w:space="0"/>
              <w:bottom w:val="single" w:color="auto" w:sz="4" w:space="0"/>
              <w:right w:val="single" w:color="auto" w:sz="4" w:space="0"/>
            </w:tcBorders>
            <w:vAlign w:val="center"/>
          </w:tcPr>
          <w:p w14:paraId="43CB07B5">
            <w:pPr>
              <w:pStyle w:val="390"/>
              <w:adjustRightInd w:val="0"/>
              <w:snapToGrid w:val="0"/>
              <w:rPr>
                <w:rFonts w:ascii="Times New Roman" w:hAnsi="Times New Roman"/>
                <w:b w:val="0"/>
                <w:bCs/>
                <w:szCs w:val="24"/>
              </w:rPr>
            </w:pPr>
            <w:r>
              <w:rPr>
                <w:rFonts w:ascii="Times New Roman" w:hAnsi="Times New Roman"/>
                <w:b w:val="0"/>
                <w:bCs/>
                <w:szCs w:val="24"/>
              </w:rPr>
              <w:t>渗透系数</w:t>
            </w:r>
          </w:p>
          <w:p w14:paraId="5EF37D06">
            <w:pPr>
              <w:pStyle w:val="390"/>
              <w:adjustRightInd w:val="0"/>
              <w:snapToGrid w:val="0"/>
              <w:rPr>
                <w:rFonts w:ascii="Times New Roman" w:hAnsi="Times New Roman"/>
                <w:b w:val="0"/>
                <w:bCs/>
                <w:szCs w:val="24"/>
              </w:rPr>
            </w:pPr>
            <w:r>
              <w:rPr>
                <w:rFonts w:ascii="Times New Roman" w:hAnsi="Times New Roman"/>
                <w:b w:val="0"/>
                <w:bCs/>
                <w:szCs w:val="24"/>
              </w:rPr>
              <w:t>Kz,（m/d）</w:t>
            </w:r>
          </w:p>
        </w:tc>
        <w:tc>
          <w:tcPr>
            <w:tcW w:w="599" w:type="pct"/>
            <w:tcBorders>
              <w:top w:val="single" w:color="auto" w:sz="4" w:space="0"/>
              <w:left w:val="single" w:color="auto" w:sz="4" w:space="0"/>
              <w:bottom w:val="single" w:color="auto" w:sz="4" w:space="0"/>
              <w:right w:val="single" w:color="auto" w:sz="4" w:space="0"/>
            </w:tcBorders>
            <w:vAlign w:val="center"/>
          </w:tcPr>
          <w:p w14:paraId="3E1039F4">
            <w:pPr>
              <w:pStyle w:val="390"/>
              <w:adjustRightInd w:val="0"/>
              <w:snapToGrid w:val="0"/>
              <w:rPr>
                <w:rFonts w:ascii="Times New Roman" w:hAnsi="Times New Roman"/>
                <w:b w:val="0"/>
                <w:bCs/>
                <w:szCs w:val="24"/>
              </w:rPr>
            </w:pPr>
            <w:r>
              <w:rPr>
                <w:rFonts w:ascii="Times New Roman" w:hAnsi="Times New Roman"/>
                <w:b w:val="0"/>
                <w:bCs/>
                <w:szCs w:val="24"/>
              </w:rPr>
              <w:t>弹性释水</w:t>
            </w:r>
          </w:p>
          <w:p w14:paraId="0F8C1944">
            <w:pPr>
              <w:pStyle w:val="390"/>
              <w:adjustRightInd w:val="0"/>
              <w:snapToGrid w:val="0"/>
              <w:rPr>
                <w:rFonts w:ascii="Times New Roman" w:hAnsi="Times New Roman"/>
                <w:b w:val="0"/>
                <w:bCs/>
                <w:szCs w:val="24"/>
              </w:rPr>
            </w:pPr>
            <w:r>
              <w:rPr>
                <w:rFonts w:ascii="Times New Roman" w:hAnsi="Times New Roman"/>
                <w:b w:val="0"/>
                <w:bCs/>
                <w:szCs w:val="24"/>
              </w:rPr>
              <w:t>系数S</w:t>
            </w:r>
          </w:p>
        </w:tc>
        <w:tc>
          <w:tcPr>
            <w:tcW w:w="579" w:type="pct"/>
            <w:tcBorders>
              <w:top w:val="single" w:color="auto" w:sz="4" w:space="0"/>
              <w:left w:val="single" w:color="auto" w:sz="4" w:space="0"/>
              <w:bottom w:val="single" w:color="auto" w:sz="4" w:space="0"/>
              <w:right w:val="single" w:color="auto" w:sz="4" w:space="0"/>
            </w:tcBorders>
            <w:vAlign w:val="center"/>
          </w:tcPr>
          <w:p w14:paraId="0CB1EE18">
            <w:pPr>
              <w:pStyle w:val="390"/>
              <w:adjustRightInd w:val="0"/>
              <w:snapToGrid w:val="0"/>
              <w:rPr>
                <w:rFonts w:ascii="Times New Roman" w:hAnsi="Times New Roman"/>
                <w:b w:val="0"/>
                <w:bCs/>
                <w:szCs w:val="24"/>
              </w:rPr>
            </w:pPr>
            <w:r>
              <w:rPr>
                <w:rFonts w:ascii="Times New Roman" w:hAnsi="Times New Roman"/>
                <w:b w:val="0"/>
                <w:bCs/>
                <w:szCs w:val="24"/>
              </w:rPr>
              <w:t>给水度</w:t>
            </w:r>
          </w:p>
          <w:p w14:paraId="2107BE86">
            <w:pPr>
              <w:pStyle w:val="390"/>
              <w:adjustRightInd w:val="0"/>
              <w:snapToGrid w:val="0"/>
              <w:rPr>
                <w:rFonts w:ascii="Times New Roman" w:hAnsi="Times New Roman"/>
                <w:b w:val="0"/>
                <w:bCs/>
                <w:szCs w:val="24"/>
              </w:rPr>
            </w:pPr>
            <w:r>
              <w:rPr>
                <w:rFonts w:ascii="Times New Roman" w:hAnsi="Times New Roman"/>
                <w:b w:val="0"/>
                <w:bCs/>
                <w:szCs w:val="24"/>
              </w:rPr>
              <w:t>μ</w:t>
            </w:r>
          </w:p>
        </w:tc>
      </w:tr>
      <w:tr w14:paraId="291AC5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551" w:type="pct"/>
            <w:tcBorders>
              <w:top w:val="single" w:color="auto" w:sz="4" w:space="0"/>
              <w:left w:val="single" w:color="auto" w:sz="4" w:space="0"/>
              <w:bottom w:val="single" w:color="auto" w:sz="4" w:space="0"/>
              <w:right w:val="single" w:color="auto" w:sz="4" w:space="0"/>
            </w:tcBorders>
            <w:vAlign w:val="center"/>
          </w:tcPr>
          <w:p w14:paraId="411EAB7D">
            <w:pPr>
              <w:pStyle w:val="389"/>
              <w:adjustRightInd w:val="0"/>
              <w:snapToGrid w:val="0"/>
              <w:rPr>
                <w:rFonts w:ascii="Times New Roman" w:hAnsi="Times New Roman"/>
                <w:szCs w:val="24"/>
              </w:rPr>
            </w:pPr>
            <w:r>
              <w:rPr>
                <w:rFonts w:ascii="Times New Roman" w:hAnsi="Times New Roman"/>
                <w:szCs w:val="24"/>
              </w:rPr>
              <w:t>第四系含水层</w:t>
            </w:r>
          </w:p>
        </w:tc>
        <w:tc>
          <w:tcPr>
            <w:tcW w:w="757" w:type="pct"/>
            <w:tcBorders>
              <w:top w:val="single" w:color="auto" w:sz="4" w:space="0"/>
              <w:left w:val="single" w:color="auto" w:sz="4" w:space="0"/>
              <w:bottom w:val="single" w:color="auto" w:sz="4" w:space="0"/>
              <w:right w:val="single" w:color="auto" w:sz="4" w:space="0"/>
            </w:tcBorders>
            <w:vAlign w:val="center"/>
          </w:tcPr>
          <w:p w14:paraId="50A5BCA4">
            <w:pPr>
              <w:pStyle w:val="389"/>
              <w:adjustRightInd w:val="0"/>
              <w:snapToGrid w:val="0"/>
              <w:rPr>
                <w:rFonts w:ascii="Times New Roman" w:hAnsi="Times New Roman"/>
                <w:szCs w:val="24"/>
              </w:rPr>
            </w:pPr>
            <w:r>
              <w:rPr>
                <w:rFonts w:ascii="Times New Roman" w:hAnsi="Times New Roman"/>
                <w:szCs w:val="24"/>
              </w:rPr>
              <w:t>1.55-30</w:t>
            </w:r>
          </w:p>
        </w:tc>
        <w:tc>
          <w:tcPr>
            <w:tcW w:w="757" w:type="pct"/>
            <w:tcBorders>
              <w:top w:val="single" w:color="auto" w:sz="4" w:space="0"/>
              <w:left w:val="single" w:color="auto" w:sz="4" w:space="0"/>
              <w:bottom w:val="single" w:color="auto" w:sz="4" w:space="0"/>
              <w:right w:val="single" w:color="auto" w:sz="4" w:space="0"/>
            </w:tcBorders>
            <w:vAlign w:val="center"/>
          </w:tcPr>
          <w:p w14:paraId="0142BE71">
            <w:pPr>
              <w:pStyle w:val="389"/>
              <w:adjustRightInd w:val="0"/>
              <w:snapToGrid w:val="0"/>
              <w:rPr>
                <w:rFonts w:ascii="Times New Roman" w:hAnsi="Times New Roman"/>
                <w:szCs w:val="24"/>
              </w:rPr>
            </w:pPr>
            <w:r>
              <w:rPr>
                <w:rFonts w:ascii="Times New Roman" w:hAnsi="Times New Roman"/>
                <w:szCs w:val="24"/>
              </w:rPr>
              <w:t>1.55-30</w:t>
            </w:r>
          </w:p>
        </w:tc>
        <w:tc>
          <w:tcPr>
            <w:tcW w:w="757" w:type="pct"/>
            <w:tcBorders>
              <w:top w:val="single" w:color="auto" w:sz="4" w:space="0"/>
              <w:left w:val="single" w:color="auto" w:sz="4" w:space="0"/>
              <w:bottom w:val="single" w:color="auto" w:sz="4" w:space="0"/>
              <w:right w:val="single" w:color="auto" w:sz="4" w:space="0"/>
            </w:tcBorders>
            <w:vAlign w:val="center"/>
          </w:tcPr>
          <w:p w14:paraId="7890A6E0">
            <w:pPr>
              <w:pStyle w:val="389"/>
              <w:adjustRightInd w:val="0"/>
              <w:snapToGrid w:val="0"/>
              <w:rPr>
                <w:rFonts w:ascii="Times New Roman" w:hAnsi="Times New Roman"/>
                <w:szCs w:val="24"/>
              </w:rPr>
            </w:pPr>
            <w:r>
              <w:rPr>
                <w:rFonts w:ascii="Times New Roman" w:hAnsi="Times New Roman"/>
                <w:szCs w:val="24"/>
              </w:rPr>
              <w:t>1.55-30</w:t>
            </w:r>
          </w:p>
        </w:tc>
        <w:tc>
          <w:tcPr>
            <w:tcW w:w="599" w:type="pct"/>
            <w:tcBorders>
              <w:top w:val="single" w:color="auto" w:sz="4" w:space="0"/>
              <w:left w:val="single" w:color="auto" w:sz="4" w:space="0"/>
              <w:bottom w:val="single" w:color="auto" w:sz="4" w:space="0"/>
              <w:right w:val="single" w:color="auto" w:sz="4" w:space="0"/>
            </w:tcBorders>
            <w:vAlign w:val="center"/>
          </w:tcPr>
          <w:p w14:paraId="605ED78F">
            <w:pPr>
              <w:pStyle w:val="389"/>
              <w:adjustRightInd w:val="0"/>
              <w:snapToGrid w:val="0"/>
              <w:rPr>
                <w:rFonts w:ascii="Times New Roman" w:hAnsi="Times New Roman"/>
                <w:szCs w:val="24"/>
              </w:rPr>
            </w:pPr>
            <w:r>
              <w:rPr>
                <w:rFonts w:ascii="Times New Roman" w:hAnsi="Times New Roman"/>
                <w:szCs w:val="24"/>
              </w:rPr>
              <w:t>1.00E-5</w:t>
            </w:r>
          </w:p>
        </w:tc>
        <w:tc>
          <w:tcPr>
            <w:tcW w:w="579" w:type="pct"/>
            <w:tcBorders>
              <w:top w:val="single" w:color="auto" w:sz="4" w:space="0"/>
              <w:left w:val="single" w:color="auto" w:sz="4" w:space="0"/>
              <w:bottom w:val="single" w:color="auto" w:sz="4" w:space="0"/>
              <w:right w:val="single" w:color="auto" w:sz="4" w:space="0"/>
            </w:tcBorders>
            <w:vAlign w:val="center"/>
          </w:tcPr>
          <w:p w14:paraId="31807BD1">
            <w:pPr>
              <w:pStyle w:val="389"/>
              <w:adjustRightInd w:val="0"/>
              <w:snapToGrid w:val="0"/>
              <w:rPr>
                <w:rFonts w:ascii="Times New Roman" w:hAnsi="Times New Roman"/>
                <w:szCs w:val="24"/>
              </w:rPr>
            </w:pPr>
            <w:r>
              <w:rPr>
                <w:rFonts w:ascii="Times New Roman" w:hAnsi="Times New Roman"/>
                <w:szCs w:val="24"/>
              </w:rPr>
              <w:t>0.15-0.3</w:t>
            </w:r>
          </w:p>
        </w:tc>
      </w:tr>
      <w:tr w14:paraId="6F1554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551" w:type="pct"/>
            <w:tcBorders>
              <w:top w:val="single" w:color="auto" w:sz="4" w:space="0"/>
              <w:left w:val="single" w:color="auto" w:sz="4" w:space="0"/>
              <w:bottom w:val="single" w:color="auto" w:sz="4" w:space="0"/>
              <w:right w:val="single" w:color="auto" w:sz="4" w:space="0"/>
            </w:tcBorders>
            <w:vAlign w:val="center"/>
          </w:tcPr>
          <w:p w14:paraId="032566F6">
            <w:pPr>
              <w:pStyle w:val="389"/>
              <w:adjustRightInd w:val="0"/>
              <w:snapToGrid w:val="0"/>
              <w:rPr>
                <w:rFonts w:ascii="Times New Roman" w:hAnsi="Times New Roman"/>
                <w:szCs w:val="24"/>
              </w:rPr>
            </w:pPr>
            <w:r>
              <w:rPr>
                <w:rFonts w:ascii="Times New Roman" w:hAnsi="Times New Roman"/>
                <w:szCs w:val="24"/>
              </w:rPr>
              <w:t>第四系底部粘性土弱透水层</w:t>
            </w:r>
          </w:p>
        </w:tc>
        <w:tc>
          <w:tcPr>
            <w:tcW w:w="757" w:type="pct"/>
            <w:tcBorders>
              <w:top w:val="single" w:color="auto" w:sz="4" w:space="0"/>
              <w:left w:val="single" w:color="auto" w:sz="4" w:space="0"/>
              <w:bottom w:val="single" w:color="auto" w:sz="4" w:space="0"/>
              <w:right w:val="single" w:color="auto" w:sz="4" w:space="0"/>
            </w:tcBorders>
            <w:vAlign w:val="center"/>
          </w:tcPr>
          <w:p w14:paraId="4CEB9D45">
            <w:pPr>
              <w:pStyle w:val="389"/>
              <w:adjustRightInd w:val="0"/>
              <w:snapToGrid w:val="0"/>
              <w:rPr>
                <w:rFonts w:ascii="Times New Roman" w:hAnsi="Times New Roman"/>
                <w:szCs w:val="24"/>
              </w:rPr>
            </w:pPr>
            <w:r>
              <w:rPr>
                <w:rFonts w:ascii="Times New Roman" w:hAnsi="Times New Roman"/>
                <w:szCs w:val="24"/>
              </w:rPr>
              <w:t>0.002</w:t>
            </w:r>
          </w:p>
        </w:tc>
        <w:tc>
          <w:tcPr>
            <w:tcW w:w="757" w:type="pct"/>
            <w:tcBorders>
              <w:top w:val="single" w:color="auto" w:sz="4" w:space="0"/>
              <w:left w:val="single" w:color="auto" w:sz="4" w:space="0"/>
              <w:bottom w:val="single" w:color="auto" w:sz="4" w:space="0"/>
              <w:right w:val="single" w:color="auto" w:sz="4" w:space="0"/>
            </w:tcBorders>
            <w:vAlign w:val="center"/>
          </w:tcPr>
          <w:p w14:paraId="05FD38DD">
            <w:pPr>
              <w:pStyle w:val="389"/>
              <w:adjustRightInd w:val="0"/>
              <w:snapToGrid w:val="0"/>
              <w:rPr>
                <w:rFonts w:ascii="Times New Roman" w:hAnsi="Times New Roman"/>
                <w:szCs w:val="24"/>
              </w:rPr>
            </w:pPr>
            <w:r>
              <w:rPr>
                <w:rFonts w:ascii="Times New Roman" w:hAnsi="Times New Roman"/>
                <w:szCs w:val="24"/>
              </w:rPr>
              <w:t>0.002</w:t>
            </w:r>
          </w:p>
        </w:tc>
        <w:tc>
          <w:tcPr>
            <w:tcW w:w="757" w:type="pct"/>
            <w:tcBorders>
              <w:top w:val="single" w:color="auto" w:sz="4" w:space="0"/>
              <w:left w:val="single" w:color="auto" w:sz="4" w:space="0"/>
              <w:bottom w:val="single" w:color="auto" w:sz="4" w:space="0"/>
              <w:right w:val="single" w:color="auto" w:sz="4" w:space="0"/>
            </w:tcBorders>
            <w:vAlign w:val="center"/>
          </w:tcPr>
          <w:p w14:paraId="5E7B23C4">
            <w:pPr>
              <w:pStyle w:val="389"/>
              <w:adjustRightInd w:val="0"/>
              <w:snapToGrid w:val="0"/>
              <w:rPr>
                <w:rFonts w:ascii="Times New Roman" w:hAnsi="Times New Roman"/>
                <w:szCs w:val="24"/>
              </w:rPr>
            </w:pPr>
            <w:r>
              <w:rPr>
                <w:rFonts w:ascii="Times New Roman" w:hAnsi="Times New Roman"/>
                <w:szCs w:val="24"/>
              </w:rPr>
              <w:t>0.002</w:t>
            </w:r>
          </w:p>
        </w:tc>
        <w:tc>
          <w:tcPr>
            <w:tcW w:w="599" w:type="pct"/>
            <w:tcBorders>
              <w:top w:val="single" w:color="auto" w:sz="4" w:space="0"/>
              <w:left w:val="single" w:color="auto" w:sz="4" w:space="0"/>
              <w:bottom w:val="single" w:color="auto" w:sz="4" w:space="0"/>
              <w:right w:val="single" w:color="auto" w:sz="4" w:space="0"/>
            </w:tcBorders>
            <w:vAlign w:val="center"/>
          </w:tcPr>
          <w:p w14:paraId="3517F9DC">
            <w:pPr>
              <w:pStyle w:val="389"/>
              <w:adjustRightInd w:val="0"/>
              <w:snapToGrid w:val="0"/>
              <w:rPr>
                <w:rFonts w:ascii="Times New Roman" w:hAnsi="Times New Roman"/>
                <w:szCs w:val="24"/>
              </w:rPr>
            </w:pPr>
            <w:r>
              <w:rPr>
                <w:rFonts w:ascii="Times New Roman" w:hAnsi="Times New Roman"/>
                <w:szCs w:val="24"/>
              </w:rPr>
              <w:t>1.00E-5</w:t>
            </w:r>
          </w:p>
        </w:tc>
        <w:tc>
          <w:tcPr>
            <w:tcW w:w="579" w:type="pct"/>
            <w:tcBorders>
              <w:top w:val="single" w:color="auto" w:sz="4" w:space="0"/>
              <w:left w:val="single" w:color="auto" w:sz="4" w:space="0"/>
              <w:bottom w:val="single" w:color="auto" w:sz="4" w:space="0"/>
              <w:right w:val="single" w:color="auto" w:sz="4" w:space="0"/>
            </w:tcBorders>
            <w:vAlign w:val="center"/>
          </w:tcPr>
          <w:p w14:paraId="73D936B9">
            <w:pPr>
              <w:pStyle w:val="389"/>
              <w:adjustRightInd w:val="0"/>
              <w:snapToGrid w:val="0"/>
              <w:rPr>
                <w:rFonts w:ascii="Times New Roman" w:hAnsi="Times New Roman"/>
                <w:szCs w:val="24"/>
              </w:rPr>
            </w:pPr>
            <w:r>
              <w:rPr>
                <w:rFonts w:ascii="Times New Roman" w:hAnsi="Times New Roman"/>
                <w:szCs w:val="24"/>
              </w:rPr>
              <w:t>0.05</w:t>
            </w:r>
          </w:p>
        </w:tc>
      </w:tr>
      <w:tr w14:paraId="3EEDF7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551" w:type="pct"/>
            <w:tcBorders>
              <w:top w:val="single" w:color="auto" w:sz="4" w:space="0"/>
              <w:left w:val="single" w:color="auto" w:sz="4" w:space="0"/>
              <w:bottom w:val="single" w:color="auto" w:sz="4" w:space="0"/>
              <w:right w:val="single" w:color="auto" w:sz="4" w:space="0"/>
            </w:tcBorders>
            <w:vAlign w:val="center"/>
          </w:tcPr>
          <w:p w14:paraId="204B8E61">
            <w:pPr>
              <w:pStyle w:val="389"/>
              <w:adjustRightInd w:val="0"/>
              <w:snapToGrid w:val="0"/>
              <w:rPr>
                <w:rFonts w:ascii="Times New Roman" w:hAnsi="Times New Roman"/>
                <w:szCs w:val="24"/>
              </w:rPr>
            </w:pPr>
            <w:r>
              <w:rPr>
                <w:rFonts w:ascii="Times New Roman" w:hAnsi="Times New Roman"/>
                <w:szCs w:val="24"/>
              </w:rPr>
              <w:t>基岩风化裂隙含水层</w:t>
            </w:r>
          </w:p>
        </w:tc>
        <w:tc>
          <w:tcPr>
            <w:tcW w:w="757" w:type="pct"/>
            <w:tcBorders>
              <w:top w:val="single" w:color="auto" w:sz="4" w:space="0"/>
              <w:left w:val="single" w:color="auto" w:sz="4" w:space="0"/>
              <w:bottom w:val="single" w:color="auto" w:sz="4" w:space="0"/>
              <w:right w:val="single" w:color="auto" w:sz="4" w:space="0"/>
            </w:tcBorders>
            <w:vAlign w:val="center"/>
          </w:tcPr>
          <w:p w14:paraId="0DA1EA18">
            <w:pPr>
              <w:pStyle w:val="389"/>
              <w:adjustRightInd w:val="0"/>
              <w:snapToGrid w:val="0"/>
              <w:rPr>
                <w:rFonts w:ascii="Times New Roman" w:hAnsi="Times New Roman"/>
                <w:szCs w:val="24"/>
              </w:rPr>
            </w:pPr>
            <w:r>
              <w:rPr>
                <w:rFonts w:ascii="Times New Roman" w:hAnsi="Times New Roman"/>
                <w:szCs w:val="24"/>
              </w:rPr>
              <w:t>0.077</w:t>
            </w:r>
          </w:p>
        </w:tc>
        <w:tc>
          <w:tcPr>
            <w:tcW w:w="757" w:type="pct"/>
            <w:tcBorders>
              <w:top w:val="single" w:color="auto" w:sz="4" w:space="0"/>
              <w:left w:val="single" w:color="auto" w:sz="4" w:space="0"/>
              <w:bottom w:val="single" w:color="auto" w:sz="4" w:space="0"/>
              <w:right w:val="single" w:color="auto" w:sz="4" w:space="0"/>
            </w:tcBorders>
            <w:vAlign w:val="center"/>
          </w:tcPr>
          <w:p w14:paraId="179E5FCE">
            <w:pPr>
              <w:pStyle w:val="389"/>
              <w:adjustRightInd w:val="0"/>
              <w:snapToGrid w:val="0"/>
              <w:rPr>
                <w:rFonts w:ascii="Times New Roman" w:hAnsi="Times New Roman"/>
                <w:szCs w:val="24"/>
              </w:rPr>
            </w:pPr>
            <w:r>
              <w:rPr>
                <w:rFonts w:ascii="Times New Roman" w:hAnsi="Times New Roman"/>
                <w:szCs w:val="24"/>
              </w:rPr>
              <w:t>0.077</w:t>
            </w:r>
          </w:p>
        </w:tc>
        <w:tc>
          <w:tcPr>
            <w:tcW w:w="757" w:type="pct"/>
            <w:tcBorders>
              <w:top w:val="single" w:color="auto" w:sz="4" w:space="0"/>
              <w:left w:val="single" w:color="auto" w:sz="4" w:space="0"/>
              <w:bottom w:val="single" w:color="auto" w:sz="4" w:space="0"/>
              <w:right w:val="single" w:color="auto" w:sz="4" w:space="0"/>
            </w:tcBorders>
            <w:vAlign w:val="center"/>
          </w:tcPr>
          <w:p w14:paraId="31CE2772">
            <w:pPr>
              <w:pStyle w:val="389"/>
              <w:adjustRightInd w:val="0"/>
              <w:snapToGrid w:val="0"/>
              <w:rPr>
                <w:rFonts w:ascii="Times New Roman" w:hAnsi="Times New Roman"/>
                <w:szCs w:val="24"/>
              </w:rPr>
            </w:pPr>
            <w:r>
              <w:rPr>
                <w:rFonts w:ascii="Times New Roman" w:hAnsi="Times New Roman"/>
                <w:szCs w:val="24"/>
              </w:rPr>
              <w:t>0.077</w:t>
            </w:r>
          </w:p>
        </w:tc>
        <w:tc>
          <w:tcPr>
            <w:tcW w:w="599" w:type="pct"/>
            <w:tcBorders>
              <w:top w:val="single" w:color="auto" w:sz="4" w:space="0"/>
              <w:left w:val="single" w:color="auto" w:sz="4" w:space="0"/>
              <w:bottom w:val="single" w:color="auto" w:sz="4" w:space="0"/>
              <w:right w:val="single" w:color="auto" w:sz="4" w:space="0"/>
            </w:tcBorders>
            <w:vAlign w:val="center"/>
          </w:tcPr>
          <w:p w14:paraId="4CCC1070">
            <w:pPr>
              <w:pStyle w:val="389"/>
              <w:adjustRightInd w:val="0"/>
              <w:snapToGrid w:val="0"/>
              <w:rPr>
                <w:rFonts w:ascii="Times New Roman" w:hAnsi="Times New Roman"/>
                <w:szCs w:val="24"/>
              </w:rPr>
            </w:pPr>
            <w:r>
              <w:rPr>
                <w:rFonts w:ascii="Times New Roman" w:hAnsi="Times New Roman"/>
                <w:szCs w:val="24"/>
              </w:rPr>
              <w:t>1.00E-5</w:t>
            </w:r>
          </w:p>
        </w:tc>
        <w:tc>
          <w:tcPr>
            <w:tcW w:w="579" w:type="pct"/>
            <w:tcBorders>
              <w:top w:val="single" w:color="auto" w:sz="4" w:space="0"/>
              <w:left w:val="single" w:color="auto" w:sz="4" w:space="0"/>
              <w:bottom w:val="single" w:color="auto" w:sz="4" w:space="0"/>
              <w:right w:val="single" w:color="auto" w:sz="4" w:space="0"/>
            </w:tcBorders>
            <w:vAlign w:val="center"/>
          </w:tcPr>
          <w:p w14:paraId="4B9F723A">
            <w:pPr>
              <w:pStyle w:val="389"/>
              <w:adjustRightInd w:val="0"/>
              <w:snapToGrid w:val="0"/>
              <w:rPr>
                <w:rFonts w:ascii="Times New Roman" w:hAnsi="Times New Roman"/>
                <w:szCs w:val="24"/>
              </w:rPr>
            </w:pPr>
            <w:r>
              <w:rPr>
                <w:rFonts w:ascii="Times New Roman" w:hAnsi="Times New Roman"/>
                <w:szCs w:val="24"/>
              </w:rPr>
              <w:t>0.1</w:t>
            </w:r>
          </w:p>
        </w:tc>
      </w:tr>
      <w:tr w14:paraId="4E71FC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551" w:type="pct"/>
            <w:tcBorders>
              <w:top w:val="single" w:color="auto" w:sz="4" w:space="0"/>
              <w:left w:val="single" w:color="auto" w:sz="4" w:space="0"/>
              <w:bottom w:val="single" w:color="auto" w:sz="4" w:space="0"/>
              <w:right w:val="single" w:color="auto" w:sz="4" w:space="0"/>
            </w:tcBorders>
            <w:vAlign w:val="center"/>
          </w:tcPr>
          <w:p w14:paraId="4A327C4F">
            <w:pPr>
              <w:pStyle w:val="389"/>
              <w:adjustRightInd w:val="0"/>
              <w:snapToGrid w:val="0"/>
              <w:rPr>
                <w:rFonts w:ascii="Times New Roman" w:hAnsi="Times New Roman"/>
                <w:szCs w:val="24"/>
              </w:rPr>
            </w:pPr>
            <w:r>
              <w:rPr>
                <w:rFonts w:ascii="Times New Roman" w:hAnsi="Times New Roman"/>
                <w:szCs w:val="24"/>
              </w:rPr>
              <w:t>基岩构造裂隙含水层</w:t>
            </w:r>
          </w:p>
        </w:tc>
        <w:tc>
          <w:tcPr>
            <w:tcW w:w="757" w:type="pct"/>
            <w:tcBorders>
              <w:top w:val="single" w:color="auto" w:sz="4" w:space="0"/>
              <w:left w:val="single" w:color="auto" w:sz="4" w:space="0"/>
              <w:bottom w:val="single" w:color="auto" w:sz="4" w:space="0"/>
              <w:right w:val="single" w:color="auto" w:sz="4" w:space="0"/>
            </w:tcBorders>
            <w:vAlign w:val="center"/>
          </w:tcPr>
          <w:p w14:paraId="0DD7AF6E">
            <w:pPr>
              <w:pStyle w:val="389"/>
              <w:adjustRightInd w:val="0"/>
              <w:snapToGrid w:val="0"/>
              <w:rPr>
                <w:rFonts w:ascii="Times New Roman" w:hAnsi="Times New Roman"/>
                <w:szCs w:val="24"/>
              </w:rPr>
            </w:pPr>
            <w:r>
              <w:rPr>
                <w:rFonts w:ascii="Times New Roman" w:hAnsi="Times New Roman"/>
                <w:szCs w:val="24"/>
              </w:rPr>
              <w:t>0.08</w:t>
            </w:r>
          </w:p>
        </w:tc>
        <w:tc>
          <w:tcPr>
            <w:tcW w:w="757" w:type="pct"/>
            <w:tcBorders>
              <w:top w:val="single" w:color="auto" w:sz="4" w:space="0"/>
              <w:left w:val="single" w:color="auto" w:sz="4" w:space="0"/>
              <w:bottom w:val="single" w:color="auto" w:sz="4" w:space="0"/>
              <w:right w:val="single" w:color="auto" w:sz="4" w:space="0"/>
            </w:tcBorders>
            <w:vAlign w:val="center"/>
          </w:tcPr>
          <w:p w14:paraId="2671C270">
            <w:pPr>
              <w:pStyle w:val="389"/>
              <w:adjustRightInd w:val="0"/>
              <w:snapToGrid w:val="0"/>
              <w:rPr>
                <w:rFonts w:ascii="Times New Roman" w:hAnsi="Times New Roman"/>
                <w:szCs w:val="24"/>
              </w:rPr>
            </w:pPr>
            <w:r>
              <w:rPr>
                <w:rFonts w:ascii="Times New Roman" w:hAnsi="Times New Roman"/>
                <w:szCs w:val="24"/>
              </w:rPr>
              <w:t>0.08</w:t>
            </w:r>
          </w:p>
        </w:tc>
        <w:tc>
          <w:tcPr>
            <w:tcW w:w="757" w:type="pct"/>
            <w:tcBorders>
              <w:top w:val="single" w:color="auto" w:sz="4" w:space="0"/>
              <w:left w:val="single" w:color="auto" w:sz="4" w:space="0"/>
              <w:bottom w:val="single" w:color="auto" w:sz="4" w:space="0"/>
              <w:right w:val="single" w:color="auto" w:sz="4" w:space="0"/>
            </w:tcBorders>
            <w:vAlign w:val="center"/>
          </w:tcPr>
          <w:p w14:paraId="753D145B">
            <w:pPr>
              <w:pStyle w:val="389"/>
              <w:adjustRightInd w:val="0"/>
              <w:snapToGrid w:val="0"/>
              <w:rPr>
                <w:rFonts w:ascii="Times New Roman" w:hAnsi="Times New Roman"/>
                <w:szCs w:val="24"/>
              </w:rPr>
            </w:pPr>
            <w:r>
              <w:rPr>
                <w:rFonts w:ascii="Times New Roman" w:hAnsi="Times New Roman"/>
                <w:szCs w:val="24"/>
              </w:rPr>
              <w:t>0.08</w:t>
            </w:r>
          </w:p>
        </w:tc>
        <w:tc>
          <w:tcPr>
            <w:tcW w:w="599" w:type="pct"/>
            <w:tcBorders>
              <w:top w:val="single" w:color="auto" w:sz="4" w:space="0"/>
              <w:left w:val="single" w:color="auto" w:sz="4" w:space="0"/>
              <w:bottom w:val="single" w:color="auto" w:sz="4" w:space="0"/>
              <w:right w:val="single" w:color="auto" w:sz="4" w:space="0"/>
            </w:tcBorders>
            <w:vAlign w:val="center"/>
          </w:tcPr>
          <w:p w14:paraId="4342E6D0">
            <w:pPr>
              <w:pStyle w:val="389"/>
              <w:adjustRightInd w:val="0"/>
              <w:snapToGrid w:val="0"/>
              <w:rPr>
                <w:rFonts w:ascii="Times New Roman" w:hAnsi="Times New Roman"/>
                <w:szCs w:val="24"/>
              </w:rPr>
            </w:pPr>
            <w:r>
              <w:rPr>
                <w:rFonts w:ascii="Times New Roman" w:hAnsi="Times New Roman"/>
                <w:szCs w:val="24"/>
              </w:rPr>
              <w:t>1.00E-5</w:t>
            </w:r>
          </w:p>
        </w:tc>
        <w:tc>
          <w:tcPr>
            <w:tcW w:w="579" w:type="pct"/>
            <w:tcBorders>
              <w:top w:val="single" w:color="auto" w:sz="4" w:space="0"/>
              <w:left w:val="single" w:color="auto" w:sz="4" w:space="0"/>
              <w:bottom w:val="single" w:color="auto" w:sz="4" w:space="0"/>
              <w:right w:val="single" w:color="auto" w:sz="4" w:space="0"/>
            </w:tcBorders>
            <w:vAlign w:val="center"/>
          </w:tcPr>
          <w:p w14:paraId="789D87DC">
            <w:pPr>
              <w:pStyle w:val="389"/>
              <w:adjustRightInd w:val="0"/>
              <w:snapToGrid w:val="0"/>
              <w:rPr>
                <w:rFonts w:ascii="Times New Roman" w:hAnsi="Times New Roman"/>
                <w:szCs w:val="24"/>
              </w:rPr>
            </w:pPr>
            <w:r>
              <w:rPr>
                <w:rFonts w:ascii="Times New Roman" w:hAnsi="Times New Roman"/>
                <w:szCs w:val="24"/>
              </w:rPr>
              <w:t>0.1</w:t>
            </w:r>
          </w:p>
        </w:tc>
      </w:tr>
      <w:tr w14:paraId="4D7023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551" w:type="pct"/>
            <w:tcBorders>
              <w:top w:val="single" w:color="auto" w:sz="4" w:space="0"/>
              <w:left w:val="single" w:color="auto" w:sz="4" w:space="0"/>
              <w:bottom w:val="single" w:color="auto" w:sz="4" w:space="0"/>
              <w:right w:val="single" w:color="auto" w:sz="4" w:space="0"/>
            </w:tcBorders>
            <w:vAlign w:val="center"/>
          </w:tcPr>
          <w:p w14:paraId="05DDA096">
            <w:pPr>
              <w:pStyle w:val="389"/>
              <w:adjustRightInd w:val="0"/>
              <w:snapToGrid w:val="0"/>
              <w:rPr>
                <w:rFonts w:ascii="Times New Roman" w:hAnsi="Times New Roman"/>
                <w:szCs w:val="24"/>
              </w:rPr>
            </w:pPr>
            <w:r>
              <w:rPr>
                <w:rFonts w:ascii="Times New Roman" w:hAnsi="Times New Roman"/>
                <w:szCs w:val="24"/>
              </w:rPr>
              <w:t>深部基岩含水层</w:t>
            </w:r>
          </w:p>
        </w:tc>
        <w:tc>
          <w:tcPr>
            <w:tcW w:w="757" w:type="pct"/>
            <w:tcBorders>
              <w:top w:val="single" w:color="auto" w:sz="4" w:space="0"/>
              <w:left w:val="single" w:color="auto" w:sz="4" w:space="0"/>
              <w:bottom w:val="single" w:color="auto" w:sz="4" w:space="0"/>
              <w:right w:val="single" w:color="auto" w:sz="4" w:space="0"/>
            </w:tcBorders>
            <w:vAlign w:val="center"/>
          </w:tcPr>
          <w:p w14:paraId="22665563">
            <w:pPr>
              <w:pStyle w:val="389"/>
              <w:adjustRightInd w:val="0"/>
              <w:snapToGrid w:val="0"/>
              <w:rPr>
                <w:rFonts w:ascii="Times New Roman" w:hAnsi="Times New Roman"/>
                <w:szCs w:val="24"/>
              </w:rPr>
            </w:pPr>
            <w:r>
              <w:rPr>
                <w:rFonts w:ascii="Times New Roman" w:hAnsi="Times New Roman"/>
                <w:szCs w:val="24"/>
              </w:rPr>
              <w:t>0.003-0.0047</w:t>
            </w:r>
          </w:p>
        </w:tc>
        <w:tc>
          <w:tcPr>
            <w:tcW w:w="757" w:type="pct"/>
            <w:tcBorders>
              <w:top w:val="single" w:color="auto" w:sz="4" w:space="0"/>
              <w:left w:val="single" w:color="auto" w:sz="4" w:space="0"/>
              <w:bottom w:val="single" w:color="auto" w:sz="4" w:space="0"/>
              <w:right w:val="single" w:color="auto" w:sz="4" w:space="0"/>
            </w:tcBorders>
            <w:vAlign w:val="center"/>
          </w:tcPr>
          <w:p w14:paraId="4AE687F6">
            <w:pPr>
              <w:pStyle w:val="389"/>
              <w:adjustRightInd w:val="0"/>
              <w:snapToGrid w:val="0"/>
              <w:rPr>
                <w:rFonts w:ascii="Times New Roman" w:hAnsi="Times New Roman"/>
                <w:szCs w:val="24"/>
              </w:rPr>
            </w:pPr>
            <w:r>
              <w:rPr>
                <w:rFonts w:ascii="Times New Roman" w:hAnsi="Times New Roman"/>
                <w:szCs w:val="24"/>
              </w:rPr>
              <w:t>0.003-0.0047</w:t>
            </w:r>
          </w:p>
        </w:tc>
        <w:tc>
          <w:tcPr>
            <w:tcW w:w="757" w:type="pct"/>
            <w:tcBorders>
              <w:top w:val="single" w:color="auto" w:sz="4" w:space="0"/>
              <w:left w:val="single" w:color="auto" w:sz="4" w:space="0"/>
              <w:bottom w:val="single" w:color="auto" w:sz="4" w:space="0"/>
              <w:right w:val="single" w:color="auto" w:sz="4" w:space="0"/>
            </w:tcBorders>
            <w:vAlign w:val="center"/>
          </w:tcPr>
          <w:p w14:paraId="08FACFC6">
            <w:pPr>
              <w:pStyle w:val="389"/>
              <w:adjustRightInd w:val="0"/>
              <w:snapToGrid w:val="0"/>
              <w:rPr>
                <w:rFonts w:ascii="Times New Roman" w:hAnsi="Times New Roman"/>
                <w:szCs w:val="24"/>
              </w:rPr>
            </w:pPr>
            <w:r>
              <w:rPr>
                <w:rFonts w:ascii="Times New Roman" w:hAnsi="Times New Roman"/>
                <w:szCs w:val="24"/>
              </w:rPr>
              <w:t>0.003-0.0047</w:t>
            </w:r>
          </w:p>
        </w:tc>
        <w:tc>
          <w:tcPr>
            <w:tcW w:w="599" w:type="pct"/>
            <w:tcBorders>
              <w:top w:val="single" w:color="auto" w:sz="4" w:space="0"/>
              <w:left w:val="single" w:color="auto" w:sz="4" w:space="0"/>
              <w:bottom w:val="single" w:color="auto" w:sz="4" w:space="0"/>
              <w:right w:val="single" w:color="auto" w:sz="4" w:space="0"/>
            </w:tcBorders>
            <w:vAlign w:val="center"/>
          </w:tcPr>
          <w:p w14:paraId="19018585">
            <w:pPr>
              <w:pStyle w:val="389"/>
              <w:adjustRightInd w:val="0"/>
              <w:snapToGrid w:val="0"/>
              <w:rPr>
                <w:rFonts w:ascii="Times New Roman" w:hAnsi="Times New Roman"/>
                <w:szCs w:val="24"/>
              </w:rPr>
            </w:pPr>
            <w:r>
              <w:rPr>
                <w:rFonts w:ascii="Times New Roman" w:hAnsi="Times New Roman"/>
                <w:szCs w:val="24"/>
              </w:rPr>
              <w:t>1.00E-5</w:t>
            </w:r>
          </w:p>
        </w:tc>
        <w:tc>
          <w:tcPr>
            <w:tcW w:w="579" w:type="pct"/>
            <w:tcBorders>
              <w:top w:val="single" w:color="auto" w:sz="4" w:space="0"/>
              <w:left w:val="single" w:color="auto" w:sz="4" w:space="0"/>
              <w:bottom w:val="single" w:color="auto" w:sz="4" w:space="0"/>
              <w:right w:val="single" w:color="auto" w:sz="4" w:space="0"/>
            </w:tcBorders>
            <w:vAlign w:val="center"/>
          </w:tcPr>
          <w:p w14:paraId="6A6C07B2">
            <w:pPr>
              <w:pStyle w:val="389"/>
              <w:adjustRightInd w:val="0"/>
              <w:snapToGrid w:val="0"/>
              <w:rPr>
                <w:rFonts w:ascii="Times New Roman" w:hAnsi="Times New Roman"/>
                <w:szCs w:val="24"/>
              </w:rPr>
            </w:pPr>
            <w:r>
              <w:rPr>
                <w:rFonts w:ascii="Times New Roman" w:hAnsi="Times New Roman"/>
                <w:szCs w:val="24"/>
              </w:rPr>
              <w:t>0.05-0.08</w:t>
            </w:r>
          </w:p>
        </w:tc>
      </w:tr>
    </w:tbl>
    <w:p w14:paraId="3D5B1588">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模型计算结果：</w:t>
      </w:r>
    </w:p>
    <w:p w14:paraId="323CBDB9">
      <w:pPr>
        <w:snapToGrid w:val="0"/>
        <w:spacing w:line="360" w:lineRule="auto"/>
        <w:ind w:firstLine="480" w:firstLineChars="0"/>
        <w:rPr>
          <w:rFonts w:asciiTheme="minorHAnsi" w:hAnsiTheme="minorHAnsi" w:cstheme="minorHAnsi"/>
          <w:szCs w:val="24"/>
        </w:rPr>
      </w:pPr>
      <w:r>
        <w:rPr>
          <w:rFonts w:hint="eastAsia" w:asciiTheme="minorHAnsi" w:hAnsiTheme="minorHAnsi" w:cstheme="minorHAnsi"/>
          <w:szCs w:val="24"/>
        </w:rPr>
        <w:t>矿山采用分段空场嗣后充填采矿法，考虑矿山开采顺序和中段标高，开采阶段高度75m，首采阶段-400m~-475m，运输水平-505m。据此进行矿坑涌水量预测。数值法矿坑涌水量预测结果见表</w:t>
      </w:r>
      <w:r>
        <w:rPr>
          <w:rFonts w:asciiTheme="minorHAnsi" w:hAnsiTheme="minorHAnsi" w:cstheme="minorHAnsi"/>
          <w:szCs w:val="24"/>
        </w:rPr>
        <w:t>3.7-8</w:t>
      </w:r>
      <w:r>
        <w:rPr>
          <w:rFonts w:hint="eastAsia" w:asciiTheme="minorHAnsi" w:hAnsiTheme="minorHAnsi" w:cstheme="minorHAnsi"/>
          <w:szCs w:val="24"/>
        </w:rPr>
        <w:t>。</w:t>
      </w:r>
    </w:p>
    <w:p w14:paraId="47E92BC9">
      <w:pPr>
        <w:snapToGrid w:val="0"/>
        <w:spacing w:line="360" w:lineRule="auto"/>
        <w:ind w:firstLine="480" w:firstLineChars="0"/>
        <w:jc w:val="center"/>
        <w:rPr>
          <w:rFonts w:asciiTheme="minorHAnsi" w:hAnsiTheme="minorHAnsi" w:cstheme="minorHAnsi"/>
          <w:szCs w:val="24"/>
        </w:rPr>
      </w:pPr>
      <w:r>
        <w:rPr>
          <w:rFonts w:hint="eastAsia" w:asciiTheme="minorHAnsi" w:hAnsiTheme="minorHAnsi" w:cstheme="minorHAnsi"/>
          <w:szCs w:val="24"/>
        </w:rPr>
        <w:t>表3</w:t>
      </w:r>
      <w:r>
        <w:rPr>
          <w:rFonts w:asciiTheme="minorHAnsi" w:hAnsiTheme="minorHAnsi" w:cstheme="minorHAnsi"/>
          <w:szCs w:val="24"/>
        </w:rPr>
        <w:t xml:space="preserve">.7-8 </w:t>
      </w:r>
      <w:r>
        <w:rPr>
          <w:rFonts w:hint="eastAsia" w:asciiTheme="minorHAnsi" w:hAnsiTheme="minorHAnsi" w:cstheme="minorHAnsi"/>
          <w:szCs w:val="24"/>
        </w:rPr>
        <w:t>数值法矿坑涌水量预测结果表</w:t>
      </w:r>
    </w:p>
    <w:tbl>
      <w:tblPr>
        <w:tblStyle w:val="5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8"/>
        <w:gridCol w:w="2784"/>
        <w:gridCol w:w="2770"/>
      </w:tblGrid>
      <w:tr w14:paraId="25101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80" w:type="pct"/>
            <w:vMerge w:val="restart"/>
            <w:vAlign w:val="center"/>
          </w:tcPr>
          <w:p w14:paraId="6976DA04">
            <w:pPr>
              <w:pStyle w:val="116"/>
              <w:snapToGrid w:val="0"/>
              <w:spacing w:line="240" w:lineRule="auto"/>
              <w:rPr>
                <w:sz w:val="21"/>
              </w:rPr>
            </w:pPr>
            <w:r>
              <w:rPr>
                <w:rFonts w:hint="eastAsia"/>
                <w:sz w:val="21"/>
              </w:rPr>
              <w:t>设计标高（m）</w:t>
            </w:r>
          </w:p>
        </w:tc>
        <w:tc>
          <w:tcPr>
            <w:tcW w:w="2919" w:type="pct"/>
            <w:gridSpan w:val="2"/>
            <w:vAlign w:val="center"/>
          </w:tcPr>
          <w:p w14:paraId="0F96BE52">
            <w:pPr>
              <w:pStyle w:val="116"/>
              <w:snapToGrid w:val="0"/>
              <w:spacing w:line="240" w:lineRule="auto"/>
              <w:rPr>
                <w:sz w:val="21"/>
              </w:rPr>
            </w:pPr>
            <w:r>
              <w:rPr>
                <w:rFonts w:hint="eastAsia"/>
                <w:sz w:val="21"/>
              </w:rPr>
              <w:t>矿坑总涌水量（m</w:t>
            </w:r>
            <w:r>
              <w:rPr>
                <w:rFonts w:hint="eastAsia"/>
                <w:sz w:val="21"/>
                <w:vertAlign w:val="superscript"/>
              </w:rPr>
              <w:t>3</w:t>
            </w:r>
            <w:r>
              <w:rPr>
                <w:rFonts w:hint="eastAsia"/>
                <w:sz w:val="21"/>
              </w:rPr>
              <w:t>/d）</w:t>
            </w:r>
          </w:p>
        </w:tc>
      </w:tr>
      <w:tr w14:paraId="46A11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80" w:type="pct"/>
            <w:vMerge w:val="continue"/>
            <w:vAlign w:val="center"/>
          </w:tcPr>
          <w:p w14:paraId="74F7DB3D">
            <w:pPr>
              <w:pStyle w:val="116"/>
              <w:snapToGrid w:val="0"/>
              <w:spacing w:line="240" w:lineRule="auto"/>
              <w:rPr>
                <w:sz w:val="21"/>
              </w:rPr>
            </w:pPr>
          </w:p>
        </w:tc>
        <w:tc>
          <w:tcPr>
            <w:tcW w:w="1463" w:type="pct"/>
            <w:vAlign w:val="center"/>
          </w:tcPr>
          <w:p w14:paraId="63A2B1CA">
            <w:pPr>
              <w:pStyle w:val="116"/>
              <w:snapToGrid w:val="0"/>
              <w:spacing w:line="240" w:lineRule="auto"/>
              <w:rPr>
                <w:sz w:val="21"/>
              </w:rPr>
            </w:pPr>
            <w:r>
              <w:rPr>
                <w:rFonts w:hint="eastAsia"/>
                <w:sz w:val="21"/>
              </w:rPr>
              <w:t>正常</w:t>
            </w:r>
          </w:p>
        </w:tc>
        <w:tc>
          <w:tcPr>
            <w:tcW w:w="1456" w:type="pct"/>
            <w:vAlign w:val="center"/>
          </w:tcPr>
          <w:p w14:paraId="738B6B52">
            <w:pPr>
              <w:pStyle w:val="116"/>
              <w:snapToGrid w:val="0"/>
              <w:spacing w:line="240" w:lineRule="auto"/>
              <w:rPr>
                <w:sz w:val="21"/>
              </w:rPr>
            </w:pPr>
            <w:r>
              <w:rPr>
                <w:rFonts w:hint="eastAsia"/>
                <w:sz w:val="21"/>
              </w:rPr>
              <w:t>最大</w:t>
            </w:r>
          </w:p>
        </w:tc>
      </w:tr>
      <w:tr w14:paraId="62747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80" w:type="pct"/>
            <w:shd w:val="clear" w:color="auto" w:fill="FFFFFF"/>
            <w:noWrap/>
            <w:vAlign w:val="center"/>
          </w:tcPr>
          <w:p w14:paraId="2D6CA417">
            <w:pPr>
              <w:pStyle w:val="389"/>
              <w:snapToGrid w:val="0"/>
              <w:ind w:firstLine="480"/>
              <w:rPr>
                <w:rFonts w:ascii="Times New Roman" w:hAnsi="Times New Roman"/>
                <w:szCs w:val="24"/>
              </w:rPr>
            </w:pPr>
            <w:r>
              <w:rPr>
                <w:rFonts w:hint="eastAsia" w:ascii="Times New Roman" w:hAnsi="Times New Roman"/>
                <w:szCs w:val="24"/>
              </w:rPr>
              <w:t>-505</w:t>
            </w:r>
          </w:p>
        </w:tc>
        <w:tc>
          <w:tcPr>
            <w:tcW w:w="1463" w:type="pct"/>
            <w:shd w:val="clear" w:color="auto" w:fill="FFFFFF"/>
            <w:vAlign w:val="center"/>
          </w:tcPr>
          <w:p w14:paraId="3BDFDE06">
            <w:pPr>
              <w:pStyle w:val="389"/>
              <w:snapToGrid w:val="0"/>
              <w:ind w:firstLine="480"/>
              <w:rPr>
                <w:rFonts w:ascii="Times New Roman" w:hAnsi="Times New Roman"/>
                <w:szCs w:val="24"/>
              </w:rPr>
            </w:pPr>
            <w:r>
              <w:rPr>
                <w:rFonts w:hint="eastAsia" w:ascii="Times New Roman" w:hAnsi="Times New Roman"/>
                <w:szCs w:val="24"/>
              </w:rPr>
              <w:t>9850</w:t>
            </w:r>
          </w:p>
        </w:tc>
        <w:tc>
          <w:tcPr>
            <w:tcW w:w="1456" w:type="pct"/>
            <w:shd w:val="clear" w:color="auto" w:fill="FFFFFF"/>
            <w:vAlign w:val="center"/>
          </w:tcPr>
          <w:p w14:paraId="16555397">
            <w:pPr>
              <w:pStyle w:val="389"/>
              <w:snapToGrid w:val="0"/>
              <w:ind w:firstLine="480"/>
              <w:rPr>
                <w:rFonts w:ascii="Times New Roman" w:hAnsi="Times New Roman"/>
                <w:szCs w:val="24"/>
              </w:rPr>
            </w:pPr>
            <w:r>
              <w:rPr>
                <w:rFonts w:hint="eastAsia" w:ascii="Times New Roman" w:hAnsi="Times New Roman"/>
                <w:szCs w:val="24"/>
              </w:rPr>
              <w:t>14443</w:t>
            </w:r>
          </w:p>
        </w:tc>
      </w:tr>
    </w:tbl>
    <w:p w14:paraId="27268E30">
      <w:pPr>
        <w:snapToGrid w:val="0"/>
        <w:spacing w:line="360" w:lineRule="auto"/>
        <w:ind w:firstLine="480" w:firstLineChars="0"/>
        <w:rPr>
          <w:rFonts w:asciiTheme="minorHAnsi" w:hAnsiTheme="minorHAnsi" w:cstheme="minorHAnsi"/>
          <w:b/>
          <w:szCs w:val="24"/>
        </w:rPr>
      </w:pPr>
      <w:r>
        <w:rPr>
          <w:rFonts w:asciiTheme="minorHAnsi" w:hAnsiTheme="minorHAnsi" w:cstheme="minorHAnsi"/>
          <w:b/>
          <w:szCs w:val="24"/>
        </w:rPr>
        <w:t>2</w:t>
      </w:r>
      <w:r>
        <w:rPr>
          <w:rFonts w:hint="eastAsia" w:asciiTheme="minorHAnsi" w:hAnsiTheme="minorHAnsi" w:cstheme="minorHAnsi"/>
          <w:b/>
          <w:szCs w:val="24"/>
        </w:rPr>
        <w:t>）井下主排水系统能力复核</w:t>
      </w:r>
    </w:p>
    <w:p w14:paraId="0D299418">
      <w:pPr>
        <w:snapToGrid w:val="0"/>
        <w:spacing w:line="360" w:lineRule="auto"/>
        <w:ind w:firstLine="562"/>
        <w:rPr>
          <w:rFonts w:asciiTheme="minorHAnsi" w:hAnsiTheme="minorHAnsi" w:eastAsiaTheme="minorEastAsia" w:cstheme="minorHAnsi"/>
          <w:b/>
          <w:bCs/>
          <w:kern w:val="0"/>
          <w:szCs w:val="28"/>
        </w:rPr>
      </w:pPr>
      <w:r>
        <w:rPr>
          <w:rFonts w:hint="eastAsia" w:asciiTheme="minorHAnsi" w:hAnsiTheme="minorHAnsi" w:eastAsiaTheme="minorEastAsia" w:cstheme="minorHAnsi"/>
          <w:b/>
          <w:bCs/>
          <w:kern w:val="0"/>
          <w:szCs w:val="28"/>
        </w:rPr>
        <w:t>一期</w:t>
      </w:r>
      <w:r>
        <w:rPr>
          <w:rFonts w:asciiTheme="minorHAnsi" w:hAnsiTheme="minorHAnsi" w:eastAsiaTheme="minorEastAsia" w:cstheme="minorHAnsi"/>
          <w:b/>
          <w:bCs/>
          <w:kern w:val="0"/>
          <w:szCs w:val="28"/>
        </w:rPr>
        <w:t>-505m水平排水系统</w:t>
      </w:r>
      <w:r>
        <w:rPr>
          <w:rFonts w:hint="eastAsia" w:asciiTheme="minorHAnsi" w:hAnsiTheme="minorHAnsi" w:eastAsiaTheme="minorEastAsia" w:cstheme="minorHAnsi"/>
          <w:b/>
          <w:bCs/>
          <w:kern w:val="0"/>
          <w:szCs w:val="28"/>
        </w:rPr>
        <w:t>：</w:t>
      </w:r>
    </w:p>
    <w:p w14:paraId="7FF8801A">
      <w:pPr>
        <w:widowControl/>
        <w:adjustRightInd w:val="0"/>
        <w:snapToGrid w:val="0"/>
        <w:spacing w:line="360" w:lineRule="auto"/>
        <w:ind w:firstLine="560"/>
        <w:rPr>
          <w:bCs/>
          <w:szCs w:val="28"/>
        </w:rPr>
      </w:pPr>
      <w:r>
        <w:rPr>
          <w:rFonts w:hint="eastAsia"/>
          <w:bCs/>
          <w:szCs w:val="28"/>
        </w:rPr>
        <w:t>一期开采时，-</w:t>
      </w:r>
      <w:r>
        <w:rPr>
          <w:bCs/>
          <w:szCs w:val="28"/>
        </w:rPr>
        <w:t>505</w:t>
      </w:r>
      <w:r>
        <w:rPr>
          <w:rFonts w:hint="eastAsia"/>
          <w:bCs/>
          <w:szCs w:val="28"/>
        </w:rPr>
        <w:t>m正常排水量为</w:t>
      </w:r>
      <w:r>
        <w:rPr>
          <w:bCs/>
          <w:szCs w:val="28"/>
        </w:rPr>
        <w:t>13788.64</w:t>
      </w:r>
      <w:r>
        <w:rPr>
          <w:rFonts w:hint="eastAsia" w:asciiTheme="minorHAnsi" w:hAnsiTheme="minorHAnsi" w:cstheme="minorHAnsi"/>
          <w:szCs w:val="28"/>
        </w:rPr>
        <w:t xml:space="preserve"> m</w:t>
      </w:r>
      <w:r>
        <w:rPr>
          <w:rFonts w:hint="eastAsia" w:asciiTheme="minorHAnsi" w:hAnsiTheme="minorHAnsi" w:cstheme="minorHAnsi"/>
          <w:szCs w:val="28"/>
          <w:vertAlign w:val="superscript"/>
        </w:rPr>
        <w:t>3</w:t>
      </w:r>
      <w:r>
        <w:rPr>
          <w:rFonts w:hint="eastAsia" w:asciiTheme="minorHAnsi" w:hAnsiTheme="minorHAnsi" w:cstheme="minorHAnsi"/>
          <w:szCs w:val="28"/>
        </w:rPr>
        <w:t>/d，最大排水量为</w:t>
      </w:r>
      <w:r>
        <w:rPr>
          <w:rFonts w:asciiTheme="minorHAnsi" w:hAnsiTheme="minorHAnsi" w:cstheme="minorHAnsi"/>
          <w:szCs w:val="28"/>
        </w:rPr>
        <w:t>18669.64</w:t>
      </w:r>
      <w:r>
        <w:rPr>
          <w:rFonts w:hint="eastAsia" w:asciiTheme="minorHAnsi" w:hAnsiTheme="minorHAnsi" w:cstheme="minorHAnsi"/>
          <w:szCs w:val="28"/>
        </w:rPr>
        <w:t xml:space="preserve"> m</w:t>
      </w:r>
      <w:r>
        <w:rPr>
          <w:rFonts w:hint="eastAsia" w:asciiTheme="minorHAnsi" w:hAnsiTheme="minorHAnsi" w:cstheme="minorHAnsi"/>
          <w:szCs w:val="28"/>
          <w:vertAlign w:val="superscript"/>
        </w:rPr>
        <w:t>3</w:t>
      </w:r>
      <w:r>
        <w:rPr>
          <w:rFonts w:hint="eastAsia" w:asciiTheme="minorHAnsi" w:hAnsiTheme="minorHAnsi" w:cstheme="minorHAnsi"/>
          <w:szCs w:val="28"/>
        </w:rPr>
        <w:t>/d。</w:t>
      </w:r>
    </w:p>
    <w:p w14:paraId="505615F9">
      <w:pPr>
        <w:widowControl/>
        <w:adjustRightInd w:val="0"/>
        <w:snapToGrid w:val="0"/>
        <w:spacing w:line="360" w:lineRule="auto"/>
        <w:ind w:firstLine="560"/>
        <w:rPr>
          <w:szCs w:val="28"/>
        </w:rPr>
      </w:pPr>
      <w:r>
        <w:rPr>
          <w:rFonts w:hint="eastAsia"/>
          <w:bCs/>
          <w:szCs w:val="28"/>
        </w:rPr>
        <w:t>在-505m水平设排水泵房安装4台MD500-57×11型矿用耐磨多级离心泵，单台水泵流量500m</w:t>
      </w:r>
      <w:r>
        <w:rPr>
          <w:rFonts w:hint="eastAsia"/>
          <w:bCs/>
          <w:szCs w:val="28"/>
          <w:vertAlign w:val="superscript"/>
        </w:rPr>
        <w:t>3</w:t>
      </w:r>
      <w:r>
        <w:rPr>
          <w:rFonts w:hint="eastAsia"/>
          <w:bCs/>
          <w:szCs w:val="28"/>
        </w:rPr>
        <w:t>/h，扬程627m。井下正常涌水时，2台工作，1台备用，1台检修；最大排水量时，3台工作，1台检修。</w:t>
      </w:r>
    </w:p>
    <w:p w14:paraId="0E61C389">
      <w:pPr>
        <w:snapToGrid w:val="0"/>
        <w:spacing w:line="360" w:lineRule="auto"/>
        <w:ind w:firstLine="560"/>
        <w:rPr>
          <w:rFonts w:asciiTheme="minorHAnsi" w:hAnsiTheme="minorHAnsi" w:cstheme="minorHAnsi"/>
          <w:szCs w:val="28"/>
        </w:rPr>
      </w:pPr>
      <w:r>
        <w:rPr>
          <w:rFonts w:hint="eastAsia"/>
          <w:bCs/>
          <w:szCs w:val="28"/>
        </w:rPr>
        <w:t>排水管道选用2根Φ426×18无缝钢管，正常涌水时，1根工作，1根备用；最大排水量时，2根同时工作。</w:t>
      </w:r>
    </w:p>
    <w:p w14:paraId="7E4A6833">
      <w:pPr>
        <w:snapToGrid w:val="0"/>
        <w:spacing w:line="360" w:lineRule="auto"/>
        <w:ind w:firstLine="560"/>
        <w:rPr>
          <w:rFonts w:cs="Times New Roman"/>
          <w:szCs w:val="28"/>
        </w:rPr>
      </w:pPr>
      <w:r>
        <w:rPr>
          <w:rFonts w:hint="eastAsia" w:cs="Times New Roman"/>
          <w:szCs w:val="28"/>
        </w:rPr>
        <w:t>①</w:t>
      </w:r>
      <w:r>
        <w:rPr>
          <w:rFonts w:cs="Times New Roman"/>
          <w:szCs w:val="28"/>
        </w:rPr>
        <w:t>水泵能力复核</w:t>
      </w:r>
    </w:p>
    <w:p w14:paraId="078C5D00">
      <w:pPr>
        <w:snapToGrid w:val="0"/>
        <w:spacing w:line="360" w:lineRule="auto"/>
        <w:ind w:firstLine="560"/>
        <w:rPr>
          <w:rFonts w:cs="Times New Roman"/>
          <w:szCs w:val="28"/>
        </w:rPr>
      </w:pPr>
      <w:r>
        <w:rPr>
          <w:rFonts w:cs="Times New Roman"/>
          <w:szCs w:val="28"/>
        </w:rPr>
        <w:t>按照20小时排出坑内一昼夜的涌水量对井下主水泵能力进行复核。</w:t>
      </w:r>
    </w:p>
    <w:p w14:paraId="2ED86ED7">
      <w:pPr>
        <w:snapToGrid w:val="0"/>
        <w:spacing w:line="360" w:lineRule="auto"/>
        <w:ind w:firstLine="560"/>
        <w:rPr>
          <w:rFonts w:cs="Times New Roman"/>
          <w:szCs w:val="28"/>
        </w:rPr>
      </w:pPr>
      <w:r>
        <w:rPr>
          <w:rFonts w:cs="Times New Roman"/>
          <w:szCs w:val="28"/>
        </w:rPr>
        <w:t>正常涌水时</w:t>
      </w:r>
      <w:r>
        <w:rPr>
          <w:rFonts w:hint="eastAsia" w:cs="Times New Roman"/>
          <w:szCs w:val="28"/>
        </w:rPr>
        <w:t>：</w:t>
      </w:r>
    </w:p>
    <w:p w14:paraId="4020FD88">
      <w:pPr>
        <w:snapToGrid w:val="0"/>
        <w:spacing w:line="360" w:lineRule="auto"/>
        <w:ind w:firstLine="560"/>
        <w:rPr>
          <w:rFonts w:cs="Times New Roman"/>
          <w:szCs w:val="28"/>
        </w:rPr>
      </w:pPr>
      <w:r>
        <w:rPr>
          <w:rFonts w:cs="Times New Roman"/>
          <w:szCs w:val="28"/>
        </w:rPr>
        <w:t>20小时</w:t>
      </w:r>
      <w:r>
        <w:rPr>
          <w:rFonts w:hint="eastAsia" w:cs="Times New Roman"/>
          <w:szCs w:val="28"/>
        </w:rPr>
        <w:t>工作</w:t>
      </w:r>
      <w:r>
        <w:rPr>
          <w:rFonts w:cs="Times New Roman"/>
          <w:szCs w:val="28"/>
        </w:rPr>
        <w:t>水泵排水能力500</w:t>
      </w:r>
      <w:r>
        <w:rPr>
          <w:rFonts w:hint="eastAsia" w:cs="Times New Roman"/>
          <w:szCs w:val="28"/>
        </w:rPr>
        <w:t>×</w:t>
      </w:r>
      <w:r>
        <w:rPr>
          <w:rFonts w:cs="Times New Roman"/>
          <w:szCs w:val="28"/>
        </w:rPr>
        <w:t>2</w:t>
      </w:r>
      <w:r>
        <w:rPr>
          <w:rFonts w:hint="eastAsia" w:cs="Times New Roman"/>
          <w:szCs w:val="28"/>
        </w:rPr>
        <w:t>×</w:t>
      </w:r>
      <w:r>
        <w:rPr>
          <w:rFonts w:cs="Times New Roman"/>
          <w:szCs w:val="28"/>
        </w:rPr>
        <w:t>20</w:t>
      </w:r>
      <w:r>
        <w:rPr>
          <w:rFonts w:hint="eastAsia" w:cs="Times New Roman"/>
          <w:szCs w:val="28"/>
        </w:rPr>
        <w:t>=</w:t>
      </w:r>
      <w:r>
        <w:rPr>
          <w:rFonts w:cs="Times New Roman"/>
          <w:szCs w:val="28"/>
        </w:rPr>
        <w:t>20000 m</w:t>
      </w:r>
      <w:r>
        <w:rPr>
          <w:rFonts w:cs="Times New Roman"/>
          <w:szCs w:val="28"/>
          <w:vertAlign w:val="superscript"/>
        </w:rPr>
        <w:t>3</w:t>
      </w:r>
    </w:p>
    <w:p w14:paraId="4CAB1290">
      <w:pPr>
        <w:snapToGrid w:val="0"/>
        <w:spacing w:line="360" w:lineRule="auto"/>
        <w:ind w:firstLine="560"/>
        <w:rPr>
          <w:rFonts w:cs="Times New Roman"/>
          <w:szCs w:val="28"/>
          <w:vertAlign w:val="superscript"/>
        </w:rPr>
      </w:pPr>
      <w:r>
        <w:rPr>
          <w:rFonts w:cs="Times New Roman"/>
          <w:szCs w:val="28"/>
        </w:rPr>
        <w:t>井下一天需要排水量为</w:t>
      </w:r>
      <w:r>
        <w:rPr>
          <w:bCs/>
          <w:szCs w:val="28"/>
        </w:rPr>
        <w:t>13788.64</w:t>
      </w:r>
      <w:r>
        <w:rPr>
          <w:rFonts w:cs="Times New Roman"/>
          <w:szCs w:val="28"/>
        </w:rPr>
        <w:t>m</w:t>
      </w:r>
      <w:r>
        <w:rPr>
          <w:rFonts w:cs="Times New Roman"/>
          <w:szCs w:val="28"/>
          <w:vertAlign w:val="superscript"/>
        </w:rPr>
        <w:t>3</w:t>
      </w:r>
    </w:p>
    <w:p w14:paraId="59F3F514">
      <w:pPr>
        <w:snapToGrid w:val="0"/>
        <w:spacing w:line="360" w:lineRule="auto"/>
        <w:ind w:firstLine="560"/>
        <w:rPr>
          <w:rFonts w:cs="Times New Roman"/>
          <w:szCs w:val="28"/>
        </w:rPr>
      </w:pPr>
      <w:r>
        <w:rPr>
          <w:rFonts w:cs="Times New Roman"/>
          <w:szCs w:val="28"/>
        </w:rPr>
        <w:t>20000＞</w:t>
      </w:r>
      <w:r>
        <w:rPr>
          <w:bCs/>
          <w:szCs w:val="28"/>
        </w:rPr>
        <w:t>13788.64</w:t>
      </w:r>
      <w:r>
        <w:rPr>
          <w:rFonts w:cs="Times New Roman"/>
          <w:szCs w:val="28"/>
        </w:rPr>
        <w:t>，正常涌水量，</w:t>
      </w:r>
      <w:r>
        <w:rPr>
          <w:rFonts w:hint="eastAsia" w:cs="Times New Roman"/>
          <w:szCs w:val="28"/>
        </w:rPr>
        <w:t>工作水泵</w:t>
      </w:r>
      <w:r>
        <w:rPr>
          <w:rFonts w:cs="Times New Roman"/>
          <w:szCs w:val="28"/>
        </w:rPr>
        <w:t>能满足井下排水要求。</w:t>
      </w:r>
    </w:p>
    <w:p w14:paraId="7F0DE723">
      <w:pPr>
        <w:snapToGrid w:val="0"/>
        <w:spacing w:line="360" w:lineRule="auto"/>
        <w:ind w:firstLine="560"/>
        <w:rPr>
          <w:rFonts w:cs="Times New Roman"/>
          <w:szCs w:val="28"/>
        </w:rPr>
      </w:pPr>
      <w:r>
        <w:rPr>
          <w:rFonts w:cs="Times New Roman"/>
          <w:szCs w:val="28"/>
        </w:rPr>
        <w:t>最大涌水时</w:t>
      </w:r>
      <w:r>
        <w:rPr>
          <w:rFonts w:hint="eastAsia" w:cs="Times New Roman"/>
          <w:szCs w:val="28"/>
        </w:rPr>
        <w:t>：</w:t>
      </w:r>
    </w:p>
    <w:p w14:paraId="536938FA">
      <w:pPr>
        <w:snapToGrid w:val="0"/>
        <w:spacing w:line="360" w:lineRule="auto"/>
        <w:ind w:firstLine="560"/>
        <w:rPr>
          <w:rFonts w:cs="Times New Roman"/>
          <w:szCs w:val="28"/>
        </w:rPr>
      </w:pPr>
      <w:r>
        <w:rPr>
          <w:rFonts w:cs="Times New Roman"/>
          <w:szCs w:val="28"/>
        </w:rPr>
        <w:t>20小时</w:t>
      </w:r>
      <w:r>
        <w:rPr>
          <w:rFonts w:hint="eastAsia" w:cs="Times New Roman"/>
          <w:szCs w:val="28"/>
        </w:rPr>
        <w:t>最大</w:t>
      </w:r>
      <w:r>
        <w:rPr>
          <w:rFonts w:cs="Times New Roman"/>
          <w:szCs w:val="28"/>
        </w:rPr>
        <w:t>排水能力5000</w:t>
      </w:r>
      <w:r>
        <w:rPr>
          <w:rFonts w:hint="eastAsia" w:cs="Times New Roman"/>
          <w:szCs w:val="28"/>
        </w:rPr>
        <w:t>×</w:t>
      </w:r>
      <w:r>
        <w:rPr>
          <w:rFonts w:cs="Times New Roman"/>
          <w:szCs w:val="28"/>
        </w:rPr>
        <w:t>3</w:t>
      </w:r>
      <w:r>
        <w:rPr>
          <w:rFonts w:hint="eastAsia" w:cs="Times New Roman"/>
          <w:szCs w:val="28"/>
        </w:rPr>
        <w:t>×</w:t>
      </w:r>
      <w:r>
        <w:rPr>
          <w:rFonts w:cs="Times New Roman"/>
          <w:szCs w:val="28"/>
        </w:rPr>
        <w:t>20</w:t>
      </w:r>
      <w:r>
        <w:rPr>
          <w:rFonts w:hint="eastAsia" w:cs="Times New Roman"/>
          <w:szCs w:val="28"/>
        </w:rPr>
        <w:t>=</w:t>
      </w:r>
      <w:r>
        <w:rPr>
          <w:rFonts w:cs="Times New Roman"/>
          <w:szCs w:val="28"/>
        </w:rPr>
        <w:t>30000m</w:t>
      </w:r>
      <w:r>
        <w:rPr>
          <w:rFonts w:cs="Times New Roman"/>
          <w:szCs w:val="28"/>
          <w:vertAlign w:val="superscript"/>
        </w:rPr>
        <w:t>3</w:t>
      </w:r>
    </w:p>
    <w:p w14:paraId="06BBB40D">
      <w:pPr>
        <w:snapToGrid w:val="0"/>
        <w:spacing w:line="360" w:lineRule="auto"/>
        <w:ind w:firstLine="560"/>
        <w:rPr>
          <w:rFonts w:cs="Times New Roman"/>
          <w:szCs w:val="28"/>
          <w:vertAlign w:val="superscript"/>
        </w:rPr>
      </w:pPr>
      <w:r>
        <w:rPr>
          <w:rFonts w:cs="Times New Roman"/>
          <w:szCs w:val="28"/>
        </w:rPr>
        <w:t>井下一天需要排水量为</w:t>
      </w:r>
      <w:r>
        <w:rPr>
          <w:rFonts w:asciiTheme="minorHAnsi" w:hAnsiTheme="minorHAnsi" w:cstheme="minorHAnsi"/>
          <w:szCs w:val="28"/>
        </w:rPr>
        <w:t>18669.64</w:t>
      </w:r>
      <w:r>
        <w:rPr>
          <w:rFonts w:cs="Times New Roman"/>
          <w:szCs w:val="28"/>
        </w:rPr>
        <w:t>m</w:t>
      </w:r>
      <w:r>
        <w:rPr>
          <w:rFonts w:cs="Times New Roman"/>
          <w:szCs w:val="28"/>
          <w:vertAlign w:val="superscript"/>
        </w:rPr>
        <w:t>3</w:t>
      </w:r>
    </w:p>
    <w:p w14:paraId="69F71968">
      <w:pPr>
        <w:snapToGrid w:val="0"/>
        <w:spacing w:line="360" w:lineRule="auto"/>
        <w:ind w:firstLine="560"/>
        <w:rPr>
          <w:rFonts w:cs="Times New Roman"/>
          <w:szCs w:val="28"/>
        </w:rPr>
      </w:pPr>
      <w:r>
        <w:rPr>
          <w:rFonts w:cs="Times New Roman"/>
          <w:szCs w:val="28"/>
        </w:rPr>
        <w:t>30000＞</w:t>
      </w:r>
      <w:r>
        <w:rPr>
          <w:rFonts w:asciiTheme="minorHAnsi" w:hAnsiTheme="minorHAnsi" w:cstheme="minorHAnsi"/>
          <w:szCs w:val="28"/>
        </w:rPr>
        <w:t>18669.64</w:t>
      </w:r>
      <w:r>
        <w:rPr>
          <w:rFonts w:cs="Times New Roman"/>
          <w:szCs w:val="28"/>
        </w:rPr>
        <w:t>，最大涌水时，</w:t>
      </w:r>
      <w:r>
        <w:rPr>
          <w:rFonts w:hint="eastAsia" w:cs="Times New Roman"/>
          <w:szCs w:val="28"/>
        </w:rPr>
        <w:t>所有水</w:t>
      </w:r>
      <w:r>
        <w:rPr>
          <w:rFonts w:cs="Times New Roman"/>
          <w:szCs w:val="28"/>
        </w:rPr>
        <w:t>泵能满足井下排水要求。</w:t>
      </w:r>
    </w:p>
    <w:p w14:paraId="47969DF2">
      <w:pPr>
        <w:snapToGrid w:val="0"/>
        <w:spacing w:line="360" w:lineRule="auto"/>
        <w:ind w:firstLine="560"/>
        <w:rPr>
          <w:rFonts w:cs="Times New Roman"/>
          <w:szCs w:val="28"/>
        </w:rPr>
      </w:pPr>
      <w:r>
        <w:rPr>
          <w:rFonts w:hint="eastAsia" w:cs="Times New Roman"/>
          <w:szCs w:val="28"/>
        </w:rPr>
        <w:t>②</w:t>
      </w:r>
      <w:r>
        <w:rPr>
          <w:rFonts w:cs="Times New Roman"/>
          <w:szCs w:val="28"/>
        </w:rPr>
        <w:t>水泵扬程复核</w:t>
      </w:r>
    </w:p>
    <w:p w14:paraId="78362DB8">
      <w:pPr>
        <w:snapToGrid w:val="0"/>
        <w:spacing w:line="360" w:lineRule="auto"/>
        <w:ind w:firstLine="560"/>
        <w:rPr>
          <w:rFonts w:cs="Times New Roman"/>
          <w:szCs w:val="28"/>
        </w:rPr>
      </w:pPr>
      <w:r>
        <w:rPr>
          <w:rFonts w:cs="Times New Roman"/>
          <w:szCs w:val="28"/>
        </w:rPr>
        <w:t>按排水高度估算设备所需的扬程为：</w:t>
      </w:r>
    </w:p>
    <w:p w14:paraId="5184DFC2">
      <w:pPr>
        <w:snapToGrid w:val="0"/>
        <w:spacing w:line="360" w:lineRule="auto"/>
        <w:ind w:firstLine="560"/>
        <w:rPr>
          <w:rFonts w:cs="Times New Roman"/>
          <w:szCs w:val="28"/>
        </w:rPr>
      </w:pPr>
      <w:r>
        <w:rPr>
          <w:rFonts w:cs="Times New Roman"/>
          <w:szCs w:val="28"/>
        </w:rPr>
        <w:t>H＝1.1×</w:t>
      </w:r>
      <w:r>
        <w:rPr>
          <w:rFonts w:hint="eastAsia" w:cs="Times New Roman"/>
          <w:szCs w:val="28"/>
        </w:rPr>
        <w:t>（</w:t>
      </w:r>
      <w:r>
        <w:rPr>
          <w:rFonts w:cs="Times New Roman"/>
          <w:szCs w:val="28"/>
        </w:rPr>
        <w:t>47+505</w:t>
      </w:r>
      <w:r>
        <w:rPr>
          <w:rFonts w:hint="eastAsia" w:cs="Times New Roman"/>
          <w:szCs w:val="28"/>
        </w:rPr>
        <w:t>）</w:t>
      </w:r>
      <w:r>
        <w:rPr>
          <w:rFonts w:cs="Times New Roman"/>
          <w:szCs w:val="28"/>
        </w:rPr>
        <w:t>=607.2m</w:t>
      </w:r>
    </w:p>
    <w:p w14:paraId="7188EF50">
      <w:pPr>
        <w:adjustRightInd w:val="0"/>
        <w:snapToGrid w:val="0"/>
        <w:spacing w:line="360" w:lineRule="auto"/>
        <w:ind w:firstLine="560"/>
        <w:rPr>
          <w:rFonts w:cs="Times New Roman"/>
          <w:szCs w:val="28"/>
        </w:rPr>
      </w:pPr>
      <w:r>
        <w:rPr>
          <w:rFonts w:cs="Times New Roman"/>
          <w:szCs w:val="28"/>
        </w:rPr>
        <w:t>所选水泵扬程H=627m</w:t>
      </w:r>
    </w:p>
    <w:p w14:paraId="2D51C819">
      <w:pPr>
        <w:adjustRightInd w:val="0"/>
        <w:snapToGrid w:val="0"/>
        <w:spacing w:line="360" w:lineRule="auto"/>
        <w:ind w:firstLine="560"/>
        <w:rPr>
          <w:rFonts w:cs="Times New Roman"/>
          <w:szCs w:val="28"/>
        </w:rPr>
      </w:pPr>
      <w:r>
        <w:rPr>
          <w:rFonts w:cs="Times New Roman"/>
          <w:szCs w:val="28"/>
        </w:rPr>
        <w:t>627m＞607.2m，</w:t>
      </w:r>
      <w:r>
        <w:rPr>
          <w:rFonts w:hint="eastAsia" w:cs="Times New Roman"/>
          <w:szCs w:val="28"/>
        </w:rPr>
        <w:t>水泵扬程满足要求</w:t>
      </w:r>
      <w:r>
        <w:rPr>
          <w:rFonts w:cs="Times New Roman"/>
          <w:szCs w:val="28"/>
        </w:rPr>
        <w:t>。</w:t>
      </w:r>
    </w:p>
    <w:p w14:paraId="65C33A14">
      <w:pPr>
        <w:snapToGrid w:val="0"/>
        <w:spacing w:line="360" w:lineRule="auto"/>
        <w:ind w:firstLine="562"/>
        <w:rPr>
          <w:rFonts w:asciiTheme="minorHAnsi" w:hAnsiTheme="minorHAnsi" w:eastAsiaTheme="minorEastAsia" w:cstheme="minorHAnsi"/>
          <w:b/>
          <w:bCs/>
          <w:kern w:val="0"/>
          <w:szCs w:val="28"/>
        </w:rPr>
      </w:pPr>
      <w:r>
        <w:rPr>
          <w:rFonts w:hint="eastAsia" w:asciiTheme="minorHAnsi" w:hAnsiTheme="minorHAnsi" w:eastAsiaTheme="minorEastAsia" w:cstheme="minorHAnsi"/>
          <w:b/>
          <w:bCs/>
          <w:kern w:val="0"/>
          <w:szCs w:val="28"/>
        </w:rPr>
        <w:t>二期-</w:t>
      </w:r>
      <w:r>
        <w:rPr>
          <w:rFonts w:asciiTheme="minorHAnsi" w:hAnsiTheme="minorHAnsi" w:eastAsiaTheme="minorEastAsia" w:cstheme="minorHAnsi"/>
          <w:b/>
          <w:bCs/>
          <w:kern w:val="0"/>
          <w:szCs w:val="28"/>
        </w:rPr>
        <w:t>835</w:t>
      </w:r>
      <w:r>
        <w:rPr>
          <w:rFonts w:hint="eastAsia" w:asciiTheme="minorHAnsi" w:hAnsiTheme="minorHAnsi" w:eastAsiaTheme="minorEastAsia" w:cstheme="minorHAnsi"/>
          <w:b/>
          <w:bCs/>
          <w:kern w:val="0"/>
          <w:szCs w:val="28"/>
        </w:rPr>
        <w:t>m水平排水系统：</w:t>
      </w:r>
    </w:p>
    <w:p w14:paraId="0D97F1A0">
      <w:pPr>
        <w:snapToGrid w:val="0"/>
        <w:spacing w:line="360" w:lineRule="auto"/>
        <w:ind w:firstLine="560"/>
        <w:rPr>
          <w:rFonts w:asciiTheme="minorHAnsi" w:hAnsiTheme="minorHAnsi" w:eastAsiaTheme="minorEastAsia" w:cstheme="minorHAnsi"/>
          <w:bCs/>
          <w:kern w:val="0"/>
          <w:szCs w:val="28"/>
        </w:rPr>
      </w:pPr>
      <w:r>
        <w:rPr>
          <w:rFonts w:hint="eastAsia" w:asciiTheme="minorHAnsi" w:hAnsiTheme="minorHAnsi" w:eastAsiaTheme="minorEastAsia" w:cstheme="minorHAnsi"/>
          <w:bCs/>
          <w:kern w:val="0"/>
          <w:szCs w:val="28"/>
        </w:rPr>
        <w:t>二期-</w:t>
      </w:r>
      <w:r>
        <w:rPr>
          <w:rFonts w:asciiTheme="minorHAnsi" w:hAnsiTheme="minorHAnsi" w:eastAsiaTheme="minorEastAsia" w:cstheme="minorHAnsi"/>
          <w:bCs/>
          <w:kern w:val="0"/>
          <w:szCs w:val="28"/>
        </w:rPr>
        <w:t>835</w:t>
      </w:r>
      <w:r>
        <w:rPr>
          <w:rFonts w:hint="eastAsia" w:asciiTheme="minorHAnsi" w:hAnsiTheme="minorHAnsi" w:eastAsiaTheme="minorEastAsia" w:cstheme="minorHAnsi"/>
          <w:bCs/>
          <w:kern w:val="0"/>
          <w:szCs w:val="28"/>
        </w:rPr>
        <w:t>m中段正常排水</w:t>
      </w:r>
      <w:r>
        <w:rPr>
          <w:rFonts w:asciiTheme="minorHAnsi" w:hAnsiTheme="minorHAnsi" w:eastAsiaTheme="minorEastAsia" w:cstheme="minorHAnsi"/>
          <w:bCs/>
          <w:kern w:val="0"/>
          <w:szCs w:val="28"/>
        </w:rPr>
        <w:t>14143.10</w:t>
      </w:r>
      <w:r>
        <w:rPr>
          <w:rFonts w:hint="eastAsia" w:asciiTheme="minorHAnsi" w:hAnsiTheme="minorHAnsi" w:eastAsiaTheme="minorEastAsia" w:cstheme="minorHAnsi"/>
          <w:bCs/>
          <w:kern w:val="0"/>
          <w:szCs w:val="28"/>
        </w:rPr>
        <w:t>m</w:t>
      </w:r>
      <w:r>
        <w:rPr>
          <w:rFonts w:hint="eastAsia" w:asciiTheme="minorHAnsi" w:hAnsiTheme="minorHAnsi" w:eastAsiaTheme="minorEastAsia" w:cstheme="minorHAnsi"/>
          <w:bCs/>
          <w:kern w:val="0"/>
          <w:szCs w:val="28"/>
          <w:vertAlign w:val="superscript"/>
        </w:rPr>
        <w:t>3</w:t>
      </w:r>
      <w:r>
        <w:rPr>
          <w:rFonts w:hint="eastAsia" w:asciiTheme="minorHAnsi" w:hAnsiTheme="minorHAnsi" w:eastAsiaTheme="minorEastAsia" w:cstheme="minorHAnsi"/>
          <w:bCs/>
          <w:kern w:val="0"/>
          <w:szCs w:val="28"/>
        </w:rPr>
        <w:t>/d，最大排水量</w:t>
      </w:r>
      <w:r>
        <w:rPr>
          <w:rFonts w:asciiTheme="minorHAnsi" w:hAnsiTheme="minorHAnsi" w:eastAsiaTheme="minorEastAsia" w:cstheme="minorHAnsi"/>
          <w:bCs/>
          <w:kern w:val="0"/>
          <w:szCs w:val="28"/>
        </w:rPr>
        <w:t>20242.10</w:t>
      </w:r>
      <w:r>
        <w:rPr>
          <w:rFonts w:hint="eastAsia" w:asciiTheme="minorHAnsi" w:hAnsiTheme="minorHAnsi" w:eastAsiaTheme="minorEastAsia" w:cstheme="minorHAnsi"/>
          <w:bCs/>
          <w:kern w:val="0"/>
          <w:szCs w:val="28"/>
        </w:rPr>
        <w:t>m</w:t>
      </w:r>
      <w:r>
        <w:rPr>
          <w:rFonts w:hint="eastAsia" w:asciiTheme="minorHAnsi" w:hAnsiTheme="minorHAnsi" w:eastAsiaTheme="minorEastAsia" w:cstheme="minorHAnsi"/>
          <w:bCs/>
          <w:kern w:val="0"/>
          <w:szCs w:val="28"/>
          <w:vertAlign w:val="superscript"/>
        </w:rPr>
        <w:t>3</w:t>
      </w:r>
      <w:r>
        <w:rPr>
          <w:rFonts w:hint="eastAsia" w:asciiTheme="minorHAnsi" w:hAnsiTheme="minorHAnsi" w:eastAsiaTheme="minorEastAsia" w:cstheme="minorHAnsi"/>
          <w:bCs/>
          <w:kern w:val="0"/>
          <w:szCs w:val="28"/>
        </w:rPr>
        <w:t>/d。</w:t>
      </w:r>
    </w:p>
    <w:p w14:paraId="68EDBFB8">
      <w:pPr>
        <w:widowControl/>
        <w:adjustRightInd w:val="0"/>
        <w:snapToGrid w:val="0"/>
        <w:spacing w:line="360" w:lineRule="auto"/>
        <w:ind w:firstLine="560"/>
        <w:rPr>
          <w:bCs/>
          <w:szCs w:val="28"/>
        </w:rPr>
      </w:pPr>
      <w:r>
        <w:rPr>
          <w:rFonts w:hint="eastAsia"/>
          <w:bCs/>
          <w:szCs w:val="28"/>
        </w:rPr>
        <w:t>在-835m水平设排水泵房安装4台MD500-57×7型矿用耐磨多级离心泵，单台水泵流量500m</w:t>
      </w:r>
      <w:r>
        <w:rPr>
          <w:rFonts w:hint="eastAsia"/>
          <w:bCs/>
          <w:szCs w:val="28"/>
          <w:vertAlign w:val="superscript"/>
        </w:rPr>
        <w:t>3</w:t>
      </w:r>
      <w:r>
        <w:rPr>
          <w:rFonts w:hint="eastAsia"/>
          <w:bCs/>
          <w:szCs w:val="28"/>
        </w:rPr>
        <w:t>/h，扬程399m。井下正常涌水时，2台工作，1台备用，1台检修；最大排水量时，3台工作，1台检修。</w:t>
      </w:r>
    </w:p>
    <w:p w14:paraId="66AB2EC8">
      <w:pPr>
        <w:widowControl/>
        <w:adjustRightInd w:val="0"/>
        <w:snapToGrid w:val="0"/>
        <w:spacing w:line="360" w:lineRule="auto"/>
        <w:ind w:firstLine="560"/>
        <w:rPr>
          <w:bCs/>
          <w:szCs w:val="28"/>
        </w:rPr>
      </w:pPr>
      <w:r>
        <w:rPr>
          <w:rFonts w:hint="eastAsia"/>
          <w:bCs/>
          <w:szCs w:val="28"/>
        </w:rPr>
        <w:t>排水管道选用2根Φ426×14无缝钢管，最大流速</w:t>
      </w:r>
      <w:r>
        <w:rPr>
          <w:bCs/>
          <w:szCs w:val="28"/>
        </w:rPr>
        <w:t>2.</w:t>
      </w:r>
      <w:r>
        <w:rPr>
          <w:rFonts w:hint="eastAsia"/>
          <w:bCs/>
          <w:szCs w:val="28"/>
        </w:rPr>
        <w:t>24</w:t>
      </w:r>
      <w:r>
        <w:rPr>
          <w:bCs/>
          <w:szCs w:val="28"/>
        </w:rPr>
        <w:t>m/s</w:t>
      </w:r>
      <w:r>
        <w:rPr>
          <w:rFonts w:hint="eastAsia"/>
          <w:bCs/>
          <w:szCs w:val="28"/>
        </w:rPr>
        <w:t>，正常涌水时，1根工作，1根备用；最大排水量时，2根同时工作。排水管道由排水泵房接出，经排水管道斜巷、副井井筒、-505m水平副井石门敷设至-505m水平水仓。</w:t>
      </w:r>
    </w:p>
    <w:p w14:paraId="74022CC4">
      <w:pPr>
        <w:snapToGrid w:val="0"/>
        <w:spacing w:line="360" w:lineRule="auto"/>
        <w:ind w:firstLine="560"/>
        <w:rPr>
          <w:rFonts w:cs="Times New Roman"/>
          <w:szCs w:val="28"/>
        </w:rPr>
      </w:pPr>
      <w:r>
        <w:rPr>
          <w:rFonts w:hint="eastAsia" w:cs="Times New Roman"/>
          <w:szCs w:val="28"/>
        </w:rPr>
        <w:t>①</w:t>
      </w:r>
      <w:r>
        <w:rPr>
          <w:rFonts w:cs="Times New Roman"/>
          <w:szCs w:val="28"/>
        </w:rPr>
        <w:t>水泵能力复核</w:t>
      </w:r>
    </w:p>
    <w:p w14:paraId="127C4DD9">
      <w:pPr>
        <w:snapToGrid w:val="0"/>
        <w:spacing w:line="360" w:lineRule="auto"/>
        <w:ind w:firstLine="560"/>
        <w:rPr>
          <w:rFonts w:cs="Times New Roman"/>
          <w:szCs w:val="28"/>
        </w:rPr>
      </w:pPr>
      <w:r>
        <w:rPr>
          <w:rFonts w:cs="Times New Roman"/>
          <w:szCs w:val="28"/>
        </w:rPr>
        <w:t>按照20小时排出坑内一昼夜的涌水量对井下主水泵能力进行复核。</w:t>
      </w:r>
    </w:p>
    <w:p w14:paraId="45C32E03">
      <w:pPr>
        <w:snapToGrid w:val="0"/>
        <w:spacing w:line="360" w:lineRule="auto"/>
        <w:ind w:firstLine="560"/>
        <w:rPr>
          <w:rFonts w:cs="Times New Roman"/>
          <w:szCs w:val="28"/>
        </w:rPr>
      </w:pPr>
      <w:r>
        <w:rPr>
          <w:rFonts w:cs="Times New Roman"/>
          <w:szCs w:val="28"/>
        </w:rPr>
        <w:t>正常涌水时</w:t>
      </w:r>
      <w:r>
        <w:rPr>
          <w:rFonts w:hint="eastAsia" w:cs="Times New Roman"/>
          <w:szCs w:val="28"/>
        </w:rPr>
        <w:t>：</w:t>
      </w:r>
    </w:p>
    <w:p w14:paraId="6BC8FB0F">
      <w:pPr>
        <w:snapToGrid w:val="0"/>
        <w:spacing w:line="360" w:lineRule="auto"/>
        <w:ind w:firstLine="560"/>
        <w:rPr>
          <w:rFonts w:cs="Times New Roman"/>
          <w:szCs w:val="28"/>
        </w:rPr>
      </w:pPr>
      <w:r>
        <w:rPr>
          <w:rFonts w:cs="Times New Roman"/>
          <w:szCs w:val="28"/>
        </w:rPr>
        <w:t>20小时</w:t>
      </w:r>
      <w:r>
        <w:rPr>
          <w:rFonts w:hint="eastAsia" w:cs="Times New Roman"/>
          <w:szCs w:val="28"/>
        </w:rPr>
        <w:t>工作</w:t>
      </w:r>
      <w:r>
        <w:rPr>
          <w:rFonts w:cs="Times New Roman"/>
          <w:szCs w:val="28"/>
        </w:rPr>
        <w:t>水泵排水能力500</w:t>
      </w:r>
      <w:r>
        <w:rPr>
          <w:rFonts w:hint="eastAsia" w:cs="Times New Roman"/>
          <w:szCs w:val="28"/>
        </w:rPr>
        <w:t>×</w:t>
      </w:r>
      <w:r>
        <w:rPr>
          <w:rFonts w:cs="Times New Roman"/>
          <w:szCs w:val="28"/>
        </w:rPr>
        <w:t>2</w:t>
      </w:r>
      <w:r>
        <w:rPr>
          <w:rFonts w:hint="eastAsia" w:cs="Times New Roman"/>
          <w:szCs w:val="28"/>
        </w:rPr>
        <w:t>×</w:t>
      </w:r>
      <w:r>
        <w:rPr>
          <w:rFonts w:cs="Times New Roman"/>
          <w:szCs w:val="28"/>
        </w:rPr>
        <w:t>20</w:t>
      </w:r>
      <w:r>
        <w:rPr>
          <w:rFonts w:hint="eastAsia" w:cs="Times New Roman"/>
          <w:szCs w:val="28"/>
        </w:rPr>
        <w:t>=</w:t>
      </w:r>
      <w:r>
        <w:rPr>
          <w:rFonts w:cs="Times New Roman"/>
          <w:szCs w:val="28"/>
        </w:rPr>
        <w:t>20000 m</w:t>
      </w:r>
      <w:r>
        <w:rPr>
          <w:rFonts w:cs="Times New Roman"/>
          <w:szCs w:val="28"/>
          <w:vertAlign w:val="superscript"/>
        </w:rPr>
        <w:t>3</w:t>
      </w:r>
    </w:p>
    <w:p w14:paraId="185463B7">
      <w:pPr>
        <w:snapToGrid w:val="0"/>
        <w:spacing w:line="360" w:lineRule="auto"/>
        <w:ind w:firstLine="560"/>
        <w:rPr>
          <w:rFonts w:cs="Times New Roman"/>
          <w:szCs w:val="28"/>
          <w:vertAlign w:val="superscript"/>
        </w:rPr>
      </w:pPr>
      <w:r>
        <w:rPr>
          <w:rFonts w:cs="Times New Roman"/>
          <w:szCs w:val="28"/>
        </w:rPr>
        <w:t>井下一天需要排水量为</w:t>
      </w:r>
      <w:r>
        <w:rPr>
          <w:rFonts w:asciiTheme="minorHAnsi" w:hAnsiTheme="minorHAnsi" w:eastAsiaTheme="minorEastAsia" w:cstheme="minorHAnsi"/>
          <w:bCs/>
          <w:kern w:val="0"/>
          <w:szCs w:val="28"/>
        </w:rPr>
        <w:t>14143.10</w:t>
      </w:r>
      <w:r>
        <w:rPr>
          <w:rFonts w:cs="Times New Roman"/>
          <w:szCs w:val="28"/>
        </w:rPr>
        <w:t>m</w:t>
      </w:r>
      <w:r>
        <w:rPr>
          <w:rFonts w:cs="Times New Roman"/>
          <w:szCs w:val="28"/>
          <w:vertAlign w:val="superscript"/>
        </w:rPr>
        <w:t>3</w:t>
      </w:r>
    </w:p>
    <w:p w14:paraId="7882214B">
      <w:pPr>
        <w:snapToGrid w:val="0"/>
        <w:spacing w:line="360" w:lineRule="auto"/>
        <w:ind w:firstLine="560"/>
        <w:rPr>
          <w:rFonts w:cs="Times New Roman"/>
          <w:szCs w:val="28"/>
        </w:rPr>
      </w:pPr>
      <w:r>
        <w:rPr>
          <w:rFonts w:cs="Times New Roman"/>
          <w:szCs w:val="28"/>
        </w:rPr>
        <w:t>20000＞</w:t>
      </w:r>
      <w:r>
        <w:rPr>
          <w:rFonts w:asciiTheme="minorHAnsi" w:hAnsiTheme="minorHAnsi" w:eastAsiaTheme="minorEastAsia" w:cstheme="minorHAnsi"/>
          <w:bCs/>
          <w:kern w:val="0"/>
          <w:szCs w:val="28"/>
        </w:rPr>
        <w:t>14143.10</w:t>
      </w:r>
      <w:r>
        <w:rPr>
          <w:rFonts w:cs="Times New Roman"/>
          <w:szCs w:val="28"/>
        </w:rPr>
        <w:t>，正常涌水量，</w:t>
      </w:r>
      <w:r>
        <w:rPr>
          <w:rFonts w:hint="eastAsia" w:cs="Times New Roman"/>
          <w:szCs w:val="28"/>
        </w:rPr>
        <w:t>工作水泵</w:t>
      </w:r>
      <w:r>
        <w:rPr>
          <w:rFonts w:cs="Times New Roman"/>
          <w:szCs w:val="28"/>
        </w:rPr>
        <w:t>能满足井下排水要求。</w:t>
      </w:r>
    </w:p>
    <w:p w14:paraId="334434D4">
      <w:pPr>
        <w:snapToGrid w:val="0"/>
        <w:spacing w:line="360" w:lineRule="auto"/>
        <w:ind w:firstLine="560"/>
        <w:rPr>
          <w:rFonts w:cs="Times New Roman"/>
          <w:szCs w:val="28"/>
        </w:rPr>
      </w:pPr>
      <w:r>
        <w:rPr>
          <w:rFonts w:cs="Times New Roman"/>
          <w:szCs w:val="28"/>
        </w:rPr>
        <w:t>最大涌水时</w:t>
      </w:r>
      <w:r>
        <w:rPr>
          <w:rFonts w:hint="eastAsia" w:cs="Times New Roman"/>
          <w:szCs w:val="28"/>
        </w:rPr>
        <w:t>：</w:t>
      </w:r>
    </w:p>
    <w:p w14:paraId="5AAB8926">
      <w:pPr>
        <w:snapToGrid w:val="0"/>
        <w:spacing w:line="360" w:lineRule="auto"/>
        <w:ind w:firstLine="560"/>
        <w:rPr>
          <w:rFonts w:cs="Times New Roman"/>
          <w:szCs w:val="28"/>
        </w:rPr>
      </w:pPr>
      <w:r>
        <w:rPr>
          <w:rFonts w:cs="Times New Roman"/>
          <w:szCs w:val="28"/>
        </w:rPr>
        <w:t>20小时</w:t>
      </w:r>
      <w:r>
        <w:rPr>
          <w:rFonts w:hint="eastAsia" w:cs="Times New Roman"/>
          <w:szCs w:val="28"/>
        </w:rPr>
        <w:t>最大</w:t>
      </w:r>
      <w:r>
        <w:rPr>
          <w:rFonts w:cs="Times New Roman"/>
          <w:szCs w:val="28"/>
        </w:rPr>
        <w:t>排水能力500</w:t>
      </w:r>
      <w:r>
        <w:rPr>
          <w:rFonts w:hint="eastAsia" w:cs="Times New Roman"/>
          <w:szCs w:val="28"/>
        </w:rPr>
        <w:t>×</w:t>
      </w:r>
      <w:r>
        <w:rPr>
          <w:rFonts w:cs="Times New Roman"/>
          <w:szCs w:val="28"/>
        </w:rPr>
        <w:t>3</w:t>
      </w:r>
      <w:r>
        <w:rPr>
          <w:rFonts w:hint="eastAsia" w:cs="Times New Roman"/>
          <w:szCs w:val="28"/>
        </w:rPr>
        <w:t>×</w:t>
      </w:r>
      <w:r>
        <w:rPr>
          <w:rFonts w:cs="Times New Roman"/>
          <w:szCs w:val="28"/>
        </w:rPr>
        <w:t>20</w:t>
      </w:r>
      <w:r>
        <w:rPr>
          <w:rFonts w:hint="eastAsia" w:cs="Times New Roman"/>
          <w:szCs w:val="28"/>
        </w:rPr>
        <w:t>=</w:t>
      </w:r>
      <w:r>
        <w:rPr>
          <w:rFonts w:cs="Times New Roman"/>
          <w:szCs w:val="28"/>
        </w:rPr>
        <w:t>30000m</w:t>
      </w:r>
      <w:r>
        <w:rPr>
          <w:rFonts w:cs="Times New Roman"/>
          <w:szCs w:val="28"/>
          <w:vertAlign w:val="superscript"/>
        </w:rPr>
        <w:t>3</w:t>
      </w:r>
    </w:p>
    <w:p w14:paraId="01B9525F">
      <w:pPr>
        <w:snapToGrid w:val="0"/>
        <w:spacing w:line="360" w:lineRule="auto"/>
        <w:ind w:firstLine="560"/>
        <w:rPr>
          <w:rFonts w:cs="Times New Roman"/>
          <w:szCs w:val="28"/>
          <w:vertAlign w:val="superscript"/>
        </w:rPr>
      </w:pPr>
      <w:r>
        <w:rPr>
          <w:rFonts w:cs="Times New Roman"/>
          <w:szCs w:val="28"/>
        </w:rPr>
        <w:t>井下一天需要排水量为</w:t>
      </w:r>
      <w:r>
        <w:rPr>
          <w:rFonts w:asciiTheme="minorHAnsi" w:hAnsiTheme="minorHAnsi" w:eastAsiaTheme="minorEastAsia" w:cstheme="minorHAnsi"/>
          <w:bCs/>
          <w:kern w:val="0"/>
          <w:szCs w:val="28"/>
        </w:rPr>
        <w:t>20242.10</w:t>
      </w:r>
      <w:r>
        <w:rPr>
          <w:rFonts w:cs="Times New Roman"/>
          <w:szCs w:val="28"/>
        </w:rPr>
        <w:t>m</w:t>
      </w:r>
      <w:r>
        <w:rPr>
          <w:rFonts w:cs="Times New Roman"/>
          <w:szCs w:val="28"/>
          <w:vertAlign w:val="superscript"/>
        </w:rPr>
        <w:t>3</w:t>
      </w:r>
    </w:p>
    <w:p w14:paraId="3D99B8A4">
      <w:pPr>
        <w:snapToGrid w:val="0"/>
        <w:spacing w:line="360" w:lineRule="auto"/>
        <w:ind w:firstLine="560"/>
        <w:rPr>
          <w:rFonts w:cs="Times New Roman"/>
          <w:szCs w:val="28"/>
        </w:rPr>
      </w:pPr>
      <w:r>
        <w:rPr>
          <w:rFonts w:cs="Times New Roman"/>
          <w:szCs w:val="28"/>
        </w:rPr>
        <w:t>30000＞</w:t>
      </w:r>
      <w:r>
        <w:rPr>
          <w:rFonts w:asciiTheme="minorHAnsi" w:hAnsiTheme="minorHAnsi" w:eastAsiaTheme="minorEastAsia" w:cstheme="minorHAnsi"/>
          <w:bCs/>
          <w:kern w:val="0"/>
          <w:szCs w:val="28"/>
        </w:rPr>
        <w:t>20242.10</w:t>
      </w:r>
      <w:r>
        <w:rPr>
          <w:rFonts w:cs="Times New Roman"/>
          <w:szCs w:val="28"/>
        </w:rPr>
        <w:t>，最大涌水时，</w:t>
      </w:r>
      <w:r>
        <w:rPr>
          <w:rFonts w:hint="eastAsia" w:cs="Times New Roman"/>
          <w:szCs w:val="28"/>
        </w:rPr>
        <w:t>所有水</w:t>
      </w:r>
      <w:r>
        <w:rPr>
          <w:rFonts w:cs="Times New Roman"/>
          <w:szCs w:val="28"/>
        </w:rPr>
        <w:t>泵能满足井下排水要求。</w:t>
      </w:r>
    </w:p>
    <w:p w14:paraId="4D4D32E9">
      <w:pPr>
        <w:snapToGrid w:val="0"/>
        <w:spacing w:line="360" w:lineRule="auto"/>
        <w:ind w:firstLine="560"/>
        <w:rPr>
          <w:rFonts w:cs="Times New Roman"/>
          <w:szCs w:val="28"/>
        </w:rPr>
      </w:pPr>
      <w:r>
        <w:rPr>
          <w:rFonts w:hint="eastAsia" w:cs="Times New Roman"/>
          <w:szCs w:val="28"/>
        </w:rPr>
        <w:t>②</w:t>
      </w:r>
      <w:r>
        <w:rPr>
          <w:rFonts w:cs="Times New Roman"/>
          <w:szCs w:val="28"/>
        </w:rPr>
        <w:t>水泵扬程复核</w:t>
      </w:r>
    </w:p>
    <w:p w14:paraId="25A7027E">
      <w:pPr>
        <w:snapToGrid w:val="0"/>
        <w:spacing w:line="360" w:lineRule="auto"/>
        <w:ind w:firstLine="560"/>
        <w:rPr>
          <w:rFonts w:cs="Times New Roman"/>
          <w:szCs w:val="28"/>
        </w:rPr>
      </w:pPr>
      <w:r>
        <w:rPr>
          <w:rFonts w:cs="Times New Roman"/>
          <w:szCs w:val="28"/>
        </w:rPr>
        <w:t>按排水高度估算设备所需的扬程为：</w:t>
      </w:r>
    </w:p>
    <w:p w14:paraId="13175A31">
      <w:pPr>
        <w:snapToGrid w:val="0"/>
        <w:spacing w:line="360" w:lineRule="auto"/>
        <w:ind w:firstLine="560"/>
        <w:rPr>
          <w:rFonts w:cs="Times New Roman"/>
          <w:szCs w:val="28"/>
        </w:rPr>
      </w:pPr>
      <w:r>
        <w:rPr>
          <w:rFonts w:cs="Times New Roman"/>
          <w:szCs w:val="28"/>
        </w:rPr>
        <w:t>H＝1.1×</w:t>
      </w:r>
      <w:r>
        <w:rPr>
          <w:rFonts w:hint="eastAsia" w:cs="Times New Roman"/>
          <w:szCs w:val="28"/>
        </w:rPr>
        <w:t>（</w:t>
      </w:r>
      <w:r>
        <w:rPr>
          <w:rFonts w:cs="Times New Roman"/>
          <w:szCs w:val="28"/>
        </w:rPr>
        <w:t>835-505</w:t>
      </w:r>
      <w:r>
        <w:rPr>
          <w:rFonts w:hint="eastAsia" w:cs="Times New Roman"/>
          <w:szCs w:val="28"/>
        </w:rPr>
        <w:t>）</w:t>
      </w:r>
      <w:r>
        <w:rPr>
          <w:rFonts w:cs="Times New Roman"/>
          <w:szCs w:val="28"/>
        </w:rPr>
        <w:t>=363m</w:t>
      </w:r>
    </w:p>
    <w:p w14:paraId="01EBC90B">
      <w:pPr>
        <w:adjustRightInd w:val="0"/>
        <w:snapToGrid w:val="0"/>
        <w:spacing w:line="360" w:lineRule="auto"/>
        <w:ind w:firstLine="560"/>
        <w:rPr>
          <w:rFonts w:cs="Times New Roman"/>
          <w:szCs w:val="28"/>
        </w:rPr>
      </w:pPr>
      <w:r>
        <w:rPr>
          <w:rFonts w:cs="Times New Roman"/>
          <w:szCs w:val="28"/>
        </w:rPr>
        <w:t>所选水泵扬程H=399m</w:t>
      </w:r>
    </w:p>
    <w:p w14:paraId="4D8C6A29">
      <w:pPr>
        <w:adjustRightInd w:val="0"/>
        <w:snapToGrid w:val="0"/>
        <w:spacing w:line="360" w:lineRule="auto"/>
        <w:ind w:firstLine="560"/>
        <w:rPr>
          <w:rFonts w:cs="Times New Roman"/>
          <w:szCs w:val="28"/>
        </w:rPr>
      </w:pPr>
      <w:r>
        <w:rPr>
          <w:rFonts w:cs="Times New Roman"/>
          <w:szCs w:val="28"/>
        </w:rPr>
        <w:t>399m＞363m，</w:t>
      </w:r>
      <w:r>
        <w:rPr>
          <w:rFonts w:hint="eastAsia" w:cs="Times New Roman"/>
          <w:szCs w:val="28"/>
        </w:rPr>
        <w:t>水泵扬程满足要求</w:t>
      </w:r>
      <w:r>
        <w:rPr>
          <w:rFonts w:cs="Times New Roman"/>
          <w:szCs w:val="28"/>
        </w:rPr>
        <w:t>。</w:t>
      </w:r>
    </w:p>
    <w:p w14:paraId="7121995F">
      <w:pPr>
        <w:snapToGrid w:val="0"/>
        <w:spacing w:line="360" w:lineRule="auto"/>
        <w:ind w:firstLine="562"/>
        <w:rPr>
          <w:rFonts w:asciiTheme="minorHAnsi" w:hAnsiTheme="minorHAnsi" w:eastAsiaTheme="minorEastAsia" w:cstheme="minorHAnsi"/>
          <w:b/>
          <w:bCs/>
          <w:kern w:val="0"/>
          <w:szCs w:val="28"/>
        </w:rPr>
      </w:pPr>
      <w:r>
        <w:rPr>
          <w:rFonts w:hint="eastAsia" w:asciiTheme="minorHAnsi" w:hAnsiTheme="minorHAnsi" w:eastAsiaTheme="minorEastAsia" w:cstheme="minorHAnsi"/>
          <w:b/>
          <w:bCs/>
          <w:kern w:val="0"/>
          <w:szCs w:val="28"/>
        </w:rPr>
        <w:t>二期</w:t>
      </w:r>
      <w:r>
        <w:rPr>
          <w:rFonts w:asciiTheme="minorHAnsi" w:hAnsiTheme="minorHAnsi" w:eastAsiaTheme="minorEastAsia" w:cstheme="minorHAnsi"/>
          <w:b/>
          <w:bCs/>
          <w:kern w:val="0"/>
          <w:szCs w:val="28"/>
        </w:rPr>
        <w:t>-505m水平排水系统</w:t>
      </w:r>
      <w:r>
        <w:rPr>
          <w:rFonts w:hint="eastAsia" w:asciiTheme="minorHAnsi" w:hAnsiTheme="minorHAnsi" w:eastAsiaTheme="minorEastAsia" w:cstheme="minorHAnsi"/>
          <w:b/>
          <w:bCs/>
          <w:kern w:val="0"/>
          <w:szCs w:val="28"/>
        </w:rPr>
        <w:t>：</w:t>
      </w:r>
    </w:p>
    <w:p w14:paraId="3105B6D1">
      <w:pPr>
        <w:widowControl/>
        <w:adjustRightInd w:val="0"/>
        <w:snapToGrid w:val="0"/>
        <w:spacing w:line="360" w:lineRule="auto"/>
        <w:ind w:firstLine="560"/>
        <w:rPr>
          <w:bCs/>
          <w:szCs w:val="28"/>
        </w:rPr>
      </w:pPr>
      <w:r>
        <w:rPr>
          <w:rFonts w:hint="eastAsia"/>
          <w:bCs/>
          <w:szCs w:val="28"/>
        </w:rPr>
        <w:t>一期、二期同时开采时，-</w:t>
      </w:r>
      <w:r>
        <w:rPr>
          <w:bCs/>
          <w:szCs w:val="28"/>
        </w:rPr>
        <w:t>505</w:t>
      </w:r>
      <w:r>
        <w:rPr>
          <w:rFonts w:hint="eastAsia"/>
          <w:bCs/>
          <w:szCs w:val="28"/>
        </w:rPr>
        <w:t>m正常排水量为</w:t>
      </w:r>
      <w:r>
        <w:rPr>
          <w:bCs/>
          <w:szCs w:val="28"/>
        </w:rPr>
        <w:t>19760.64</w:t>
      </w:r>
      <w:r>
        <w:rPr>
          <w:rFonts w:hint="eastAsia" w:asciiTheme="minorHAnsi" w:hAnsiTheme="minorHAnsi" w:cstheme="minorHAnsi"/>
          <w:szCs w:val="28"/>
        </w:rPr>
        <w:t>m</w:t>
      </w:r>
      <w:r>
        <w:rPr>
          <w:rFonts w:hint="eastAsia" w:asciiTheme="minorHAnsi" w:hAnsiTheme="minorHAnsi" w:cstheme="minorHAnsi"/>
          <w:szCs w:val="28"/>
          <w:vertAlign w:val="superscript"/>
        </w:rPr>
        <w:t>3</w:t>
      </w:r>
      <w:r>
        <w:rPr>
          <w:rFonts w:hint="eastAsia" w:asciiTheme="minorHAnsi" w:hAnsiTheme="minorHAnsi" w:cstheme="minorHAnsi"/>
          <w:szCs w:val="28"/>
        </w:rPr>
        <w:t>/d，最大排水量为</w:t>
      </w:r>
      <w:r>
        <w:rPr>
          <w:rFonts w:asciiTheme="minorHAnsi" w:hAnsiTheme="minorHAnsi" w:cstheme="minorHAnsi"/>
          <w:szCs w:val="28"/>
        </w:rPr>
        <w:t>27637.64</w:t>
      </w:r>
      <w:r>
        <w:rPr>
          <w:rFonts w:hint="eastAsia" w:asciiTheme="minorHAnsi" w:hAnsiTheme="minorHAnsi" w:cstheme="minorHAnsi"/>
          <w:szCs w:val="28"/>
        </w:rPr>
        <w:t xml:space="preserve"> m</w:t>
      </w:r>
      <w:r>
        <w:rPr>
          <w:rFonts w:hint="eastAsia" w:asciiTheme="minorHAnsi" w:hAnsiTheme="minorHAnsi" w:cstheme="minorHAnsi"/>
          <w:szCs w:val="28"/>
          <w:vertAlign w:val="superscript"/>
        </w:rPr>
        <w:t>3</w:t>
      </w:r>
      <w:r>
        <w:rPr>
          <w:rFonts w:hint="eastAsia" w:asciiTheme="minorHAnsi" w:hAnsiTheme="minorHAnsi" w:cstheme="minorHAnsi"/>
          <w:szCs w:val="28"/>
        </w:rPr>
        <w:t>/d。</w:t>
      </w:r>
    </w:p>
    <w:p w14:paraId="43433995">
      <w:pPr>
        <w:widowControl/>
        <w:adjustRightInd w:val="0"/>
        <w:snapToGrid w:val="0"/>
        <w:spacing w:line="360" w:lineRule="auto"/>
        <w:ind w:firstLine="560"/>
        <w:rPr>
          <w:szCs w:val="28"/>
        </w:rPr>
      </w:pPr>
      <w:r>
        <w:rPr>
          <w:rFonts w:hint="eastAsia"/>
          <w:bCs/>
          <w:szCs w:val="28"/>
        </w:rPr>
        <w:t>在-505m水平设排水泵房安装4台MD500-57×11型矿用耐磨多级离心泵，单台水泵流量500m</w:t>
      </w:r>
      <w:r>
        <w:rPr>
          <w:rFonts w:hint="eastAsia"/>
          <w:bCs/>
          <w:szCs w:val="28"/>
          <w:vertAlign w:val="superscript"/>
        </w:rPr>
        <w:t>3</w:t>
      </w:r>
      <w:r>
        <w:rPr>
          <w:rFonts w:hint="eastAsia"/>
          <w:bCs/>
          <w:szCs w:val="28"/>
        </w:rPr>
        <w:t>/h，扬程627m。井下正常涌水时，2台工作，1台备用，1台检修；最大排水量时，3台工作，1台检修。</w:t>
      </w:r>
    </w:p>
    <w:p w14:paraId="0504D1D0">
      <w:pPr>
        <w:snapToGrid w:val="0"/>
        <w:spacing w:line="360" w:lineRule="auto"/>
        <w:ind w:firstLine="560"/>
        <w:rPr>
          <w:rFonts w:asciiTheme="minorHAnsi" w:hAnsiTheme="minorHAnsi" w:cstheme="minorHAnsi"/>
          <w:szCs w:val="28"/>
        </w:rPr>
      </w:pPr>
      <w:r>
        <w:rPr>
          <w:rFonts w:hint="eastAsia"/>
          <w:bCs/>
          <w:szCs w:val="28"/>
        </w:rPr>
        <w:t>排水管道选用2根Φ426×18无缝钢管，正常涌水时，1根工作，1根备用；最大排水量时，2根同时工作。</w:t>
      </w:r>
    </w:p>
    <w:p w14:paraId="24F1D362">
      <w:pPr>
        <w:snapToGrid w:val="0"/>
        <w:spacing w:line="360" w:lineRule="auto"/>
        <w:ind w:firstLine="560"/>
        <w:rPr>
          <w:rFonts w:cs="Times New Roman"/>
          <w:szCs w:val="28"/>
        </w:rPr>
      </w:pPr>
      <w:r>
        <w:rPr>
          <w:rFonts w:hint="eastAsia" w:cs="Times New Roman"/>
          <w:szCs w:val="28"/>
        </w:rPr>
        <w:t>①</w:t>
      </w:r>
      <w:r>
        <w:rPr>
          <w:rFonts w:cs="Times New Roman"/>
          <w:szCs w:val="28"/>
        </w:rPr>
        <w:t>水泵能力复核</w:t>
      </w:r>
    </w:p>
    <w:p w14:paraId="6C4720A1">
      <w:pPr>
        <w:snapToGrid w:val="0"/>
        <w:spacing w:line="360" w:lineRule="auto"/>
        <w:ind w:firstLine="560"/>
        <w:rPr>
          <w:rFonts w:cs="Times New Roman"/>
          <w:szCs w:val="28"/>
        </w:rPr>
      </w:pPr>
      <w:r>
        <w:rPr>
          <w:rFonts w:cs="Times New Roman"/>
          <w:szCs w:val="28"/>
        </w:rPr>
        <w:t>按照20小时排出坑内一昼夜的涌水量对井下主水泵能力进行复核。</w:t>
      </w:r>
    </w:p>
    <w:p w14:paraId="7FBBAC02">
      <w:pPr>
        <w:snapToGrid w:val="0"/>
        <w:spacing w:line="360" w:lineRule="auto"/>
        <w:ind w:firstLine="560"/>
        <w:rPr>
          <w:rFonts w:cs="Times New Roman"/>
          <w:szCs w:val="28"/>
        </w:rPr>
      </w:pPr>
      <w:r>
        <w:rPr>
          <w:rFonts w:cs="Times New Roman"/>
          <w:szCs w:val="28"/>
        </w:rPr>
        <w:t>正常涌水时</w:t>
      </w:r>
      <w:r>
        <w:rPr>
          <w:rFonts w:hint="eastAsia" w:cs="Times New Roman"/>
          <w:szCs w:val="28"/>
        </w:rPr>
        <w:t>：</w:t>
      </w:r>
    </w:p>
    <w:p w14:paraId="5DC2BBBD">
      <w:pPr>
        <w:snapToGrid w:val="0"/>
        <w:spacing w:line="360" w:lineRule="auto"/>
        <w:ind w:firstLine="560"/>
        <w:rPr>
          <w:rFonts w:cs="Times New Roman"/>
          <w:szCs w:val="28"/>
        </w:rPr>
      </w:pPr>
      <w:r>
        <w:rPr>
          <w:rFonts w:cs="Times New Roman"/>
          <w:szCs w:val="28"/>
        </w:rPr>
        <w:t>20小时</w:t>
      </w:r>
      <w:r>
        <w:rPr>
          <w:rFonts w:hint="eastAsia" w:cs="Times New Roman"/>
          <w:szCs w:val="28"/>
        </w:rPr>
        <w:t>工作</w:t>
      </w:r>
      <w:r>
        <w:rPr>
          <w:rFonts w:cs="Times New Roman"/>
          <w:szCs w:val="28"/>
        </w:rPr>
        <w:t>水泵排水能力500</w:t>
      </w:r>
      <w:r>
        <w:rPr>
          <w:rFonts w:hint="eastAsia" w:cs="Times New Roman"/>
          <w:szCs w:val="28"/>
        </w:rPr>
        <w:t>×</w:t>
      </w:r>
      <w:r>
        <w:rPr>
          <w:rFonts w:cs="Times New Roman"/>
          <w:szCs w:val="28"/>
        </w:rPr>
        <w:t>2</w:t>
      </w:r>
      <w:r>
        <w:rPr>
          <w:rFonts w:hint="eastAsia" w:cs="Times New Roman"/>
          <w:szCs w:val="28"/>
        </w:rPr>
        <w:t>×</w:t>
      </w:r>
      <w:r>
        <w:rPr>
          <w:rFonts w:cs="Times New Roman"/>
          <w:szCs w:val="28"/>
        </w:rPr>
        <w:t>20</w:t>
      </w:r>
      <w:r>
        <w:rPr>
          <w:rFonts w:hint="eastAsia" w:cs="Times New Roman"/>
          <w:szCs w:val="28"/>
        </w:rPr>
        <w:t>=</w:t>
      </w:r>
      <w:r>
        <w:rPr>
          <w:rFonts w:cs="Times New Roman"/>
          <w:szCs w:val="28"/>
        </w:rPr>
        <w:t>20000 m</w:t>
      </w:r>
      <w:r>
        <w:rPr>
          <w:rFonts w:cs="Times New Roman"/>
          <w:szCs w:val="28"/>
          <w:vertAlign w:val="superscript"/>
        </w:rPr>
        <w:t>3</w:t>
      </w:r>
    </w:p>
    <w:p w14:paraId="12A93AF9">
      <w:pPr>
        <w:snapToGrid w:val="0"/>
        <w:spacing w:line="360" w:lineRule="auto"/>
        <w:ind w:firstLine="560"/>
        <w:rPr>
          <w:rFonts w:cs="Times New Roman"/>
          <w:szCs w:val="28"/>
          <w:vertAlign w:val="superscript"/>
        </w:rPr>
      </w:pPr>
      <w:r>
        <w:rPr>
          <w:rFonts w:cs="Times New Roman"/>
          <w:szCs w:val="28"/>
        </w:rPr>
        <w:t>井下一天需要排水量为</w:t>
      </w:r>
      <w:r>
        <w:rPr>
          <w:bCs/>
          <w:szCs w:val="28"/>
        </w:rPr>
        <w:t>19760.64</w:t>
      </w:r>
      <w:r>
        <w:rPr>
          <w:rFonts w:cs="Times New Roman"/>
          <w:szCs w:val="28"/>
        </w:rPr>
        <w:t>m</w:t>
      </w:r>
      <w:r>
        <w:rPr>
          <w:rFonts w:cs="Times New Roman"/>
          <w:szCs w:val="28"/>
          <w:vertAlign w:val="superscript"/>
        </w:rPr>
        <w:t>3</w:t>
      </w:r>
    </w:p>
    <w:p w14:paraId="014818DC">
      <w:pPr>
        <w:snapToGrid w:val="0"/>
        <w:spacing w:line="360" w:lineRule="auto"/>
        <w:ind w:firstLine="560"/>
        <w:rPr>
          <w:rFonts w:cs="Times New Roman"/>
          <w:szCs w:val="28"/>
        </w:rPr>
      </w:pPr>
      <w:r>
        <w:rPr>
          <w:rFonts w:cs="Times New Roman"/>
          <w:szCs w:val="28"/>
        </w:rPr>
        <w:t>20000＞19760.64，正常涌水量，</w:t>
      </w:r>
      <w:r>
        <w:rPr>
          <w:rFonts w:hint="eastAsia" w:cs="Times New Roman"/>
          <w:szCs w:val="28"/>
        </w:rPr>
        <w:t>工作水泵</w:t>
      </w:r>
      <w:r>
        <w:rPr>
          <w:rFonts w:cs="Times New Roman"/>
          <w:szCs w:val="28"/>
        </w:rPr>
        <w:t>能满足井下排水要求。</w:t>
      </w:r>
    </w:p>
    <w:p w14:paraId="45EE5E74">
      <w:pPr>
        <w:snapToGrid w:val="0"/>
        <w:spacing w:line="360" w:lineRule="auto"/>
        <w:ind w:firstLine="560"/>
        <w:rPr>
          <w:rFonts w:cs="Times New Roman"/>
          <w:szCs w:val="28"/>
        </w:rPr>
      </w:pPr>
      <w:r>
        <w:rPr>
          <w:rFonts w:cs="Times New Roman"/>
          <w:szCs w:val="28"/>
        </w:rPr>
        <w:t>最大涌水时</w:t>
      </w:r>
      <w:r>
        <w:rPr>
          <w:rFonts w:hint="eastAsia" w:cs="Times New Roman"/>
          <w:szCs w:val="28"/>
        </w:rPr>
        <w:t>：</w:t>
      </w:r>
    </w:p>
    <w:p w14:paraId="64AA5A43">
      <w:pPr>
        <w:snapToGrid w:val="0"/>
        <w:spacing w:line="360" w:lineRule="auto"/>
        <w:ind w:firstLine="560"/>
        <w:rPr>
          <w:rFonts w:cs="Times New Roman"/>
          <w:szCs w:val="28"/>
        </w:rPr>
      </w:pPr>
      <w:r>
        <w:rPr>
          <w:rFonts w:cs="Times New Roman"/>
          <w:szCs w:val="28"/>
        </w:rPr>
        <w:t>20小时</w:t>
      </w:r>
      <w:r>
        <w:rPr>
          <w:rFonts w:hint="eastAsia" w:cs="Times New Roman"/>
          <w:szCs w:val="28"/>
        </w:rPr>
        <w:t>最大</w:t>
      </w:r>
      <w:r>
        <w:rPr>
          <w:rFonts w:cs="Times New Roman"/>
          <w:szCs w:val="28"/>
        </w:rPr>
        <w:t>排水能力5000</w:t>
      </w:r>
      <w:r>
        <w:rPr>
          <w:rFonts w:hint="eastAsia" w:cs="Times New Roman"/>
          <w:szCs w:val="28"/>
        </w:rPr>
        <w:t>×</w:t>
      </w:r>
      <w:r>
        <w:rPr>
          <w:rFonts w:cs="Times New Roman"/>
          <w:szCs w:val="28"/>
        </w:rPr>
        <w:t>3</w:t>
      </w:r>
      <w:r>
        <w:rPr>
          <w:rFonts w:hint="eastAsia" w:cs="Times New Roman"/>
          <w:szCs w:val="28"/>
        </w:rPr>
        <w:t>×</w:t>
      </w:r>
      <w:r>
        <w:rPr>
          <w:rFonts w:cs="Times New Roman"/>
          <w:szCs w:val="28"/>
        </w:rPr>
        <w:t>20</w:t>
      </w:r>
      <w:r>
        <w:rPr>
          <w:rFonts w:hint="eastAsia" w:cs="Times New Roman"/>
          <w:szCs w:val="28"/>
        </w:rPr>
        <w:t>=</w:t>
      </w:r>
      <w:r>
        <w:rPr>
          <w:rFonts w:cs="Times New Roman"/>
          <w:szCs w:val="28"/>
        </w:rPr>
        <w:t>30000m</w:t>
      </w:r>
      <w:r>
        <w:rPr>
          <w:rFonts w:cs="Times New Roman"/>
          <w:szCs w:val="28"/>
          <w:vertAlign w:val="superscript"/>
        </w:rPr>
        <w:t>3</w:t>
      </w:r>
    </w:p>
    <w:p w14:paraId="7655A4A3">
      <w:pPr>
        <w:snapToGrid w:val="0"/>
        <w:spacing w:line="360" w:lineRule="auto"/>
        <w:ind w:firstLine="560"/>
        <w:rPr>
          <w:rFonts w:cs="Times New Roman"/>
          <w:szCs w:val="28"/>
          <w:vertAlign w:val="superscript"/>
        </w:rPr>
      </w:pPr>
      <w:r>
        <w:rPr>
          <w:rFonts w:cs="Times New Roman"/>
          <w:szCs w:val="28"/>
        </w:rPr>
        <w:t>井下一天需要排水量为</w:t>
      </w:r>
      <w:r>
        <w:rPr>
          <w:rFonts w:asciiTheme="minorHAnsi" w:hAnsiTheme="minorHAnsi" w:cstheme="minorHAnsi"/>
          <w:szCs w:val="28"/>
        </w:rPr>
        <w:t>27637.64</w:t>
      </w:r>
      <w:r>
        <w:rPr>
          <w:rFonts w:cs="Times New Roman"/>
          <w:szCs w:val="28"/>
        </w:rPr>
        <w:t>m</w:t>
      </w:r>
      <w:r>
        <w:rPr>
          <w:rFonts w:cs="Times New Roman"/>
          <w:szCs w:val="28"/>
          <w:vertAlign w:val="superscript"/>
        </w:rPr>
        <w:t>3</w:t>
      </w:r>
    </w:p>
    <w:p w14:paraId="4E99FB6C">
      <w:pPr>
        <w:snapToGrid w:val="0"/>
        <w:spacing w:line="360" w:lineRule="auto"/>
        <w:ind w:firstLine="560"/>
        <w:rPr>
          <w:rFonts w:cs="Times New Roman"/>
          <w:szCs w:val="28"/>
        </w:rPr>
      </w:pPr>
      <w:r>
        <w:rPr>
          <w:rFonts w:cs="Times New Roman"/>
          <w:szCs w:val="28"/>
        </w:rPr>
        <w:t>30000＞</w:t>
      </w:r>
      <w:r>
        <w:rPr>
          <w:rFonts w:asciiTheme="minorHAnsi" w:hAnsiTheme="minorHAnsi" w:cstheme="minorHAnsi"/>
          <w:szCs w:val="28"/>
        </w:rPr>
        <w:t>27637.64</w:t>
      </w:r>
      <w:r>
        <w:rPr>
          <w:rFonts w:cs="Times New Roman"/>
          <w:szCs w:val="28"/>
        </w:rPr>
        <w:t>，最大涌水时，</w:t>
      </w:r>
      <w:r>
        <w:rPr>
          <w:rFonts w:hint="eastAsia" w:cs="Times New Roman"/>
          <w:szCs w:val="28"/>
        </w:rPr>
        <w:t>所有水</w:t>
      </w:r>
      <w:r>
        <w:rPr>
          <w:rFonts w:cs="Times New Roman"/>
          <w:szCs w:val="28"/>
        </w:rPr>
        <w:t>泵能满足井下排水要求。</w:t>
      </w:r>
    </w:p>
    <w:p w14:paraId="044F41F8">
      <w:pPr>
        <w:snapToGrid w:val="0"/>
        <w:spacing w:line="360" w:lineRule="auto"/>
        <w:ind w:firstLine="560"/>
        <w:rPr>
          <w:rFonts w:cs="Times New Roman"/>
          <w:szCs w:val="28"/>
        </w:rPr>
      </w:pPr>
      <w:r>
        <w:rPr>
          <w:rFonts w:hint="eastAsia" w:cs="Times New Roman"/>
          <w:szCs w:val="28"/>
        </w:rPr>
        <w:t>②</w:t>
      </w:r>
      <w:r>
        <w:rPr>
          <w:rFonts w:cs="Times New Roman"/>
          <w:szCs w:val="28"/>
        </w:rPr>
        <w:t>水泵扬程复核</w:t>
      </w:r>
    </w:p>
    <w:p w14:paraId="6FA27180">
      <w:pPr>
        <w:snapToGrid w:val="0"/>
        <w:spacing w:line="360" w:lineRule="auto"/>
        <w:ind w:firstLine="560"/>
        <w:rPr>
          <w:rFonts w:cs="Times New Roman"/>
          <w:szCs w:val="28"/>
        </w:rPr>
      </w:pPr>
      <w:r>
        <w:rPr>
          <w:rFonts w:cs="Times New Roman"/>
          <w:szCs w:val="28"/>
        </w:rPr>
        <w:t>按排水高度估算设备所需的扬程为：</w:t>
      </w:r>
    </w:p>
    <w:p w14:paraId="45E9345C">
      <w:pPr>
        <w:snapToGrid w:val="0"/>
        <w:spacing w:line="360" w:lineRule="auto"/>
        <w:ind w:firstLine="560"/>
        <w:rPr>
          <w:rFonts w:cs="Times New Roman"/>
          <w:szCs w:val="28"/>
        </w:rPr>
      </w:pPr>
      <w:r>
        <w:rPr>
          <w:rFonts w:cs="Times New Roman"/>
          <w:szCs w:val="28"/>
        </w:rPr>
        <w:t>H＝1.1×</w:t>
      </w:r>
      <w:r>
        <w:rPr>
          <w:rFonts w:hint="eastAsia" w:cs="Times New Roman"/>
          <w:szCs w:val="28"/>
        </w:rPr>
        <w:t>（</w:t>
      </w:r>
      <w:r>
        <w:rPr>
          <w:rFonts w:cs="Times New Roman"/>
          <w:szCs w:val="28"/>
        </w:rPr>
        <w:t>47+505</w:t>
      </w:r>
      <w:r>
        <w:rPr>
          <w:rFonts w:hint="eastAsia" w:cs="Times New Roman"/>
          <w:szCs w:val="28"/>
        </w:rPr>
        <w:t>）</w:t>
      </w:r>
      <w:r>
        <w:rPr>
          <w:rFonts w:cs="Times New Roman"/>
          <w:szCs w:val="28"/>
        </w:rPr>
        <w:t>=607.2m</w:t>
      </w:r>
    </w:p>
    <w:p w14:paraId="1E8A86D0">
      <w:pPr>
        <w:adjustRightInd w:val="0"/>
        <w:snapToGrid w:val="0"/>
        <w:spacing w:line="360" w:lineRule="auto"/>
        <w:ind w:firstLine="560"/>
        <w:rPr>
          <w:rFonts w:cs="Times New Roman"/>
          <w:szCs w:val="28"/>
        </w:rPr>
      </w:pPr>
      <w:r>
        <w:rPr>
          <w:rFonts w:cs="Times New Roman"/>
          <w:szCs w:val="28"/>
        </w:rPr>
        <w:t>所选水泵扬程H=627m</w:t>
      </w:r>
    </w:p>
    <w:p w14:paraId="4362A7CA">
      <w:pPr>
        <w:adjustRightInd w:val="0"/>
        <w:snapToGrid w:val="0"/>
        <w:spacing w:line="360" w:lineRule="auto"/>
        <w:ind w:firstLine="560"/>
        <w:rPr>
          <w:rFonts w:cs="Times New Roman"/>
          <w:szCs w:val="28"/>
        </w:rPr>
      </w:pPr>
      <w:r>
        <w:rPr>
          <w:rFonts w:cs="Times New Roman"/>
          <w:szCs w:val="28"/>
        </w:rPr>
        <w:t>627m＞607.2m，</w:t>
      </w:r>
      <w:r>
        <w:rPr>
          <w:rFonts w:hint="eastAsia" w:cs="Times New Roman"/>
          <w:szCs w:val="28"/>
        </w:rPr>
        <w:t>水泵扬程满足要求</w:t>
      </w:r>
      <w:r>
        <w:rPr>
          <w:rFonts w:cs="Times New Roman"/>
          <w:szCs w:val="28"/>
        </w:rPr>
        <w:t>。</w:t>
      </w:r>
    </w:p>
    <w:p w14:paraId="30172266">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（5）</w:t>
      </w:r>
      <w:r>
        <w:rPr>
          <w:rFonts w:asciiTheme="minorHAnsi" w:hAnsiTheme="minorHAnsi" w:cstheme="minorHAnsi"/>
          <w:b/>
          <w:bCs/>
          <w:szCs w:val="28"/>
        </w:rPr>
        <w:t>单元评价小结</w:t>
      </w:r>
    </w:p>
    <w:p w14:paraId="028F6479">
      <w:pPr>
        <w:snapToGrid w:val="0"/>
        <w:spacing w:line="360" w:lineRule="auto"/>
        <w:ind w:firstLine="560"/>
        <w:rPr>
          <w:rFonts w:asciiTheme="minorHAnsi" w:hAnsiTheme="minorHAnsi" w:cstheme="minorHAnsi"/>
          <w:szCs w:val="28"/>
        </w:rPr>
      </w:pPr>
      <w:r>
        <w:rPr>
          <w:rFonts w:asciiTheme="minorHAnsi" w:hAnsiTheme="minorHAnsi" w:cstheme="minorHAnsi"/>
          <w:szCs w:val="28"/>
        </w:rPr>
        <w:t>1</w:t>
      </w:r>
      <w:r>
        <w:rPr>
          <w:rFonts w:hint="eastAsia" w:asciiTheme="minorHAnsi" w:hAnsiTheme="minorHAnsi" w:cstheme="minorHAnsi"/>
          <w:szCs w:val="28"/>
        </w:rPr>
        <w:t>）</w:t>
      </w:r>
      <w:r>
        <w:rPr>
          <w:rFonts w:asciiTheme="minorHAnsi" w:hAnsiTheme="minorHAnsi" w:cstheme="minorHAnsi"/>
          <w:szCs w:val="28"/>
        </w:rPr>
        <w:t>本单元存在的危险有害因素有：透水、机械伤害、触电和淹溺，由于该项目地表水丰富、地下涌水量较大，对透水危害应加以重视。</w:t>
      </w:r>
    </w:p>
    <w:p w14:paraId="520E1906">
      <w:pPr>
        <w:snapToGrid w:val="0"/>
        <w:spacing w:line="360" w:lineRule="auto"/>
        <w:ind w:firstLine="560"/>
        <w:rPr>
          <w:rFonts w:asciiTheme="minorHAnsi" w:hAnsiTheme="minorHAnsi" w:cstheme="minorHAnsi"/>
          <w:szCs w:val="28"/>
        </w:rPr>
      </w:pPr>
      <w:bookmarkStart w:id="124" w:name="_Hlk173162390"/>
      <w:r>
        <w:rPr>
          <w:rFonts w:asciiTheme="minorHAnsi" w:hAnsiTheme="minorHAnsi" w:cstheme="minorHAnsi"/>
          <w:szCs w:val="28"/>
        </w:rPr>
        <w:t>2</w:t>
      </w:r>
      <w:r>
        <w:rPr>
          <w:rFonts w:hint="eastAsia" w:asciiTheme="minorHAnsi" w:hAnsiTheme="minorHAnsi" w:cstheme="minorHAnsi"/>
          <w:szCs w:val="28"/>
        </w:rPr>
        <w:t>）</w:t>
      </w:r>
      <w:r>
        <w:rPr>
          <w:rFonts w:asciiTheme="minorHAnsi" w:hAnsiTheme="minorHAnsi" w:cstheme="minorHAnsi"/>
          <w:szCs w:val="28"/>
        </w:rPr>
        <w:t>下一阶段设计中应完善的问题有：</w:t>
      </w:r>
      <w:bookmarkEnd w:id="124"/>
    </w:p>
    <w:p w14:paraId="761E88F9">
      <w:pPr>
        <w:snapToGrid w:val="0"/>
        <w:spacing w:line="360" w:lineRule="auto"/>
        <w:ind w:firstLine="560"/>
        <w:rPr>
          <w:rFonts w:asciiTheme="minorHAnsi" w:hAnsiTheme="minorHAnsi" w:cstheme="minorHAnsi"/>
          <w:szCs w:val="28"/>
        </w:rPr>
      </w:pPr>
      <w:bookmarkStart w:id="125" w:name="_Hlk195651005"/>
      <w:r>
        <w:rPr>
          <w:rFonts w:hint="eastAsia" w:asciiTheme="minorHAnsi" w:hAnsiTheme="minorHAnsi" w:cstheme="minorHAnsi"/>
          <w:szCs w:val="28"/>
        </w:rPr>
        <w:t>①</w:t>
      </w:r>
      <w:r>
        <w:rPr>
          <w:rFonts w:asciiTheme="minorHAnsi" w:hAnsiTheme="minorHAnsi" w:cstheme="minorHAnsi"/>
          <w:szCs w:val="28"/>
        </w:rPr>
        <w:t>有突水可能性的工作面应设置救生圈、安全绳等救生设施。</w:t>
      </w:r>
    </w:p>
    <w:p w14:paraId="0C799EAA">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②在建设和生产过程中必须坚持“预测预报、有疑必探、先探后掘，先治后采”的探放水原则。在接近中等-强含水层、导水断层部位或其他水文地质条件可疑地段，应采用物探与钻探相结合的方式进行探水，避免突水事故的发生。发现有透（突）水征兆时，应立即停止受水害威胁区域的作业，撤出所有可能受水威胁区域的人员，采取有效安全措施。</w:t>
      </w:r>
    </w:p>
    <w:p w14:paraId="30C8A10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③建议对水文地质条件进一步查明，进一步查明矿区构造带及其含水性、导水性及与其它含水层的水力联系，合理预测深部开采的矿坑涌水量，并为制定防治水措施提供依据。</w:t>
      </w:r>
    </w:p>
    <w:p w14:paraId="694E96C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④矿床范围内断层不发育，最近的断层F3位于南部开采范围外，距离-475m首采矿段南部边界约950m，距离-475m南部开采边界约70m，开采至F3断层附近区域时应注意探水，加强生产时期的水文地质勘探研究工作。</w:t>
      </w:r>
    </w:p>
    <w:p w14:paraId="1BD61EA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⑤今后应补充护顶矿柱厚度的研究工作，根据开采方法和矿区的水文地质与工程地质条件，开展护顶矿柱厚度的分析与研究，给护顶矿柱的选取提供可靠依据。</w:t>
      </w:r>
    </w:p>
    <w:bookmarkEnd w:id="125"/>
    <w:p w14:paraId="106C7295">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3.7.2防灭火子单元</w:t>
      </w:r>
    </w:p>
    <w:p w14:paraId="2B7478B6">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（1）</w:t>
      </w:r>
      <w:r>
        <w:rPr>
          <w:rFonts w:asciiTheme="minorHAnsi" w:hAnsiTheme="minorHAnsi" w:cstheme="minorHAnsi"/>
          <w:b/>
          <w:bCs/>
          <w:szCs w:val="28"/>
        </w:rPr>
        <w:t>预先危险性分析</w:t>
      </w:r>
    </w:p>
    <w:p w14:paraId="2E47A2B7">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表3.7-9  防灭火子单元安全检查表</w:t>
      </w:r>
    </w:p>
    <w:tbl>
      <w:tblPr>
        <w:tblStyle w:val="54"/>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91"/>
        <w:gridCol w:w="3381"/>
        <w:gridCol w:w="1522"/>
        <w:gridCol w:w="845"/>
        <w:gridCol w:w="2875"/>
      </w:tblGrid>
      <w:tr w14:paraId="565E14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68" w:type="pct"/>
            <w:tcBorders>
              <w:top w:val="single" w:color="auto" w:sz="6" w:space="0"/>
              <w:left w:val="single" w:color="auto" w:sz="6" w:space="0"/>
              <w:bottom w:val="single" w:color="auto" w:sz="6" w:space="0"/>
              <w:right w:val="single" w:color="auto" w:sz="6" w:space="0"/>
            </w:tcBorders>
            <w:vAlign w:val="center"/>
          </w:tcPr>
          <w:p w14:paraId="0D3A1858">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危险因素</w:t>
            </w:r>
          </w:p>
        </w:tc>
        <w:tc>
          <w:tcPr>
            <w:tcW w:w="1777" w:type="pct"/>
            <w:tcBorders>
              <w:top w:val="single" w:color="auto" w:sz="6" w:space="0"/>
              <w:left w:val="single" w:color="auto" w:sz="6" w:space="0"/>
              <w:bottom w:val="single" w:color="auto" w:sz="6" w:space="0"/>
              <w:right w:val="single" w:color="auto" w:sz="6" w:space="0"/>
            </w:tcBorders>
            <w:vAlign w:val="center"/>
          </w:tcPr>
          <w:p w14:paraId="08C4993D">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诱导因素</w:t>
            </w:r>
          </w:p>
        </w:tc>
        <w:tc>
          <w:tcPr>
            <w:tcW w:w="800" w:type="pct"/>
            <w:tcBorders>
              <w:top w:val="single" w:color="auto" w:sz="6" w:space="0"/>
              <w:left w:val="single" w:color="auto" w:sz="6" w:space="0"/>
              <w:bottom w:val="single" w:color="auto" w:sz="6" w:space="0"/>
              <w:right w:val="single" w:color="auto" w:sz="6" w:space="0"/>
            </w:tcBorders>
            <w:vAlign w:val="center"/>
          </w:tcPr>
          <w:p w14:paraId="793769E6">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事故后果</w:t>
            </w:r>
          </w:p>
        </w:tc>
        <w:tc>
          <w:tcPr>
            <w:tcW w:w="444" w:type="pct"/>
            <w:tcBorders>
              <w:top w:val="single" w:color="auto" w:sz="6" w:space="0"/>
              <w:left w:val="single" w:color="auto" w:sz="6" w:space="0"/>
              <w:bottom w:val="single" w:color="auto" w:sz="6" w:space="0"/>
              <w:right w:val="single" w:color="auto" w:sz="6" w:space="0"/>
            </w:tcBorders>
            <w:vAlign w:val="center"/>
          </w:tcPr>
          <w:p w14:paraId="5DE68F9B">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危险</w:t>
            </w:r>
          </w:p>
          <w:p w14:paraId="712016E1">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等级</w:t>
            </w:r>
          </w:p>
        </w:tc>
        <w:tc>
          <w:tcPr>
            <w:tcW w:w="1511" w:type="pct"/>
            <w:tcBorders>
              <w:top w:val="single" w:color="auto" w:sz="6" w:space="0"/>
              <w:left w:val="single" w:color="auto" w:sz="6" w:space="0"/>
              <w:bottom w:val="single" w:color="auto" w:sz="6" w:space="0"/>
              <w:right w:val="single" w:color="auto" w:sz="6" w:space="0"/>
            </w:tcBorders>
            <w:vAlign w:val="center"/>
          </w:tcPr>
          <w:p w14:paraId="771AB351">
            <w:pPr>
              <w:spacing w:line="320" w:lineRule="exact"/>
              <w:ind w:firstLine="0" w:firstLineChars="0"/>
              <w:jc w:val="center"/>
              <w:rPr>
                <w:rFonts w:asciiTheme="minorHAnsi" w:hAnsiTheme="minorHAnsi" w:cstheme="minorHAnsi"/>
                <w:b/>
                <w:bCs/>
                <w:sz w:val="21"/>
                <w:szCs w:val="21"/>
              </w:rPr>
            </w:pPr>
            <w:r>
              <w:rPr>
                <w:rFonts w:asciiTheme="minorHAnsi" w:hAnsiTheme="minorHAnsi" w:cstheme="minorHAnsi"/>
                <w:b/>
                <w:bCs/>
                <w:sz w:val="21"/>
                <w:szCs w:val="21"/>
              </w:rPr>
              <w:t>防范措施</w:t>
            </w:r>
          </w:p>
        </w:tc>
      </w:tr>
      <w:tr w14:paraId="1CB321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68" w:type="pct"/>
            <w:tcBorders>
              <w:top w:val="single" w:color="auto" w:sz="6" w:space="0"/>
              <w:left w:val="single" w:color="auto" w:sz="6" w:space="0"/>
              <w:bottom w:val="single" w:color="auto" w:sz="6" w:space="0"/>
              <w:right w:val="single" w:color="auto" w:sz="6" w:space="0"/>
            </w:tcBorders>
            <w:vAlign w:val="center"/>
          </w:tcPr>
          <w:p w14:paraId="724ED9FF">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电气</w:t>
            </w:r>
          </w:p>
          <w:p w14:paraId="560DFA14">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设备</w:t>
            </w:r>
          </w:p>
        </w:tc>
        <w:tc>
          <w:tcPr>
            <w:tcW w:w="1777" w:type="pct"/>
            <w:tcBorders>
              <w:top w:val="single" w:color="auto" w:sz="6" w:space="0"/>
              <w:left w:val="single" w:color="auto" w:sz="6" w:space="0"/>
              <w:bottom w:val="single" w:color="auto" w:sz="6" w:space="0"/>
              <w:right w:val="single" w:color="auto" w:sz="6" w:space="0"/>
            </w:tcBorders>
            <w:vAlign w:val="center"/>
          </w:tcPr>
          <w:p w14:paraId="713FC793">
            <w:pPr>
              <w:spacing w:line="36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不符合防火防爆的要求；电气设备安装使用维护不当；电气设备安装存在缺陷或运行时间短路、过载、接触不良、散热不良、漏电等导至过热；电热器具、电火花、电弧和照明灯具形成引燃源。</w:t>
            </w:r>
          </w:p>
        </w:tc>
        <w:tc>
          <w:tcPr>
            <w:tcW w:w="800" w:type="pct"/>
            <w:tcBorders>
              <w:top w:val="single" w:color="auto" w:sz="6" w:space="0"/>
              <w:left w:val="single" w:color="auto" w:sz="6" w:space="0"/>
              <w:bottom w:val="single" w:color="auto" w:sz="6" w:space="0"/>
              <w:right w:val="single" w:color="auto" w:sz="6" w:space="0"/>
            </w:tcBorders>
            <w:vAlign w:val="center"/>
          </w:tcPr>
          <w:p w14:paraId="36D84B56">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p w14:paraId="22CF02AD">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财产损失</w:t>
            </w:r>
          </w:p>
        </w:tc>
        <w:tc>
          <w:tcPr>
            <w:tcW w:w="444" w:type="pct"/>
            <w:tcBorders>
              <w:top w:val="single" w:color="auto" w:sz="6" w:space="0"/>
              <w:left w:val="single" w:color="auto" w:sz="6" w:space="0"/>
              <w:bottom w:val="single" w:color="auto" w:sz="6" w:space="0"/>
              <w:right w:val="single" w:color="auto" w:sz="6" w:space="0"/>
            </w:tcBorders>
            <w:vAlign w:val="center"/>
          </w:tcPr>
          <w:p w14:paraId="7AA677EB">
            <w:pPr>
              <w:spacing w:line="36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511" w:type="pct"/>
            <w:tcBorders>
              <w:top w:val="single" w:color="auto" w:sz="6" w:space="0"/>
              <w:left w:val="single" w:color="auto" w:sz="6" w:space="0"/>
              <w:bottom w:val="single" w:color="auto" w:sz="6" w:space="0"/>
              <w:right w:val="single" w:color="auto" w:sz="6" w:space="0"/>
            </w:tcBorders>
            <w:vAlign w:val="center"/>
          </w:tcPr>
          <w:p w14:paraId="5F5360BD">
            <w:pPr>
              <w:spacing w:line="36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设计选择合理电气设备；严格按设计、规程进行安装，对电器定期检测；正确使用维护电气设备；备足消防灭火器材和消防设施。</w:t>
            </w:r>
          </w:p>
        </w:tc>
      </w:tr>
      <w:tr w14:paraId="1D7A5B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68" w:type="pct"/>
            <w:tcBorders>
              <w:top w:val="single" w:color="auto" w:sz="6" w:space="0"/>
              <w:left w:val="single" w:color="auto" w:sz="6" w:space="0"/>
              <w:bottom w:val="single" w:color="auto" w:sz="6" w:space="0"/>
              <w:right w:val="single" w:color="auto" w:sz="6" w:space="0"/>
            </w:tcBorders>
            <w:vAlign w:val="center"/>
          </w:tcPr>
          <w:p w14:paraId="1F297730">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危险</w:t>
            </w:r>
          </w:p>
          <w:p w14:paraId="14CE2A1B">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物料</w:t>
            </w:r>
          </w:p>
        </w:tc>
        <w:tc>
          <w:tcPr>
            <w:tcW w:w="1777" w:type="pct"/>
            <w:tcBorders>
              <w:top w:val="single" w:color="auto" w:sz="6" w:space="0"/>
              <w:left w:val="single" w:color="auto" w:sz="6" w:space="0"/>
              <w:bottom w:val="single" w:color="auto" w:sz="6" w:space="0"/>
              <w:right w:val="single" w:color="auto" w:sz="6" w:space="0"/>
            </w:tcBorders>
            <w:vAlign w:val="center"/>
          </w:tcPr>
          <w:p w14:paraId="44321417">
            <w:pPr>
              <w:spacing w:line="36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爆破材料的运输、保存、使用不当；木材、油料、电缆；外界火源；危险部位未设立警示标志；未采取有效的灭火措施。</w:t>
            </w:r>
          </w:p>
        </w:tc>
        <w:tc>
          <w:tcPr>
            <w:tcW w:w="800" w:type="pct"/>
            <w:tcBorders>
              <w:top w:val="single" w:color="auto" w:sz="6" w:space="0"/>
              <w:left w:val="single" w:color="auto" w:sz="6" w:space="0"/>
              <w:bottom w:val="single" w:color="auto" w:sz="6" w:space="0"/>
              <w:right w:val="single" w:color="auto" w:sz="6" w:space="0"/>
            </w:tcBorders>
            <w:vAlign w:val="center"/>
          </w:tcPr>
          <w:p w14:paraId="50399EBB">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人员伤亡</w:t>
            </w:r>
          </w:p>
          <w:p w14:paraId="4D8B46BF">
            <w:pPr>
              <w:spacing w:line="360" w:lineRule="exact"/>
              <w:ind w:firstLine="0" w:firstLineChars="0"/>
              <w:jc w:val="center"/>
              <w:rPr>
                <w:rFonts w:asciiTheme="minorHAnsi" w:hAnsiTheme="minorHAnsi" w:cstheme="minorHAnsi"/>
                <w:bCs/>
                <w:sz w:val="21"/>
                <w:szCs w:val="21"/>
              </w:rPr>
            </w:pPr>
            <w:r>
              <w:rPr>
                <w:rFonts w:asciiTheme="minorHAnsi" w:hAnsiTheme="minorHAnsi" w:cstheme="minorHAnsi"/>
                <w:bCs/>
                <w:sz w:val="21"/>
                <w:szCs w:val="21"/>
              </w:rPr>
              <w:t>财产损失</w:t>
            </w:r>
          </w:p>
        </w:tc>
        <w:tc>
          <w:tcPr>
            <w:tcW w:w="444" w:type="pct"/>
            <w:tcBorders>
              <w:top w:val="single" w:color="auto" w:sz="6" w:space="0"/>
              <w:left w:val="single" w:color="auto" w:sz="6" w:space="0"/>
              <w:bottom w:val="single" w:color="auto" w:sz="6" w:space="0"/>
              <w:right w:val="single" w:color="auto" w:sz="6" w:space="0"/>
            </w:tcBorders>
            <w:vAlign w:val="center"/>
          </w:tcPr>
          <w:p w14:paraId="7325ECEB">
            <w:pPr>
              <w:spacing w:line="360" w:lineRule="exact"/>
              <w:ind w:firstLine="0" w:firstLineChars="0"/>
              <w:jc w:val="center"/>
              <w:rPr>
                <w:rFonts w:asciiTheme="minorHAnsi" w:hAnsiTheme="minorHAnsi" w:cstheme="minorHAnsi"/>
                <w:sz w:val="21"/>
                <w:szCs w:val="21"/>
              </w:rPr>
            </w:pPr>
            <w:r>
              <w:rPr>
                <w:rFonts w:asciiTheme="minorHAnsi" w:hAnsiTheme="minorHAnsi" w:cstheme="minorHAnsi"/>
                <w:sz w:val="21"/>
                <w:szCs w:val="21"/>
              </w:rPr>
              <w:t>Ⅲ</w:t>
            </w:r>
          </w:p>
        </w:tc>
        <w:tc>
          <w:tcPr>
            <w:tcW w:w="1511" w:type="pct"/>
            <w:tcBorders>
              <w:top w:val="single" w:color="auto" w:sz="6" w:space="0"/>
              <w:left w:val="single" w:color="auto" w:sz="6" w:space="0"/>
              <w:bottom w:val="single" w:color="auto" w:sz="6" w:space="0"/>
              <w:right w:val="single" w:color="auto" w:sz="6" w:space="0"/>
            </w:tcBorders>
            <w:vAlign w:val="center"/>
          </w:tcPr>
          <w:p w14:paraId="10FEE3EB">
            <w:pPr>
              <w:spacing w:line="360" w:lineRule="exact"/>
              <w:ind w:firstLine="0" w:firstLineChars="0"/>
              <w:rPr>
                <w:rFonts w:asciiTheme="minorHAnsi" w:hAnsiTheme="minorHAnsi" w:cstheme="minorHAnsi"/>
                <w:bCs/>
                <w:sz w:val="21"/>
                <w:szCs w:val="21"/>
              </w:rPr>
            </w:pPr>
            <w:r>
              <w:rPr>
                <w:rFonts w:asciiTheme="minorHAnsi" w:hAnsiTheme="minorHAnsi" w:cstheme="minorHAnsi"/>
                <w:bCs/>
                <w:sz w:val="21"/>
                <w:szCs w:val="21"/>
              </w:rPr>
              <w:t>易燃易爆材料要妥善保管、处理；尽量不在易燃易爆物品附近点火；如必须动火应采取有效防火措施；在必要部位配备一定数量的灭火器材。</w:t>
            </w:r>
          </w:p>
        </w:tc>
      </w:tr>
    </w:tbl>
    <w:p w14:paraId="7A0B9EE2">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（2）</w:t>
      </w:r>
      <w:r>
        <w:rPr>
          <w:rFonts w:asciiTheme="minorHAnsi" w:hAnsiTheme="minorHAnsi" w:cstheme="minorHAnsi"/>
          <w:b/>
          <w:bCs/>
          <w:szCs w:val="28"/>
        </w:rPr>
        <w:t>安全检查表</w:t>
      </w:r>
    </w:p>
    <w:p w14:paraId="2ADB2EE0">
      <w:pPr>
        <w:snapToGrid w:val="0"/>
        <w:spacing w:line="360" w:lineRule="auto"/>
        <w:ind w:firstLine="0" w:firstLineChars="0"/>
        <w:jc w:val="center"/>
      </w:pPr>
      <w:r>
        <w:rPr>
          <w:rFonts w:hint="eastAsia"/>
        </w:rPr>
        <w:t>表</w:t>
      </w:r>
      <w:r>
        <w:t>3.7-10</w:t>
      </w:r>
      <w:r>
        <w:rPr>
          <w:rFonts w:hint="eastAsia"/>
        </w:rPr>
        <w:t xml:space="preserve">   防灭火子单元安全检查表</w:t>
      </w:r>
    </w:p>
    <w:tbl>
      <w:tblPr>
        <w:tblStyle w:val="54"/>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2931"/>
        <w:gridCol w:w="2122"/>
        <w:gridCol w:w="2939"/>
        <w:gridCol w:w="810"/>
      </w:tblGrid>
      <w:tr w14:paraId="4C954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35A21B12">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539" w:type="pct"/>
            <w:tcBorders>
              <w:top w:val="single" w:color="auto" w:sz="4" w:space="0"/>
              <w:left w:val="single" w:color="auto" w:sz="4" w:space="0"/>
              <w:bottom w:val="single" w:color="auto" w:sz="4" w:space="0"/>
              <w:right w:val="single" w:color="auto" w:sz="4" w:space="0"/>
            </w:tcBorders>
            <w:vAlign w:val="center"/>
          </w:tcPr>
          <w:p w14:paraId="26F55742">
            <w:pPr>
              <w:snapToGrid w:val="0"/>
              <w:spacing w:line="240" w:lineRule="auto"/>
              <w:ind w:right="-94"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114" w:type="pct"/>
            <w:tcBorders>
              <w:top w:val="single" w:color="auto" w:sz="4" w:space="0"/>
              <w:left w:val="single" w:color="auto" w:sz="4" w:space="0"/>
              <w:bottom w:val="single" w:color="auto" w:sz="4" w:space="0"/>
              <w:right w:val="single" w:color="auto" w:sz="4" w:space="0"/>
            </w:tcBorders>
            <w:vAlign w:val="center"/>
          </w:tcPr>
          <w:p w14:paraId="2D215106">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543" w:type="pct"/>
            <w:tcBorders>
              <w:top w:val="single" w:color="auto" w:sz="4" w:space="0"/>
              <w:left w:val="single" w:color="auto" w:sz="4" w:space="0"/>
              <w:bottom w:val="single" w:color="auto" w:sz="4" w:space="0"/>
              <w:right w:val="single" w:color="auto" w:sz="4" w:space="0"/>
            </w:tcBorders>
            <w:vAlign w:val="center"/>
          </w:tcPr>
          <w:p w14:paraId="722E290B">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可研情况及说明</w:t>
            </w:r>
          </w:p>
        </w:tc>
        <w:tc>
          <w:tcPr>
            <w:tcW w:w="425" w:type="pct"/>
            <w:tcBorders>
              <w:top w:val="single" w:color="auto" w:sz="4" w:space="0"/>
              <w:left w:val="single" w:color="auto" w:sz="4" w:space="0"/>
              <w:bottom w:val="single" w:color="auto" w:sz="4" w:space="0"/>
              <w:right w:val="single" w:color="auto" w:sz="4" w:space="0"/>
            </w:tcBorders>
            <w:vAlign w:val="center"/>
          </w:tcPr>
          <w:p w14:paraId="6FE99157">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6E79AAAB">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15276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1640C610">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539" w:type="pct"/>
            <w:tcBorders>
              <w:top w:val="single" w:color="auto" w:sz="4" w:space="0"/>
              <w:left w:val="single" w:color="auto" w:sz="4" w:space="0"/>
              <w:bottom w:val="single" w:color="auto" w:sz="4" w:space="0"/>
              <w:right w:val="single" w:color="auto" w:sz="4" w:space="0"/>
            </w:tcBorders>
            <w:vAlign w:val="center"/>
          </w:tcPr>
          <w:p w14:paraId="050A1709">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下列场所应设消火栓：</w:t>
            </w:r>
          </w:p>
          <w:p w14:paraId="6F226F29">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——内燃自行设备通行频繁的主要斜坡道和主要平硐；</w:t>
            </w:r>
          </w:p>
          <w:p w14:paraId="170F6F42">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——燃油储存硐室和加油站；</w:t>
            </w:r>
          </w:p>
          <w:p w14:paraId="4DFB0E8E">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——主要中段井底车场和无轨设备维修硐室。</w:t>
            </w:r>
          </w:p>
        </w:tc>
        <w:tc>
          <w:tcPr>
            <w:tcW w:w="1114" w:type="pct"/>
            <w:tcBorders>
              <w:top w:val="single" w:color="auto" w:sz="4" w:space="0"/>
              <w:left w:val="single" w:color="auto" w:sz="4" w:space="0"/>
              <w:bottom w:val="single" w:color="auto" w:sz="4" w:space="0"/>
              <w:right w:val="single" w:color="auto" w:sz="4" w:space="0"/>
            </w:tcBorders>
            <w:vAlign w:val="center"/>
          </w:tcPr>
          <w:p w14:paraId="5B70317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7DDF7D6A">
            <w:pPr>
              <w:snapToGrid w:val="0"/>
              <w:spacing w:line="240" w:lineRule="auto"/>
              <w:ind w:firstLine="0" w:firstLineChars="0"/>
              <w:jc w:val="center"/>
              <w:rPr>
                <w:rFonts w:asciiTheme="minorHAnsi" w:hAnsiTheme="minorHAnsi" w:cstheme="minorHAnsi"/>
                <w:sz w:val="21"/>
                <w:szCs w:val="24"/>
              </w:rPr>
            </w:pPr>
            <w:r>
              <w:rPr>
                <w:rFonts w:hint="eastAsia" w:asciiTheme="minorHAnsi" w:hAnsiTheme="minorHAnsi" w:cstheme="minorHAnsi"/>
                <w:sz w:val="21"/>
                <w:szCs w:val="24"/>
              </w:rPr>
              <w:t>（</w:t>
            </w:r>
            <w:r>
              <w:rPr>
                <w:rFonts w:asciiTheme="minorHAnsi" w:hAnsiTheme="minorHAnsi" w:cstheme="minorHAnsi"/>
                <w:sz w:val="21"/>
                <w:szCs w:val="24"/>
              </w:rPr>
              <w:t>GB16423-2020）</w:t>
            </w:r>
          </w:p>
          <w:p w14:paraId="0F33075F">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4"/>
              </w:rPr>
              <w:t>第</w:t>
            </w:r>
            <w:r>
              <w:rPr>
                <w:rFonts w:hint="eastAsia" w:asciiTheme="minorHAnsi" w:hAnsiTheme="minorHAnsi" w:cstheme="minorHAnsi"/>
                <w:sz w:val="21"/>
                <w:szCs w:val="21"/>
              </w:rPr>
              <w:t>6.9.1.3</w:t>
            </w:r>
            <w:r>
              <w:rPr>
                <w:rFonts w:asciiTheme="minorHAnsi" w:hAnsiTheme="minorHAnsi" w:cstheme="minorHAnsi"/>
                <w:sz w:val="21"/>
                <w:szCs w:val="24"/>
              </w:rPr>
              <w:t>条</w:t>
            </w:r>
          </w:p>
        </w:tc>
        <w:tc>
          <w:tcPr>
            <w:tcW w:w="1543" w:type="pct"/>
            <w:tcBorders>
              <w:top w:val="single" w:color="auto" w:sz="4" w:space="0"/>
              <w:left w:val="single" w:color="auto" w:sz="4" w:space="0"/>
              <w:bottom w:val="single" w:color="auto" w:sz="4" w:space="0"/>
              <w:right w:val="single" w:color="auto" w:sz="4" w:space="0"/>
            </w:tcBorders>
            <w:vAlign w:val="center"/>
          </w:tcPr>
          <w:p w14:paraId="33AE93B7">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在井下主要中段井底车场、采区斜坡道、溜破系统斜坡道和无轨设备组装维修硐室设消火栓。</w:t>
            </w:r>
          </w:p>
        </w:tc>
        <w:tc>
          <w:tcPr>
            <w:tcW w:w="425" w:type="pct"/>
            <w:tcBorders>
              <w:top w:val="single" w:color="auto" w:sz="4" w:space="0"/>
              <w:left w:val="single" w:color="auto" w:sz="4" w:space="0"/>
              <w:bottom w:val="single" w:color="auto" w:sz="4" w:space="0"/>
              <w:right w:val="single" w:color="auto" w:sz="4" w:space="0"/>
            </w:tcBorders>
            <w:vAlign w:val="center"/>
          </w:tcPr>
          <w:p w14:paraId="4B65A2E7">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r w14:paraId="071BC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67A2C523">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2</w:t>
            </w:r>
          </w:p>
        </w:tc>
        <w:tc>
          <w:tcPr>
            <w:tcW w:w="1539" w:type="pct"/>
            <w:tcBorders>
              <w:top w:val="single" w:color="auto" w:sz="4" w:space="0"/>
              <w:left w:val="single" w:color="auto" w:sz="4" w:space="0"/>
              <w:bottom w:val="single" w:color="auto" w:sz="4" w:space="0"/>
              <w:right w:val="single" w:color="auto" w:sz="4" w:space="0"/>
            </w:tcBorders>
            <w:vAlign w:val="center"/>
          </w:tcPr>
          <w:p w14:paraId="6A71C38D">
            <w:pPr>
              <w:snapToGrid w:val="0"/>
              <w:spacing w:line="240" w:lineRule="auto"/>
              <w:ind w:firstLine="0" w:firstLineChars="0"/>
              <w:jc w:val="left"/>
              <w:rPr>
                <w:rFonts w:asciiTheme="minorHAnsi" w:hAnsiTheme="minorHAnsi" w:cstheme="minorHAnsi"/>
                <w:sz w:val="21"/>
                <w:szCs w:val="21"/>
              </w:rPr>
            </w:pPr>
            <w:r>
              <w:rPr>
                <w:rFonts w:hint="eastAsia" w:asciiTheme="minorHAnsi" w:hAnsiTheme="minorHAnsi" w:cstheme="minorHAnsi"/>
                <w:sz w:val="21"/>
                <w:szCs w:val="21"/>
              </w:rPr>
              <w:t>斜坡道或巷道中的消火栓设置间距不大于100m；每个消火栓应配有水枪和水带，水带的长度应满足消火栓设置间距内的消防要求。</w:t>
            </w:r>
          </w:p>
        </w:tc>
        <w:tc>
          <w:tcPr>
            <w:tcW w:w="1114" w:type="pct"/>
            <w:tcBorders>
              <w:top w:val="single" w:color="auto" w:sz="4" w:space="0"/>
              <w:left w:val="single" w:color="auto" w:sz="4" w:space="0"/>
              <w:bottom w:val="single" w:color="auto" w:sz="4" w:space="0"/>
              <w:right w:val="single" w:color="auto" w:sz="4" w:space="0"/>
            </w:tcBorders>
            <w:vAlign w:val="center"/>
          </w:tcPr>
          <w:p w14:paraId="7D8F680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w:t>
            </w:r>
          </w:p>
          <w:p w14:paraId="0197B5C2">
            <w:pPr>
              <w:snapToGrid w:val="0"/>
              <w:spacing w:line="240" w:lineRule="auto"/>
              <w:ind w:firstLine="0" w:firstLineChars="0"/>
              <w:jc w:val="center"/>
              <w:rPr>
                <w:rFonts w:asciiTheme="minorHAnsi" w:hAnsiTheme="minorHAnsi" w:cstheme="minorHAnsi"/>
                <w:sz w:val="21"/>
                <w:szCs w:val="24"/>
              </w:rPr>
            </w:pPr>
            <w:r>
              <w:rPr>
                <w:rFonts w:hint="eastAsia" w:asciiTheme="minorHAnsi" w:hAnsiTheme="minorHAnsi" w:cstheme="minorHAnsi"/>
                <w:sz w:val="21"/>
                <w:szCs w:val="24"/>
              </w:rPr>
              <w:t>（</w:t>
            </w:r>
            <w:r>
              <w:rPr>
                <w:rFonts w:asciiTheme="minorHAnsi" w:hAnsiTheme="minorHAnsi" w:cstheme="minorHAnsi"/>
                <w:sz w:val="21"/>
                <w:szCs w:val="24"/>
              </w:rPr>
              <w:t>GB16423-2020）</w:t>
            </w:r>
          </w:p>
          <w:p w14:paraId="2967F162">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4"/>
              </w:rPr>
              <w:t>第</w:t>
            </w:r>
            <w:r>
              <w:rPr>
                <w:rFonts w:hint="eastAsia" w:asciiTheme="minorHAnsi" w:hAnsiTheme="minorHAnsi" w:cstheme="minorHAnsi"/>
                <w:sz w:val="21"/>
                <w:szCs w:val="21"/>
              </w:rPr>
              <w:t>6.9.1.4</w:t>
            </w:r>
            <w:r>
              <w:rPr>
                <w:rFonts w:asciiTheme="minorHAnsi" w:hAnsiTheme="minorHAnsi" w:cstheme="minorHAnsi"/>
                <w:sz w:val="21"/>
                <w:szCs w:val="24"/>
              </w:rPr>
              <w:t>条</w:t>
            </w:r>
          </w:p>
        </w:tc>
        <w:tc>
          <w:tcPr>
            <w:tcW w:w="1543" w:type="pct"/>
            <w:tcBorders>
              <w:top w:val="single" w:color="auto" w:sz="4" w:space="0"/>
              <w:left w:val="single" w:color="auto" w:sz="4" w:space="0"/>
              <w:bottom w:val="single" w:color="auto" w:sz="4" w:space="0"/>
              <w:right w:val="single" w:color="auto" w:sz="4" w:space="0"/>
            </w:tcBorders>
            <w:vAlign w:val="center"/>
          </w:tcPr>
          <w:p w14:paraId="13A40B6E">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利用井下供水管网，每50～100m设支管和供水管网接头，作为消防用水。</w:t>
            </w:r>
          </w:p>
        </w:tc>
        <w:tc>
          <w:tcPr>
            <w:tcW w:w="425" w:type="pct"/>
            <w:tcBorders>
              <w:top w:val="single" w:color="auto" w:sz="4" w:space="0"/>
              <w:left w:val="single" w:color="auto" w:sz="4" w:space="0"/>
              <w:bottom w:val="single" w:color="auto" w:sz="4" w:space="0"/>
              <w:right w:val="single" w:color="auto" w:sz="4" w:space="0"/>
            </w:tcBorders>
            <w:vAlign w:val="center"/>
          </w:tcPr>
          <w:p w14:paraId="175731BD">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r w14:paraId="7B6B0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71957454">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3</w:t>
            </w:r>
          </w:p>
        </w:tc>
        <w:tc>
          <w:tcPr>
            <w:tcW w:w="1539" w:type="pct"/>
            <w:tcBorders>
              <w:top w:val="single" w:color="auto" w:sz="4" w:space="0"/>
              <w:left w:val="single" w:color="auto" w:sz="4" w:space="0"/>
              <w:bottom w:val="single" w:color="auto" w:sz="4" w:space="0"/>
              <w:right w:val="single" w:color="auto" w:sz="4" w:space="0"/>
            </w:tcBorders>
            <w:vAlign w:val="center"/>
          </w:tcPr>
          <w:p w14:paraId="6B2FBA73">
            <w:pPr>
              <w:snapToGrid w:val="0"/>
              <w:spacing w:line="240" w:lineRule="auto"/>
              <w:ind w:firstLine="0" w:firstLineChars="0"/>
              <w:jc w:val="left"/>
              <w:rPr>
                <w:rFonts w:asciiTheme="minorHAnsi" w:hAnsiTheme="minorHAnsi" w:cstheme="minorHAnsi"/>
                <w:sz w:val="21"/>
                <w:szCs w:val="24"/>
              </w:rPr>
            </w:pPr>
            <w:r>
              <w:rPr>
                <w:rFonts w:hint="eastAsia" w:asciiTheme="minorHAnsi" w:hAnsiTheme="minorHAnsi" w:cstheme="minorHAnsi"/>
                <w:sz w:val="21"/>
                <w:szCs w:val="24"/>
              </w:rPr>
              <w:t>井下消防系统应符合下列规定：</w:t>
            </w:r>
          </w:p>
          <w:p w14:paraId="2110CE82">
            <w:pPr>
              <w:snapToGrid w:val="0"/>
              <w:spacing w:line="240" w:lineRule="auto"/>
              <w:ind w:firstLine="0" w:firstLineChars="0"/>
              <w:jc w:val="left"/>
              <w:rPr>
                <w:rFonts w:asciiTheme="minorHAnsi" w:hAnsiTheme="minorHAnsi" w:cstheme="minorHAnsi"/>
                <w:sz w:val="21"/>
                <w:szCs w:val="24"/>
              </w:rPr>
            </w:pPr>
            <w:r>
              <w:rPr>
                <w:rFonts w:hint="eastAsia" w:asciiTheme="minorHAnsi" w:hAnsiTheme="minorHAnsi" w:cstheme="minorHAnsi"/>
                <w:sz w:val="21"/>
                <w:szCs w:val="24"/>
              </w:rPr>
              <w:t>——井下消防供水水池应能服务井下所有作业地点，水池容积不小于200m</w:t>
            </w:r>
            <w:r>
              <w:rPr>
                <w:rFonts w:hint="eastAsia" w:asciiTheme="minorHAnsi" w:hAnsiTheme="minorHAnsi" w:cstheme="minorHAnsi"/>
                <w:sz w:val="21"/>
                <w:szCs w:val="24"/>
                <w:vertAlign w:val="superscript"/>
              </w:rPr>
              <w:t>3</w:t>
            </w:r>
            <w:r>
              <w:rPr>
                <w:rFonts w:hint="eastAsia" w:asciiTheme="minorHAnsi" w:hAnsiTheme="minorHAnsi" w:cstheme="minorHAnsi"/>
                <w:sz w:val="21"/>
                <w:szCs w:val="24"/>
              </w:rPr>
              <w:t>。</w:t>
            </w:r>
          </w:p>
          <w:p w14:paraId="1CCF071A">
            <w:pPr>
              <w:snapToGrid w:val="0"/>
              <w:spacing w:line="240" w:lineRule="auto"/>
              <w:ind w:firstLine="0" w:firstLineChars="0"/>
              <w:jc w:val="left"/>
              <w:rPr>
                <w:rFonts w:asciiTheme="minorHAnsi" w:hAnsiTheme="minorHAnsi" w:cstheme="minorHAnsi"/>
                <w:sz w:val="21"/>
                <w:szCs w:val="24"/>
              </w:rPr>
            </w:pPr>
            <w:r>
              <w:rPr>
                <w:rFonts w:hint="eastAsia" w:asciiTheme="minorHAnsi" w:hAnsiTheme="minorHAnsi" w:cstheme="minorHAnsi"/>
                <w:sz w:val="21"/>
                <w:szCs w:val="24"/>
              </w:rPr>
              <w:t>——消火栓栓口动压力应为0.25MPa～0.5MPa。供水系统压力过大时应采取减压措施。</w:t>
            </w:r>
          </w:p>
          <w:p w14:paraId="4D503AEC">
            <w:pPr>
              <w:snapToGrid w:val="0"/>
              <w:spacing w:line="240" w:lineRule="auto"/>
              <w:ind w:firstLine="0" w:firstLineChars="0"/>
              <w:jc w:val="left"/>
              <w:rPr>
                <w:rFonts w:asciiTheme="minorHAnsi" w:hAnsiTheme="minorHAnsi" w:cstheme="minorHAnsi"/>
                <w:sz w:val="21"/>
                <w:szCs w:val="24"/>
              </w:rPr>
            </w:pPr>
            <w:r>
              <w:rPr>
                <w:rFonts w:hint="eastAsia" w:asciiTheme="minorHAnsi" w:hAnsiTheme="minorHAnsi" w:cstheme="minorHAnsi"/>
                <w:sz w:val="21"/>
                <w:szCs w:val="24"/>
              </w:rPr>
              <w:t>——消火栓最不利点的水枪充实水柱不小于7m。</w:t>
            </w:r>
          </w:p>
          <w:p w14:paraId="0D9CB421">
            <w:pPr>
              <w:snapToGrid w:val="0"/>
              <w:spacing w:line="240" w:lineRule="auto"/>
              <w:ind w:firstLine="0" w:firstLineChars="0"/>
              <w:jc w:val="left"/>
              <w:rPr>
                <w:rFonts w:asciiTheme="minorHAnsi" w:hAnsiTheme="minorHAnsi" w:cstheme="minorHAnsi"/>
                <w:sz w:val="21"/>
                <w:szCs w:val="24"/>
              </w:rPr>
            </w:pPr>
            <w:r>
              <w:rPr>
                <w:rFonts w:hint="eastAsia" w:asciiTheme="minorHAnsi" w:hAnsiTheme="minorHAnsi" w:cstheme="minorHAnsi"/>
                <w:sz w:val="21"/>
                <w:szCs w:val="24"/>
              </w:rPr>
              <w:t>——消防主水管内径不小于80mm。</w:t>
            </w:r>
          </w:p>
        </w:tc>
        <w:tc>
          <w:tcPr>
            <w:tcW w:w="1114" w:type="pct"/>
            <w:tcBorders>
              <w:top w:val="single" w:color="auto" w:sz="4" w:space="0"/>
              <w:left w:val="single" w:color="auto" w:sz="4" w:space="0"/>
              <w:bottom w:val="single" w:color="auto" w:sz="4" w:space="0"/>
              <w:right w:val="single" w:color="auto" w:sz="4" w:space="0"/>
            </w:tcBorders>
            <w:vAlign w:val="center"/>
          </w:tcPr>
          <w:p w14:paraId="26453810">
            <w:pPr>
              <w:snapToGrid w:val="0"/>
              <w:spacing w:line="240" w:lineRule="auto"/>
              <w:ind w:firstLine="0" w:firstLineChars="0"/>
              <w:jc w:val="center"/>
              <w:rPr>
                <w:rFonts w:asciiTheme="minorHAnsi" w:hAnsiTheme="minorHAnsi" w:cstheme="minorHAnsi"/>
                <w:sz w:val="21"/>
                <w:szCs w:val="24"/>
              </w:rPr>
            </w:pPr>
            <w:r>
              <w:rPr>
                <w:rFonts w:asciiTheme="minorHAnsi" w:hAnsiTheme="minorHAnsi" w:cstheme="minorHAnsi"/>
                <w:sz w:val="21"/>
                <w:szCs w:val="21"/>
              </w:rPr>
              <w:t>《金属非金属矿山安全规程》</w:t>
            </w:r>
            <w:r>
              <w:rPr>
                <w:rFonts w:hint="eastAsia" w:asciiTheme="minorHAnsi" w:hAnsiTheme="minorHAnsi" w:cstheme="minorHAnsi"/>
                <w:sz w:val="21"/>
                <w:szCs w:val="21"/>
              </w:rPr>
              <w:t>（</w:t>
            </w:r>
            <w:r>
              <w:rPr>
                <w:rFonts w:asciiTheme="minorHAnsi" w:hAnsiTheme="minorHAnsi" w:cstheme="minorHAnsi"/>
                <w:sz w:val="21"/>
                <w:szCs w:val="24"/>
              </w:rPr>
              <w:t>GB16423-2020）</w:t>
            </w:r>
          </w:p>
          <w:p w14:paraId="4FB701F8">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4"/>
              </w:rPr>
              <w:t>第6.9.1.5条</w:t>
            </w:r>
          </w:p>
        </w:tc>
        <w:tc>
          <w:tcPr>
            <w:tcW w:w="1543" w:type="pct"/>
            <w:tcBorders>
              <w:top w:val="single" w:color="auto" w:sz="4" w:space="0"/>
              <w:left w:val="single" w:color="auto" w:sz="4" w:space="0"/>
              <w:bottom w:val="single" w:color="auto" w:sz="4" w:space="0"/>
              <w:right w:val="single" w:color="auto" w:sz="4" w:space="0"/>
            </w:tcBorders>
            <w:vAlign w:val="center"/>
          </w:tcPr>
          <w:p w14:paraId="3AD378D6">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井下用水、充填生产水、消防用水由</w:t>
            </w:r>
            <w:r>
              <w:rPr>
                <w:rFonts w:hint="eastAsia" w:asciiTheme="minorHAnsi" w:hAnsiTheme="minorHAnsi" w:cstheme="minorHAnsi"/>
                <w:sz w:val="21"/>
                <w:szCs w:val="24"/>
              </w:rPr>
              <w:t>厂区</w:t>
            </w:r>
            <w:r>
              <w:rPr>
                <w:rFonts w:asciiTheme="minorHAnsi" w:hAnsiTheme="minorHAnsi" w:cstheme="minorHAnsi"/>
                <w:sz w:val="21"/>
                <w:szCs w:val="24"/>
              </w:rPr>
              <w:t>3000m</w:t>
            </w:r>
            <w:r>
              <w:rPr>
                <w:rFonts w:asciiTheme="minorHAnsi" w:hAnsiTheme="minorHAnsi" w:cstheme="minorHAnsi"/>
                <w:sz w:val="21"/>
                <w:szCs w:val="24"/>
                <w:vertAlign w:val="superscript"/>
              </w:rPr>
              <w:t>3</w:t>
            </w:r>
            <w:r>
              <w:rPr>
                <w:rFonts w:asciiTheme="minorHAnsi" w:hAnsiTheme="minorHAnsi" w:cstheme="minorHAnsi"/>
                <w:sz w:val="21"/>
                <w:szCs w:val="24"/>
              </w:rPr>
              <w:t>的水池及供水管网补给。</w:t>
            </w:r>
            <w:r>
              <w:rPr>
                <w:rFonts w:hint="eastAsia" w:asciiTheme="minorHAnsi" w:hAnsiTheme="minorHAnsi" w:cstheme="minorHAnsi"/>
                <w:sz w:val="21"/>
                <w:szCs w:val="24"/>
              </w:rPr>
              <w:t>每个消火栓均配备消防水枪和消防水带，水带长度满足消火栓设置间距内的消防要求，消火栓栓口动压力0.25MPa~0.5MPa，消火栓最不利点的水枪充实水柱不小于7m。</w:t>
            </w:r>
          </w:p>
        </w:tc>
        <w:tc>
          <w:tcPr>
            <w:tcW w:w="425" w:type="pct"/>
            <w:tcBorders>
              <w:top w:val="single" w:color="auto" w:sz="4" w:space="0"/>
              <w:left w:val="single" w:color="auto" w:sz="4" w:space="0"/>
              <w:bottom w:val="single" w:color="auto" w:sz="4" w:space="0"/>
              <w:right w:val="single" w:color="auto" w:sz="4" w:space="0"/>
            </w:tcBorders>
            <w:vAlign w:val="center"/>
          </w:tcPr>
          <w:p w14:paraId="5DCF793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097F4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2391AD75">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539" w:type="pct"/>
            <w:tcBorders>
              <w:top w:val="single" w:color="auto" w:sz="4" w:space="0"/>
              <w:left w:val="single" w:color="auto" w:sz="4" w:space="0"/>
              <w:bottom w:val="single" w:color="auto" w:sz="4" w:space="0"/>
              <w:right w:val="single" w:color="auto" w:sz="4" w:space="0"/>
            </w:tcBorders>
            <w:vAlign w:val="center"/>
          </w:tcPr>
          <w:p w14:paraId="26B82205">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下列地点或区域应配置灭火器：有人员和设备通行的主要进风巷道、进风井井口建筑、主要通风机房和压入式辅助通风机房、风硐及暖风道；人员提升竖井的马头门、井底车场；变压器室、变配电所、电机车库、维修硐室、破碎硐室、带式输送机驱动站等主要机电设备硐室、油库和加油站、爆破器材库、材料库、避灾硐室、休息或排班硐室等；</w:t>
            </w:r>
          </w:p>
          <w:p w14:paraId="00FDDC5B">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内燃自行设备通行频繁的斜坡道和巷道，灭火器配置点间距不大于300m。</w:t>
            </w:r>
          </w:p>
        </w:tc>
        <w:tc>
          <w:tcPr>
            <w:tcW w:w="1114" w:type="pct"/>
            <w:tcBorders>
              <w:top w:val="single" w:color="auto" w:sz="4" w:space="0"/>
              <w:left w:val="single" w:color="auto" w:sz="4" w:space="0"/>
              <w:bottom w:val="single" w:color="auto" w:sz="4" w:space="0"/>
              <w:right w:val="single" w:color="auto" w:sz="4" w:space="0"/>
            </w:tcBorders>
            <w:vAlign w:val="center"/>
          </w:tcPr>
          <w:p w14:paraId="25FB4DED">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w:t>
            </w:r>
            <w:r>
              <w:rPr>
                <w:rFonts w:asciiTheme="minorHAnsi" w:hAnsiTheme="minorHAnsi" w:cstheme="minorHAnsi"/>
                <w:kern w:val="0"/>
                <w:sz w:val="21"/>
                <w:szCs w:val="21"/>
              </w:rPr>
              <w:t>6.9.1.7条</w:t>
            </w:r>
          </w:p>
        </w:tc>
        <w:tc>
          <w:tcPr>
            <w:tcW w:w="1543" w:type="pct"/>
            <w:tcBorders>
              <w:top w:val="single" w:color="auto" w:sz="4" w:space="0"/>
              <w:left w:val="single" w:color="auto" w:sz="4" w:space="0"/>
              <w:bottom w:val="single" w:color="auto" w:sz="4" w:space="0"/>
              <w:right w:val="single" w:color="auto" w:sz="4" w:space="0"/>
            </w:tcBorders>
            <w:vAlign w:val="center"/>
          </w:tcPr>
          <w:p w14:paraId="032824A3">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在井下主要中段井底车场、采区斜坡道和无轨设备组装维修硐室设消火栓。沿井下巷道内的消防管路每隔50m～100m设一个消火栓。每个消火栓均配备消防水枪和消防水带，水带长度满足消火栓设置间距内的消防要求，消火栓栓口动压力0.25MPa~0.5MPa，消火栓最不利点的水枪充实水柱不小于7m。</w:t>
            </w:r>
          </w:p>
          <w:p w14:paraId="36931DE3">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井下各变电硐室、修理硐室、主要运输水平按《建筑灭火器配置设计规范》配备干粉灭火器</w:t>
            </w:r>
          </w:p>
        </w:tc>
        <w:tc>
          <w:tcPr>
            <w:tcW w:w="425" w:type="pct"/>
            <w:tcBorders>
              <w:top w:val="single" w:color="auto" w:sz="4" w:space="0"/>
              <w:left w:val="single" w:color="auto" w:sz="4" w:space="0"/>
              <w:bottom w:val="single" w:color="auto" w:sz="4" w:space="0"/>
              <w:right w:val="single" w:color="auto" w:sz="4" w:space="0"/>
            </w:tcBorders>
            <w:vAlign w:val="center"/>
          </w:tcPr>
          <w:p w14:paraId="44EE6AA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4AF4C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4BA7FDAC">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5</w:t>
            </w:r>
          </w:p>
        </w:tc>
        <w:tc>
          <w:tcPr>
            <w:tcW w:w="1539" w:type="pct"/>
            <w:tcBorders>
              <w:top w:val="single" w:color="auto" w:sz="4" w:space="0"/>
              <w:left w:val="single" w:color="auto" w:sz="4" w:space="0"/>
              <w:bottom w:val="single" w:color="auto" w:sz="4" w:space="0"/>
              <w:right w:val="single" w:color="auto" w:sz="4" w:space="0"/>
            </w:tcBorders>
            <w:vAlign w:val="center"/>
          </w:tcPr>
          <w:p w14:paraId="06BB9252">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运送燃油的油罐不得与其他物料混装。运油车辆的显著位置应有“严禁烟火”标志。运油车辆应配备消防器材。</w:t>
            </w:r>
          </w:p>
        </w:tc>
        <w:tc>
          <w:tcPr>
            <w:tcW w:w="1114" w:type="pct"/>
            <w:tcBorders>
              <w:top w:val="single" w:color="auto" w:sz="4" w:space="0"/>
              <w:left w:val="single" w:color="auto" w:sz="4" w:space="0"/>
              <w:bottom w:val="single" w:color="auto" w:sz="4" w:space="0"/>
              <w:right w:val="single" w:color="auto" w:sz="4" w:space="0"/>
            </w:tcBorders>
            <w:vAlign w:val="center"/>
          </w:tcPr>
          <w:p w14:paraId="64E8F74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《金属非金属矿山安全规程》（GB16423-2020）第</w:t>
            </w:r>
            <w:r>
              <w:rPr>
                <w:rFonts w:hint="eastAsia" w:asciiTheme="minorHAnsi" w:hAnsiTheme="minorHAnsi" w:cstheme="minorHAnsi"/>
                <w:kern w:val="0"/>
                <w:sz w:val="21"/>
                <w:szCs w:val="21"/>
              </w:rPr>
              <w:t>6.9.1.12</w:t>
            </w:r>
            <w:r>
              <w:rPr>
                <w:rFonts w:asciiTheme="minorHAnsi" w:hAnsiTheme="minorHAnsi" w:cstheme="minorHAnsi"/>
                <w:kern w:val="0"/>
                <w:sz w:val="21"/>
                <w:szCs w:val="21"/>
              </w:rPr>
              <w:t>条</w:t>
            </w:r>
          </w:p>
        </w:tc>
        <w:tc>
          <w:tcPr>
            <w:tcW w:w="1543" w:type="pct"/>
            <w:tcBorders>
              <w:top w:val="single" w:color="auto" w:sz="4" w:space="0"/>
              <w:left w:val="single" w:color="auto" w:sz="4" w:space="0"/>
              <w:bottom w:val="single" w:color="auto" w:sz="4" w:space="0"/>
              <w:right w:val="single" w:color="auto" w:sz="4" w:space="0"/>
            </w:tcBorders>
            <w:vAlign w:val="center"/>
          </w:tcPr>
          <w:p w14:paraId="586448EC">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可研未提及运油车辆消防器材配备要求。</w:t>
            </w:r>
          </w:p>
        </w:tc>
        <w:tc>
          <w:tcPr>
            <w:tcW w:w="425" w:type="pct"/>
            <w:tcBorders>
              <w:top w:val="single" w:color="auto" w:sz="4" w:space="0"/>
              <w:left w:val="single" w:color="auto" w:sz="4" w:space="0"/>
              <w:bottom w:val="single" w:color="auto" w:sz="4" w:space="0"/>
              <w:right w:val="single" w:color="auto" w:sz="4" w:space="0"/>
            </w:tcBorders>
            <w:vAlign w:val="center"/>
          </w:tcPr>
          <w:p w14:paraId="1A4E5A8E">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r w14:paraId="6D6D6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pct"/>
            <w:tcBorders>
              <w:top w:val="single" w:color="auto" w:sz="4" w:space="0"/>
              <w:left w:val="single" w:color="auto" w:sz="4" w:space="0"/>
              <w:bottom w:val="single" w:color="auto" w:sz="4" w:space="0"/>
              <w:right w:val="single" w:color="auto" w:sz="4" w:space="0"/>
            </w:tcBorders>
            <w:vAlign w:val="center"/>
          </w:tcPr>
          <w:p w14:paraId="72DADC31">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1539" w:type="pct"/>
            <w:tcBorders>
              <w:top w:val="single" w:color="auto" w:sz="4" w:space="0"/>
              <w:left w:val="single" w:color="auto" w:sz="4" w:space="0"/>
              <w:bottom w:val="single" w:color="auto" w:sz="4" w:space="0"/>
              <w:right w:val="single" w:color="auto" w:sz="4" w:space="0"/>
            </w:tcBorders>
            <w:vAlign w:val="center"/>
          </w:tcPr>
          <w:p w14:paraId="513E493F">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无轨设备应符合下列规定：每台设备均应配备灭火装置。</w:t>
            </w:r>
          </w:p>
        </w:tc>
        <w:tc>
          <w:tcPr>
            <w:tcW w:w="1114" w:type="pct"/>
            <w:tcBorders>
              <w:top w:val="single" w:color="auto" w:sz="4" w:space="0"/>
              <w:left w:val="single" w:color="auto" w:sz="4" w:space="0"/>
              <w:bottom w:val="single" w:color="auto" w:sz="4" w:space="0"/>
              <w:right w:val="single" w:color="auto" w:sz="4" w:space="0"/>
            </w:tcBorders>
            <w:vAlign w:val="center"/>
          </w:tcPr>
          <w:p w14:paraId="5D8CE30E">
            <w:pPr>
              <w:adjustRightInd w:val="0"/>
              <w:snapToGrid w:val="0"/>
              <w:spacing w:line="240" w:lineRule="auto"/>
              <w:ind w:firstLine="0" w:firstLineChars="0"/>
              <w:jc w:val="center"/>
              <w:rPr>
                <w:rFonts w:asciiTheme="minorHAnsi" w:hAnsiTheme="minorHAnsi" w:cstheme="minorHAnsi"/>
                <w:sz w:val="21"/>
                <w:szCs w:val="24"/>
              </w:rPr>
            </w:pPr>
            <w:r>
              <w:rPr>
                <w:rFonts w:asciiTheme="minorHAnsi" w:hAnsiTheme="minorHAnsi" w:cstheme="minorHAnsi"/>
                <w:sz w:val="21"/>
                <w:szCs w:val="21"/>
              </w:rPr>
              <w:t>《金属非金属矿山安全规程》（GB16423-2020）第</w:t>
            </w:r>
            <w:r>
              <w:rPr>
                <w:rFonts w:asciiTheme="minorHAnsi" w:hAnsiTheme="minorHAnsi" w:cstheme="minorHAnsi"/>
                <w:sz w:val="21"/>
                <w:szCs w:val="24"/>
              </w:rPr>
              <w:t>6.3.4.2条</w:t>
            </w:r>
          </w:p>
        </w:tc>
        <w:tc>
          <w:tcPr>
            <w:tcW w:w="1543" w:type="pct"/>
            <w:tcBorders>
              <w:top w:val="single" w:color="auto" w:sz="4" w:space="0"/>
              <w:left w:val="single" w:color="auto" w:sz="4" w:space="0"/>
              <w:bottom w:val="single" w:color="auto" w:sz="4" w:space="0"/>
              <w:right w:val="single" w:color="auto" w:sz="4" w:space="0"/>
            </w:tcBorders>
            <w:vAlign w:val="center"/>
          </w:tcPr>
          <w:p w14:paraId="00EF82E1">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设计无轨运输设备配备灭火器。</w:t>
            </w:r>
          </w:p>
        </w:tc>
        <w:tc>
          <w:tcPr>
            <w:tcW w:w="425" w:type="pct"/>
            <w:tcBorders>
              <w:top w:val="single" w:color="auto" w:sz="4" w:space="0"/>
              <w:left w:val="single" w:color="auto" w:sz="4" w:space="0"/>
              <w:bottom w:val="single" w:color="auto" w:sz="4" w:space="0"/>
              <w:right w:val="single" w:color="auto" w:sz="4" w:space="0"/>
            </w:tcBorders>
            <w:vAlign w:val="center"/>
          </w:tcPr>
          <w:p w14:paraId="7F7CAFB3">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bl>
    <w:p w14:paraId="1A36D44B">
      <w:pPr>
        <w:keepNext/>
        <w:keepLines/>
        <w:adjustRightInd w:val="0"/>
        <w:snapToGrid w:val="0"/>
        <w:spacing w:line="360" w:lineRule="auto"/>
        <w:ind w:firstLine="0" w:firstLineChars="0"/>
        <w:rPr>
          <w:rFonts w:asciiTheme="minorHAnsi" w:hAnsiTheme="minorHAnsi" w:cstheme="minorHAnsi"/>
          <w:b/>
          <w:bCs/>
          <w:szCs w:val="28"/>
        </w:rPr>
      </w:pPr>
      <w:r>
        <w:rPr>
          <w:rFonts w:hint="eastAsia" w:asciiTheme="minorHAnsi" w:hAnsiTheme="minorHAnsi" w:cstheme="minorHAnsi"/>
          <w:b/>
          <w:bCs/>
          <w:szCs w:val="28"/>
        </w:rPr>
        <w:t>（3）</w:t>
      </w:r>
      <w:r>
        <w:rPr>
          <w:rFonts w:asciiTheme="minorHAnsi" w:hAnsiTheme="minorHAnsi" w:cstheme="minorHAnsi"/>
          <w:b/>
          <w:bCs/>
          <w:szCs w:val="28"/>
        </w:rPr>
        <w:t>单元评价小结</w:t>
      </w:r>
    </w:p>
    <w:p w14:paraId="447AF638">
      <w:pPr>
        <w:spacing w:line="360" w:lineRule="auto"/>
        <w:ind w:firstLine="560"/>
        <w:rPr>
          <w:rFonts w:asciiTheme="minorHAnsi" w:hAnsiTheme="minorHAnsi" w:cstheme="minorHAnsi"/>
          <w:szCs w:val="28"/>
        </w:rPr>
      </w:pPr>
      <w:r>
        <w:rPr>
          <w:rFonts w:asciiTheme="minorHAnsi" w:hAnsiTheme="minorHAnsi" w:cstheme="minorHAnsi"/>
          <w:szCs w:val="28"/>
        </w:rPr>
        <w:t>灭火系统存在的主要危险有害因素为危险物料火灾、爆炸，其危险等级为Ⅲ级，应加以重视。采取合理的措施后，以上危险有害因素能控制在可接受范围内。</w:t>
      </w:r>
      <w:bookmarkStart w:id="126" w:name="_Toc26707"/>
    </w:p>
    <w:p w14:paraId="6D25CF8B">
      <w:pPr>
        <w:spacing w:line="360" w:lineRule="auto"/>
        <w:ind w:firstLine="560"/>
        <w:rPr>
          <w:rFonts w:asciiTheme="minorHAnsi" w:hAnsiTheme="minorHAnsi" w:cstheme="minorHAnsi"/>
          <w:szCs w:val="28"/>
        </w:rPr>
      </w:pPr>
      <w:r>
        <w:rPr>
          <w:rFonts w:asciiTheme="minorHAnsi" w:hAnsiTheme="minorHAnsi" w:cstheme="minorHAnsi"/>
          <w:szCs w:val="28"/>
        </w:rPr>
        <w:t>下一阶段设计中应完善的问题有：</w:t>
      </w:r>
    </w:p>
    <w:p w14:paraId="7B3742C2">
      <w:pPr>
        <w:spacing w:line="360" w:lineRule="auto"/>
        <w:ind w:firstLine="560"/>
        <w:rPr>
          <w:rFonts w:asciiTheme="minorHAnsi" w:hAnsiTheme="minorHAnsi" w:cstheme="minorHAnsi"/>
          <w:szCs w:val="28"/>
        </w:rPr>
      </w:pPr>
      <w:r>
        <w:rPr>
          <w:rFonts w:hint="eastAsia" w:asciiTheme="minorHAnsi" w:hAnsiTheme="minorHAnsi" w:cstheme="minorHAnsi"/>
          <w:szCs w:val="28"/>
        </w:rPr>
        <w:t>1）下一步设计阶段应对井下运油车辆消防器材配备提出要求。</w:t>
      </w:r>
    </w:p>
    <w:p w14:paraId="5218C52D">
      <w:pPr>
        <w:spacing w:line="360" w:lineRule="auto"/>
        <w:ind w:firstLine="560"/>
        <w:rPr>
          <w:rFonts w:asciiTheme="minorHAnsi" w:hAnsiTheme="minorHAnsi" w:cstheme="minorHAnsi"/>
          <w:szCs w:val="28"/>
        </w:rPr>
      </w:pPr>
      <w:r>
        <w:rPr>
          <w:rFonts w:hint="eastAsia" w:asciiTheme="minorHAnsi" w:hAnsiTheme="minorHAnsi" w:cstheme="minorHAnsi"/>
          <w:szCs w:val="28"/>
        </w:rPr>
        <w:t>2）下一步设计阶段应补充井下灭火用高位水池水位监测与报警措施。</w:t>
      </w:r>
    </w:p>
    <w:p w14:paraId="3C44AC4B">
      <w:pPr>
        <w:pStyle w:val="4"/>
        <w:spacing w:before="190" w:after="190" w:line="360" w:lineRule="exact"/>
        <w:rPr>
          <w:rFonts w:asciiTheme="minorHAnsi" w:hAnsiTheme="minorHAnsi" w:cstheme="minorHAnsi"/>
        </w:rPr>
      </w:pPr>
      <w:bookmarkStart w:id="127" w:name="_Toc199426944"/>
      <w:bookmarkStart w:id="128" w:name="_Hlk173247790"/>
      <w:r>
        <w:rPr>
          <w:rFonts w:asciiTheme="minorHAnsi" w:hAnsiTheme="minorHAnsi" w:cstheme="minorHAnsi"/>
        </w:rPr>
        <w:t>3.8矿山供配电设施单元</w:t>
      </w:r>
      <w:bookmarkEnd w:id="127"/>
    </w:p>
    <w:p w14:paraId="31928CF1">
      <w:pPr>
        <w:adjustRightInd w:val="0"/>
        <w:snapToGrid w:val="0"/>
        <w:spacing w:line="360" w:lineRule="auto"/>
        <w:ind w:firstLine="0" w:firstLineChars="0"/>
        <w:outlineLvl w:val="2"/>
        <w:rPr>
          <w:rFonts w:asciiTheme="minorHAnsi" w:hAnsiTheme="minorHAnsi" w:cstheme="minorHAnsi"/>
          <w:b/>
          <w:szCs w:val="28"/>
        </w:rPr>
      </w:pPr>
      <w:bookmarkStart w:id="129" w:name="_Toc466027988"/>
      <w:r>
        <w:rPr>
          <w:rFonts w:asciiTheme="minorHAnsi" w:hAnsiTheme="minorHAnsi" w:cstheme="minorHAnsi"/>
          <w:b/>
          <w:szCs w:val="28"/>
        </w:rPr>
        <w:t>3.8.1危险、有害因素辨识与分析</w:t>
      </w:r>
      <w:bookmarkEnd w:id="129"/>
    </w:p>
    <w:p w14:paraId="5E35CF44">
      <w:pPr>
        <w:snapToGrid w:val="0"/>
        <w:spacing w:line="360" w:lineRule="auto"/>
        <w:ind w:firstLine="560"/>
        <w:rPr>
          <w:rFonts w:asciiTheme="minorHAnsi" w:hAnsiTheme="minorHAnsi" w:cstheme="minorHAnsi"/>
          <w:kern w:val="0"/>
          <w:szCs w:val="24"/>
        </w:rPr>
      </w:pPr>
      <w:r>
        <w:rPr>
          <w:rFonts w:asciiTheme="minorHAnsi" w:hAnsiTheme="minorHAnsi" w:cstheme="minorHAnsi"/>
          <w:kern w:val="0"/>
          <w:szCs w:val="24"/>
        </w:rPr>
        <w:t>该单元存在的主要危险、有害因素有：</w:t>
      </w:r>
    </w:p>
    <w:p w14:paraId="515D5C1D">
      <w:pPr>
        <w:snapToGrid w:val="0"/>
        <w:spacing w:line="360" w:lineRule="auto"/>
        <w:ind w:firstLine="560"/>
        <w:rPr>
          <w:rFonts w:asciiTheme="minorHAnsi" w:hAnsiTheme="minorHAnsi" w:cstheme="minorHAnsi"/>
          <w:kern w:val="0"/>
          <w:szCs w:val="24"/>
        </w:rPr>
      </w:pPr>
      <w:r>
        <w:rPr>
          <w:rFonts w:hint="eastAsia" w:asciiTheme="minorHAnsi" w:hAnsiTheme="minorHAnsi" w:cstheme="minorHAnsi"/>
          <w:kern w:val="0"/>
          <w:szCs w:val="24"/>
        </w:rPr>
        <w:t>（1）</w:t>
      </w:r>
      <w:r>
        <w:rPr>
          <w:rFonts w:asciiTheme="minorHAnsi" w:hAnsiTheme="minorHAnsi" w:cstheme="minorHAnsi"/>
          <w:kern w:val="0"/>
          <w:szCs w:val="24"/>
        </w:rPr>
        <w:t>该项目涉及到大量的高、低压电气设备，因设备故障、人为因素等可能发生触电、火灾事故；</w:t>
      </w:r>
    </w:p>
    <w:p w14:paraId="05A39A68">
      <w:pPr>
        <w:snapToGrid w:val="0"/>
        <w:spacing w:line="360" w:lineRule="auto"/>
        <w:ind w:firstLine="560"/>
        <w:rPr>
          <w:rFonts w:asciiTheme="minorHAnsi" w:hAnsiTheme="minorHAnsi" w:cstheme="minorHAnsi"/>
          <w:kern w:val="0"/>
          <w:szCs w:val="24"/>
        </w:rPr>
      </w:pPr>
      <w:r>
        <w:rPr>
          <w:rFonts w:hint="eastAsia" w:asciiTheme="minorHAnsi" w:hAnsiTheme="minorHAnsi" w:cstheme="minorHAnsi"/>
          <w:kern w:val="0"/>
          <w:szCs w:val="24"/>
        </w:rPr>
        <w:t>（2）</w:t>
      </w:r>
      <w:r>
        <w:rPr>
          <w:rFonts w:asciiTheme="minorHAnsi" w:hAnsiTheme="minorHAnsi" w:cstheme="minorHAnsi"/>
          <w:kern w:val="0"/>
          <w:szCs w:val="24"/>
        </w:rPr>
        <w:t>供电系统避雷设施原因可导致雷电事故发生；</w:t>
      </w:r>
    </w:p>
    <w:p w14:paraId="70674166">
      <w:pPr>
        <w:snapToGrid w:val="0"/>
        <w:spacing w:line="360" w:lineRule="auto"/>
        <w:ind w:firstLine="560"/>
        <w:rPr>
          <w:rFonts w:asciiTheme="minorHAnsi" w:hAnsiTheme="minorHAnsi" w:cstheme="minorHAnsi"/>
          <w:kern w:val="0"/>
          <w:szCs w:val="24"/>
        </w:rPr>
      </w:pPr>
      <w:r>
        <w:rPr>
          <w:rFonts w:hint="eastAsia" w:asciiTheme="minorHAnsi" w:hAnsiTheme="minorHAnsi" w:cstheme="minorHAnsi"/>
          <w:kern w:val="0"/>
          <w:szCs w:val="24"/>
        </w:rPr>
        <w:t>（3）</w:t>
      </w:r>
      <w:r>
        <w:rPr>
          <w:rFonts w:asciiTheme="minorHAnsi" w:hAnsiTheme="minorHAnsi" w:cstheme="minorHAnsi"/>
          <w:kern w:val="0"/>
          <w:szCs w:val="24"/>
        </w:rPr>
        <w:t>含有有害物质的电气设备发生故障时产生的有毒有害气体，可能引发中毒窒息事故。</w:t>
      </w:r>
    </w:p>
    <w:p w14:paraId="4444DA0B">
      <w:pPr>
        <w:adjustRightInd w:val="0"/>
        <w:snapToGrid w:val="0"/>
        <w:spacing w:line="360" w:lineRule="auto"/>
        <w:ind w:firstLine="0" w:firstLineChars="0"/>
        <w:outlineLvl w:val="2"/>
        <w:rPr>
          <w:rFonts w:asciiTheme="minorHAnsi" w:hAnsiTheme="minorHAnsi" w:cstheme="minorHAnsi"/>
          <w:b/>
          <w:szCs w:val="28"/>
        </w:rPr>
      </w:pPr>
      <w:bookmarkStart w:id="130" w:name="_Toc466027989"/>
      <w:r>
        <w:rPr>
          <w:rFonts w:asciiTheme="minorHAnsi" w:hAnsiTheme="minorHAnsi" w:cstheme="minorHAnsi"/>
          <w:b/>
          <w:szCs w:val="28"/>
        </w:rPr>
        <w:t>3.8.2预先危险性分析（PHA）</w:t>
      </w:r>
      <w:bookmarkEnd w:id="130"/>
    </w:p>
    <w:p w14:paraId="206DB8BB">
      <w:pPr>
        <w:pStyle w:val="128"/>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表3.8-1 矿山供配电设施单元预先危险性分析表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195"/>
        <w:gridCol w:w="2281"/>
        <w:gridCol w:w="948"/>
        <w:gridCol w:w="807"/>
        <w:gridCol w:w="807"/>
        <w:gridCol w:w="2683"/>
      </w:tblGrid>
      <w:tr w14:paraId="39599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17" w:type="pct"/>
            <w:vAlign w:val="center"/>
          </w:tcPr>
          <w:p w14:paraId="2C54A484">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危险有害因素</w:t>
            </w:r>
          </w:p>
        </w:tc>
        <w:tc>
          <w:tcPr>
            <w:tcW w:w="628" w:type="pct"/>
            <w:vAlign w:val="center"/>
          </w:tcPr>
          <w:p w14:paraId="463839D7">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触发</w:t>
            </w:r>
          </w:p>
          <w:p w14:paraId="760FB76E">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事件</w:t>
            </w:r>
          </w:p>
        </w:tc>
        <w:tc>
          <w:tcPr>
            <w:tcW w:w="1199" w:type="pct"/>
            <w:vAlign w:val="center"/>
          </w:tcPr>
          <w:p w14:paraId="53FCFE5B">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形成事故原因</w:t>
            </w:r>
          </w:p>
        </w:tc>
        <w:tc>
          <w:tcPr>
            <w:tcW w:w="498" w:type="pct"/>
            <w:vAlign w:val="center"/>
          </w:tcPr>
          <w:p w14:paraId="2BB6CB97">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事故</w:t>
            </w:r>
          </w:p>
          <w:p w14:paraId="1EAD343A">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模式</w:t>
            </w:r>
          </w:p>
        </w:tc>
        <w:tc>
          <w:tcPr>
            <w:tcW w:w="424" w:type="pct"/>
            <w:vAlign w:val="center"/>
          </w:tcPr>
          <w:p w14:paraId="75B95CC6">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事故后果</w:t>
            </w:r>
          </w:p>
        </w:tc>
        <w:tc>
          <w:tcPr>
            <w:tcW w:w="424" w:type="pct"/>
            <w:vAlign w:val="center"/>
          </w:tcPr>
          <w:p w14:paraId="6329119D">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危险等级</w:t>
            </w:r>
          </w:p>
        </w:tc>
        <w:tc>
          <w:tcPr>
            <w:tcW w:w="1411" w:type="pct"/>
            <w:vAlign w:val="center"/>
          </w:tcPr>
          <w:p w14:paraId="39958D47">
            <w:pPr>
              <w:adjustRightInd w:val="0"/>
              <w:snapToGrid w:val="0"/>
              <w:spacing w:line="320" w:lineRule="exact"/>
              <w:ind w:firstLine="0" w:firstLineChars="0"/>
              <w:jc w:val="center"/>
              <w:rPr>
                <w:rFonts w:asciiTheme="minorHAnsi" w:hAnsiTheme="minorHAnsi" w:cstheme="minorHAnsi"/>
                <w:b/>
                <w:sz w:val="21"/>
                <w:szCs w:val="24"/>
              </w:rPr>
            </w:pPr>
            <w:r>
              <w:rPr>
                <w:rFonts w:asciiTheme="minorHAnsi" w:hAnsiTheme="minorHAnsi" w:cstheme="minorHAnsi"/>
                <w:b/>
                <w:sz w:val="21"/>
                <w:szCs w:val="24"/>
              </w:rPr>
              <w:t>对策措施</w:t>
            </w:r>
          </w:p>
        </w:tc>
      </w:tr>
      <w:tr w14:paraId="6BB8B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14:paraId="3DEC02A0">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机械</w:t>
            </w:r>
          </w:p>
          <w:p w14:paraId="222D7F5B">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伤害</w:t>
            </w:r>
          </w:p>
        </w:tc>
        <w:tc>
          <w:tcPr>
            <w:tcW w:w="628" w:type="pct"/>
            <w:vAlign w:val="center"/>
          </w:tcPr>
          <w:p w14:paraId="467B879F">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违章作业</w:t>
            </w:r>
          </w:p>
        </w:tc>
        <w:tc>
          <w:tcPr>
            <w:tcW w:w="1199" w:type="pct"/>
            <w:vAlign w:val="center"/>
          </w:tcPr>
          <w:p w14:paraId="0C0EB622">
            <w:pPr>
              <w:numPr>
                <w:ilvl w:val="0"/>
                <w:numId w:val="6"/>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操作不熟练；</w:t>
            </w:r>
          </w:p>
          <w:p w14:paraId="2B6DE1E3">
            <w:pPr>
              <w:numPr>
                <w:ilvl w:val="0"/>
                <w:numId w:val="6"/>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操作地点不安全；</w:t>
            </w:r>
          </w:p>
          <w:p w14:paraId="317F8966">
            <w:pPr>
              <w:numPr>
                <w:ilvl w:val="0"/>
                <w:numId w:val="6"/>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作业前安全检查、处理不到位；</w:t>
            </w:r>
          </w:p>
          <w:p w14:paraId="04C6CFEC">
            <w:pPr>
              <w:numPr>
                <w:ilvl w:val="0"/>
                <w:numId w:val="6"/>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防护装置（罩）不全。</w:t>
            </w:r>
          </w:p>
        </w:tc>
        <w:tc>
          <w:tcPr>
            <w:tcW w:w="498" w:type="pct"/>
            <w:vAlign w:val="center"/>
          </w:tcPr>
          <w:p w14:paraId="5A23373F">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机械伤害</w:t>
            </w:r>
          </w:p>
        </w:tc>
        <w:tc>
          <w:tcPr>
            <w:tcW w:w="424" w:type="pct"/>
            <w:vAlign w:val="center"/>
          </w:tcPr>
          <w:p w14:paraId="140B53AA">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人员伤害</w:t>
            </w:r>
          </w:p>
        </w:tc>
        <w:tc>
          <w:tcPr>
            <w:tcW w:w="424" w:type="pct"/>
            <w:vAlign w:val="center"/>
          </w:tcPr>
          <w:p w14:paraId="11956A31">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Ⅱ</w:t>
            </w:r>
          </w:p>
        </w:tc>
        <w:tc>
          <w:tcPr>
            <w:tcW w:w="1411" w:type="pct"/>
            <w:vAlign w:val="center"/>
          </w:tcPr>
          <w:p w14:paraId="2C178D94">
            <w:pPr>
              <w:numPr>
                <w:ilvl w:val="0"/>
                <w:numId w:val="7"/>
              </w:numPr>
              <w:tabs>
                <w:tab w:val="left" w:pos="247"/>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严格执行操作规程；</w:t>
            </w:r>
          </w:p>
          <w:p w14:paraId="1E9F2DF3">
            <w:pPr>
              <w:numPr>
                <w:ilvl w:val="0"/>
                <w:numId w:val="7"/>
              </w:numPr>
              <w:tabs>
                <w:tab w:val="left" w:pos="247"/>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加强个人防护措施；</w:t>
            </w:r>
          </w:p>
          <w:p w14:paraId="5BB28C2E">
            <w:pPr>
              <w:numPr>
                <w:ilvl w:val="0"/>
                <w:numId w:val="7"/>
              </w:numPr>
              <w:tabs>
                <w:tab w:val="left" w:pos="247"/>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完善配备机械安全防护装置。</w:t>
            </w:r>
          </w:p>
        </w:tc>
      </w:tr>
      <w:tr w14:paraId="0255C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14:paraId="28499424">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触电</w:t>
            </w:r>
          </w:p>
        </w:tc>
        <w:tc>
          <w:tcPr>
            <w:tcW w:w="628" w:type="pct"/>
            <w:vAlign w:val="center"/>
          </w:tcPr>
          <w:p w14:paraId="29C4EF70">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违章作业；</w:t>
            </w:r>
          </w:p>
          <w:p w14:paraId="032264AC">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保护设施不到位。</w:t>
            </w:r>
          </w:p>
        </w:tc>
        <w:tc>
          <w:tcPr>
            <w:tcW w:w="1199" w:type="pct"/>
            <w:vAlign w:val="center"/>
          </w:tcPr>
          <w:p w14:paraId="597CCAD0">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电器设计、选型不合理、安装存在缺陷或运行时短路、漏电等导致过热及雷电放电产生的电弧、静电火花而引起电器火花；</w:t>
            </w:r>
          </w:p>
          <w:p w14:paraId="237D6D7A">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工作面潮湿；</w:t>
            </w:r>
          </w:p>
          <w:p w14:paraId="1DDD989F">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使用电气设备绝缘老化；</w:t>
            </w:r>
          </w:p>
          <w:p w14:paraId="5934C12F">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电气设备缺少漏电保护等防护装置；</w:t>
            </w:r>
          </w:p>
          <w:p w14:paraId="57E41578">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不执行停送电制度；</w:t>
            </w:r>
          </w:p>
          <w:p w14:paraId="64187DEC">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缺乏安全警示标志；</w:t>
            </w:r>
          </w:p>
          <w:p w14:paraId="1AA3C511">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作业无人监护；</w:t>
            </w:r>
          </w:p>
          <w:p w14:paraId="17CBDA18">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不使用安全电压；</w:t>
            </w:r>
          </w:p>
          <w:p w14:paraId="027A980D">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安全装置失效；</w:t>
            </w:r>
          </w:p>
          <w:p w14:paraId="3427C938">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个人防护措施不全；</w:t>
            </w:r>
          </w:p>
          <w:p w14:paraId="755F4069">
            <w:pPr>
              <w:numPr>
                <w:ilvl w:val="0"/>
                <w:numId w:val="8"/>
              </w:numPr>
              <w:tabs>
                <w:tab w:val="left" w:pos="23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其他违章操作。</w:t>
            </w:r>
          </w:p>
        </w:tc>
        <w:tc>
          <w:tcPr>
            <w:tcW w:w="498" w:type="pct"/>
            <w:vAlign w:val="center"/>
          </w:tcPr>
          <w:p w14:paraId="6236EF88">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短路、引发漏电、触电</w:t>
            </w:r>
          </w:p>
        </w:tc>
        <w:tc>
          <w:tcPr>
            <w:tcW w:w="424" w:type="pct"/>
            <w:vAlign w:val="center"/>
          </w:tcPr>
          <w:p w14:paraId="70902A1E">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人员伤亡、设备损坏</w:t>
            </w:r>
          </w:p>
        </w:tc>
        <w:tc>
          <w:tcPr>
            <w:tcW w:w="424" w:type="pct"/>
            <w:vAlign w:val="center"/>
          </w:tcPr>
          <w:p w14:paraId="65ACA873">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Ⅱ</w:t>
            </w:r>
          </w:p>
        </w:tc>
        <w:tc>
          <w:tcPr>
            <w:tcW w:w="1411" w:type="pct"/>
            <w:vAlign w:val="center"/>
          </w:tcPr>
          <w:p w14:paraId="2BC71ED1">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严格执行操作规程；</w:t>
            </w:r>
          </w:p>
          <w:p w14:paraId="10F60601">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加强个人防护措施；</w:t>
            </w:r>
          </w:p>
          <w:p w14:paraId="4951122E">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合理设计、选择电气设备，严格按照施工图和规范进行设备安装、调试；</w:t>
            </w:r>
          </w:p>
          <w:p w14:paraId="463342EE">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电气设备采用保护接地；</w:t>
            </w:r>
          </w:p>
          <w:p w14:paraId="379B8498">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变压器周围设围栏，配电室铺设供工作人员检查的绝缘地毯；</w:t>
            </w:r>
          </w:p>
          <w:p w14:paraId="643A96C7">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配电室配备绝缘靴、绝缘手套、绝缘杆等绝缘设备，门窗加防护网；</w:t>
            </w:r>
          </w:p>
          <w:p w14:paraId="36B74F26">
            <w:pPr>
              <w:numPr>
                <w:ilvl w:val="0"/>
                <w:numId w:val="9"/>
              </w:numPr>
              <w:tabs>
                <w:tab w:val="left" w:pos="21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高压设备附近悬挂防止触电的警告牌；</w:t>
            </w:r>
          </w:p>
          <w:p w14:paraId="31642C23">
            <w:pPr>
              <w:numPr>
                <w:ilvl w:val="0"/>
                <w:numId w:val="9"/>
              </w:numPr>
              <w:tabs>
                <w:tab w:val="left" w:pos="313"/>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在断电的线路上作业时，该线路的电源开关把手必须悬挂警示牌，只有执行这项工作的人员才有权取下；</w:t>
            </w:r>
          </w:p>
          <w:p w14:paraId="6AFE118E">
            <w:pPr>
              <w:numPr>
                <w:ilvl w:val="0"/>
                <w:numId w:val="9"/>
              </w:numPr>
              <w:tabs>
                <w:tab w:val="left" w:pos="313"/>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电气设备可能被人所触及的裸露带电部分，设置警戒标志；</w:t>
            </w:r>
          </w:p>
          <w:p w14:paraId="2FF4626F">
            <w:pPr>
              <w:numPr>
                <w:ilvl w:val="0"/>
                <w:numId w:val="9"/>
              </w:numPr>
              <w:tabs>
                <w:tab w:val="left" w:pos="313"/>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定期检查电气线路及设备；</w:t>
            </w:r>
          </w:p>
          <w:p w14:paraId="4D70FAE4">
            <w:pPr>
              <w:numPr>
                <w:ilvl w:val="0"/>
                <w:numId w:val="9"/>
              </w:numPr>
              <w:tabs>
                <w:tab w:val="left" w:pos="313"/>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电气工作人员100%持证上岗。</w:t>
            </w:r>
          </w:p>
        </w:tc>
      </w:tr>
      <w:tr w14:paraId="419CF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14:paraId="303365A6">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雷击</w:t>
            </w:r>
          </w:p>
        </w:tc>
        <w:tc>
          <w:tcPr>
            <w:tcW w:w="628" w:type="pct"/>
            <w:vAlign w:val="center"/>
          </w:tcPr>
          <w:p w14:paraId="3ECF709E">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保护设施不到位。</w:t>
            </w:r>
          </w:p>
        </w:tc>
        <w:tc>
          <w:tcPr>
            <w:tcW w:w="1199" w:type="pct"/>
            <w:vAlign w:val="center"/>
          </w:tcPr>
          <w:p w14:paraId="372029AD">
            <w:pPr>
              <w:numPr>
                <w:ilvl w:val="0"/>
                <w:numId w:val="10"/>
              </w:numPr>
              <w:tabs>
                <w:tab w:val="left" w:pos="1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主要建构筑物无防雷击设施；</w:t>
            </w:r>
          </w:p>
          <w:p w14:paraId="67EBA83D">
            <w:pPr>
              <w:numPr>
                <w:ilvl w:val="0"/>
                <w:numId w:val="10"/>
              </w:numPr>
              <w:tabs>
                <w:tab w:val="left" w:pos="1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电气设备、线路，未设有可靠的防雷、接地装置；</w:t>
            </w:r>
          </w:p>
          <w:p w14:paraId="56A2168F">
            <w:pPr>
              <w:numPr>
                <w:ilvl w:val="0"/>
                <w:numId w:val="10"/>
              </w:numPr>
              <w:tabs>
                <w:tab w:val="left" w:pos="1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未定期进行全面检查和监测导致防雷设施失效；</w:t>
            </w:r>
          </w:p>
          <w:p w14:paraId="23484318">
            <w:pPr>
              <w:numPr>
                <w:ilvl w:val="0"/>
                <w:numId w:val="10"/>
              </w:numPr>
              <w:tabs>
                <w:tab w:val="left" w:pos="1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违章作业，未穿戴劳动防护用品。</w:t>
            </w:r>
          </w:p>
        </w:tc>
        <w:tc>
          <w:tcPr>
            <w:tcW w:w="498" w:type="pct"/>
            <w:vAlign w:val="center"/>
          </w:tcPr>
          <w:p w14:paraId="2642ACB6">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电击、</w:t>
            </w:r>
          </w:p>
          <w:p w14:paraId="66E89669">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电伤</w:t>
            </w:r>
          </w:p>
        </w:tc>
        <w:tc>
          <w:tcPr>
            <w:tcW w:w="424" w:type="pct"/>
            <w:vAlign w:val="center"/>
          </w:tcPr>
          <w:p w14:paraId="03DF2140">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人员伤亡</w:t>
            </w:r>
          </w:p>
        </w:tc>
        <w:tc>
          <w:tcPr>
            <w:tcW w:w="424" w:type="pct"/>
            <w:vAlign w:val="center"/>
          </w:tcPr>
          <w:p w14:paraId="220B4555">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Ⅱ</w:t>
            </w:r>
          </w:p>
        </w:tc>
        <w:tc>
          <w:tcPr>
            <w:tcW w:w="1411" w:type="pct"/>
            <w:vAlign w:val="center"/>
          </w:tcPr>
          <w:p w14:paraId="256F8062">
            <w:pPr>
              <w:adjustRightInd w:val="0"/>
              <w:snapToGrid w:val="0"/>
              <w:spacing w:line="320" w:lineRule="exact"/>
              <w:ind w:firstLine="0" w:firstLineChars="0"/>
              <w:jc w:val="left"/>
              <w:rPr>
                <w:rFonts w:asciiTheme="minorHAnsi" w:hAnsiTheme="minorHAnsi" w:cstheme="minorHAnsi"/>
                <w:sz w:val="21"/>
                <w:szCs w:val="24"/>
              </w:rPr>
            </w:pPr>
            <w:r>
              <w:rPr>
                <w:rFonts w:asciiTheme="minorHAnsi" w:hAnsiTheme="minorHAnsi" w:cstheme="minorHAnsi"/>
                <w:sz w:val="21"/>
                <w:szCs w:val="24"/>
              </w:rPr>
              <w:t>在变配电室、高大建筑附近安装避雷针或避雷器，定期检查、监测。</w:t>
            </w:r>
          </w:p>
        </w:tc>
      </w:tr>
      <w:tr w14:paraId="08F94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14:paraId="3D32EBBF">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火灾</w:t>
            </w:r>
          </w:p>
        </w:tc>
        <w:tc>
          <w:tcPr>
            <w:tcW w:w="628" w:type="pct"/>
            <w:vAlign w:val="center"/>
          </w:tcPr>
          <w:p w14:paraId="658AC7BD">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绝缘、保护装置失效</w:t>
            </w:r>
          </w:p>
        </w:tc>
        <w:tc>
          <w:tcPr>
            <w:tcW w:w="1199" w:type="pct"/>
            <w:vAlign w:val="center"/>
          </w:tcPr>
          <w:p w14:paraId="181D9732">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电弧、电火花、杂散电流；</w:t>
            </w:r>
          </w:p>
          <w:p w14:paraId="423E2478">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保险丝（片）选用不当；</w:t>
            </w:r>
          </w:p>
          <w:p w14:paraId="6509D81F">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开关及配电箱内油料着火；</w:t>
            </w:r>
          </w:p>
          <w:p w14:paraId="45B516DF">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机械作用（包括摩擦、震动冲击等）所引起；</w:t>
            </w:r>
          </w:p>
          <w:p w14:paraId="4F3B3B48">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绝缘、保护装置未检查，未维护；</w:t>
            </w:r>
          </w:p>
          <w:p w14:paraId="2E5E23EE">
            <w:pPr>
              <w:numPr>
                <w:ilvl w:val="0"/>
                <w:numId w:val="11"/>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装置失效；</w:t>
            </w:r>
          </w:p>
          <w:p w14:paraId="6C953514">
            <w:pPr>
              <w:numPr>
                <w:ilvl w:val="0"/>
                <w:numId w:val="11"/>
              </w:numPr>
              <w:tabs>
                <w:tab w:val="left" w:pos="3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未设置消防灭火设施；</w:t>
            </w:r>
          </w:p>
          <w:p w14:paraId="33223561">
            <w:pPr>
              <w:numPr>
                <w:ilvl w:val="0"/>
                <w:numId w:val="11"/>
              </w:numPr>
              <w:tabs>
                <w:tab w:val="left" w:pos="384"/>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其他违章操作。</w:t>
            </w:r>
          </w:p>
        </w:tc>
        <w:tc>
          <w:tcPr>
            <w:tcW w:w="498" w:type="pct"/>
            <w:vAlign w:val="center"/>
          </w:tcPr>
          <w:p w14:paraId="4266A07B">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明火、短路引发火灾</w:t>
            </w:r>
          </w:p>
        </w:tc>
        <w:tc>
          <w:tcPr>
            <w:tcW w:w="424" w:type="pct"/>
            <w:vAlign w:val="center"/>
          </w:tcPr>
          <w:p w14:paraId="76276B24">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人员伤亡、设备设施损坏</w:t>
            </w:r>
          </w:p>
        </w:tc>
        <w:tc>
          <w:tcPr>
            <w:tcW w:w="424" w:type="pct"/>
            <w:vAlign w:val="center"/>
          </w:tcPr>
          <w:p w14:paraId="614649D3">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Ⅱ</w:t>
            </w:r>
          </w:p>
        </w:tc>
        <w:tc>
          <w:tcPr>
            <w:tcW w:w="1411" w:type="pct"/>
          </w:tcPr>
          <w:p w14:paraId="608B0655">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严格执行操作规程；</w:t>
            </w:r>
          </w:p>
          <w:p w14:paraId="507ECD2F">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树立先安全后生产的观念，坚持工作前对工作面的安全处理；</w:t>
            </w:r>
          </w:p>
          <w:p w14:paraId="2B9269E7">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加强个人防护措施；</w:t>
            </w:r>
          </w:p>
          <w:p w14:paraId="2AF596FD">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加强安全管理；</w:t>
            </w:r>
          </w:p>
          <w:p w14:paraId="2AAE3A1C">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电气设备采用保护接地；</w:t>
            </w:r>
          </w:p>
          <w:p w14:paraId="78F8019C">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电网设施漏电、触电、过电流保护装置；</w:t>
            </w:r>
          </w:p>
          <w:p w14:paraId="5D62BBC6">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配电室、发电机房、电气设备工作室配置消防灭火设施；</w:t>
            </w:r>
          </w:p>
          <w:p w14:paraId="2FCA8FBF">
            <w:pPr>
              <w:numPr>
                <w:ilvl w:val="0"/>
                <w:numId w:val="12"/>
              </w:numPr>
              <w:tabs>
                <w:tab w:val="left" w:pos="247"/>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加强电气设备及其线路的检查、维护。</w:t>
            </w:r>
          </w:p>
        </w:tc>
      </w:tr>
      <w:tr w14:paraId="144B3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14:paraId="5EFF9530">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中毒窒息</w:t>
            </w:r>
          </w:p>
        </w:tc>
        <w:tc>
          <w:tcPr>
            <w:tcW w:w="628" w:type="pct"/>
            <w:vAlign w:val="center"/>
          </w:tcPr>
          <w:p w14:paraId="0E0B3472">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电气设备事故</w:t>
            </w:r>
          </w:p>
        </w:tc>
        <w:tc>
          <w:tcPr>
            <w:tcW w:w="1199" w:type="pct"/>
            <w:vAlign w:val="center"/>
          </w:tcPr>
          <w:p w14:paraId="5EE7C35E">
            <w:pPr>
              <w:numPr>
                <w:ilvl w:val="0"/>
                <w:numId w:val="5"/>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设备质量不合格；</w:t>
            </w:r>
          </w:p>
          <w:p w14:paraId="7C3ED1B3">
            <w:pPr>
              <w:numPr>
                <w:ilvl w:val="0"/>
                <w:numId w:val="5"/>
              </w:numPr>
              <w:tabs>
                <w:tab w:val="left" w:pos="242"/>
              </w:tabs>
              <w:adjustRightInd w:val="0"/>
              <w:snapToGrid w:val="0"/>
              <w:spacing w:line="320" w:lineRule="exact"/>
              <w:ind w:left="0" w:firstLine="0" w:firstLineChars="0"/>
              <w:jc w:val="left"/>
              <w:rPr>
                <w:rFonts w:asciiTheme="minorHAnsi" w:hAnsiTheme="minorHAnsi" w:cstheme="minorHAnsi"/>
                <w:sz w:val="21"/>
                <w:szCs w:val="24"/>
              </w:rPr>
            </w:pPr>
            <w:r>
              <w:rPr>
                <w:rFonts w:asciiTheme="minorHAnsi" w:hAnsiTheme="minorHAnsi" w:cstheme="minorHAnsi"/>
                <w:sz w:val="21"/>
                <w:szCs w:val="24"/>
              </w:rPr>
              <w:t>电气设备未检查、未维护，缺乏检修，造成设备故障；</w:t>
            </w:r>
          </w:p>
        </w:tc>
        <w:tc>
          <w:tcPr>
            <w:tcW w:w="498" w:type="pct"/>
            <w:vAlign w:val="center"/>
          </w:tcPr>
          <w:p w14:paraId="10FFB717">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中毒窒息</w:t>
            </w:r>
          </w:p>
        </w:tc>
        <w:tc>
          <w:tcPr>
            <w:tcW w:w="424" w:type="pct"/>
            <w:vAlign w:val="center"/>
          </w:tcPr>
          <w:p w14:paraId="3D1FB8F5">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设备设施损坏、人员伤亡</w:t>
            </w:r>
          </w:p>
        </w:tc>
        <w:tc>
          <w:tcPr>
            <w:tcW w:w="424" w:type="pct"/>
            <w:vAlign w:val="center"/>
          </w:tcPr>
          <w:p w14:paraId="05077369">
            <w:pPr>
              <w:adjustRightInd w:val="0"/>
              <w:snapToGrid w:val="0"/>
              <w:spacing w:line="320" w:lineRule="exact"/>
              <w:ind w:firstLine="0" w:firstLineChars="0"/>
              <w:jc w:val="center"/>
              <w:rPr>
                <w:rFonts w:asciiTheme="minorHAnsi" w:hAnsiTheme="minorHAnsi" w:cstheme="minorHAnsi"/>
                <w:sz w:val="21"/>
                <w:szCs w:val="24"/>
              </w:rPr>
            </w:pPr>
            <w:r>
              <w:rPr>
                <w:rFonts w:asciiTheme="minorHAnsi" w:hAnsiTheme="minorHAnsi" w:cstheme="minorHAnsi"/>
                <w:sz w:val="21"/>
                <w:szCs w:val="24"/>
              </w:rPr>
              <w:t>Ⅱ</w:t>
            </w:r>
          </w:p>
        </w:tc>
        <w:tc>
          <w:tcPr>
            <w:tcW w:w="1411" w:type="pct"/>
          </w:tcPr>
          <w:p w14:paraId="09E345E9">
            <w:pPr>
              <w:numPr>
                <w:ilvl w:val="0"/>
                <w:numId w:val="13"/>
              </w:numPr>
              <w:tabs>
                <w:tab w:val="left" w:pos="171"/>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必须选用具有国家安全认证标志的电气设备；</w:t>
            </w:r>
          </w:p>
          <w:p w14:paraId="6EFDA90C">
            <w:pPr>
              <w:numPr>
                <w:ilvl w:val="0"/>
                <w:numId w:val="13"/>
              </w:numPr>
              <w:tabs>
                <w:tab w:val="left" w:pos="171"/>
              </w:tabs>
              <w:adjustRightInd w:val="0"/>
              <w:snapToGrid w:val="0"/>
              <w:spacing w:line="320" w:lineRule="exact"/>
              <w:ind w:left="0" w:firstLine="0" w:firstLineChars="0"/>
              <w:rPr>
                <w:rFonts w:asciiTheme="minorHAnsi" w:hAnsiTheme="minorHAnsi" w:cstheme="minorHAnsi"/>
                <w:sz w:val="21"/>
                <w:szCs w:val="24"/>
              </w:rPr>
            </w:pPr>
            <w:r>
              <w:rPr>
                <w:rFonts w:asciiTheme="minorHAnsi" w:hAnsiTheme="minorHAnsi" w:cstheme="minorHAnsi"/>
                <w:sz w:val="21"/>
                <w:szCs w:val="24"/>
              </w:rPr>
              <w:t>加强电气设备及其线路的检查、维护。</w:t>
            </w:r>
          </w:p>
        </w:tc>
      </w:tr>
    </w:tbl>
    <w:p w14:paraId="6B3E7AF0">
      <w:pPr>
        <w:adjustRightInd w:val="0"/>
        <w:snapToGrid w:val="0"/>
        <w:spacing w:line="360" w:lineRule="auto"/>
        <w:ind w:firstLine="0" w:firstLineChars="0"/>
        <w:rPr>
          <w:rFonts w:asciiTheme="minorHAnsi" w:hAnsiTheme="minorHAnsi" w:cstheme="minorHAnsi"/>
          <w:b/>
          <w:szCs w:val="28"/>
        </w:rPr>
      </w:pPr>
      <w:bookmarkStart w:id="131" w:name="_Toc466027990"/>
    </w:p>
    <w:p w14:paraId="24266E26">
      <w:pPr>
        <w:adjustRightInd w:val="0"/>
        <w:snapToGrid w:val="0"/>
        <w:spacing w:line="360" w:lineRule="auto"/>
        <w:ind w:firstLine="0" w:firstLineChars="0"/>
        <w:outlineLvl w:val="2"/>
        <w:rPr>
          <w:rFonts w:asciiTheme="minorHAnsi" w:hAnsiTheme="minorHAnsi" w:cstheme="minorHAnsi"/>
          <w:b/>
          <w:szCs w:val="28"/>
        </w:rPr>
      </w:pPr>
      <w:r>
        <w:rPr>
          <w:rFonts w:asciiTheme="minorHAnsi" w:hAnsiTheme="minorHAnsi" w:cstheme="minorHAnsi"/>
          <w:b/>
          <w:szCs w:val="28"/>
        </w:rPr>
        <w:t>3.8.3矿山供配电安全检查表</w:t>
      </w:r>
      <w:bookmarkEnd w:id="131"/>
    </w:p>
    <w:p w14:paraId="715C5EA6">
      <w:pPr>
        <w:spacing w:line="500" w:lineRule="exact"/>
        <w:ind w:firstLine="560"/>
        <w:rPr>
          <w:rFonts w:asciiTheme="minorHAnsi" w:hAnsiTheme="minorHAnsi" w:cstheme="minorHAnsi"/>
          <w:kern w:val="0"/>
          <w:szCs w:val="24"/>
        </w:rPr>
      </w:pPr>
      <w:r>
        <w:rPr>
          <w:rFonts w:asciiTheme="minorHAnsi" w:hAnsiTheme="minorHAnsi" w:cstheme="minorHAnsi"/>
          <w:kern w:val="0"/>
          <w:szCs w:val="24"/>
        </w:rPr>
        <w:t>根据</w:t>
      </w:r>
      <w:r>
        <w:rPr>
          <w:rFonts w:asciiTheme="minorHAnsi" w:hAnsiTheme="minorHAnsi" w:cstheme="minorHAnsi"/>
          <w:szCs w:val="28"/>
        </w:rPr>
        <w:t>《矿山电力设计标准》（GB50070-2020）</w:t>
      </w:r>
      <w:r>
        <w:rPr>
          <w:rFonts w:asciiTheme="minorHAnsi" w:hAnsiTheme="minorHAnsi" w:cstheme="minorHAnsi"/>
          <w:kern w:val="0"/>
          <w:szCs w:val="24"/>
        </w:rPr>
        <w:t>对该项目供配电系统进行检查分析，见表3.8-2。</w:t>
      </w:r>
    </w:p>
    <w:p w14:paraId="7FA80501">
      <w:pPr>
        <w:pStyle w:val="128"/>
        <w:spacing w:line="360" w:lineRule="auto"/>
        <w:jc w:val="center"/>
        <w:rPr>
          <w:rFonts w:asciiTheme="minorHAnsi" w:hAnsiTheme="minorHAnsi" w:eastAsiaTheme="minorEastAsia" w:cstheme="minorHAnsi"/>
        </w:rPr>
      </w:pPr>
      <w:bookmarkStart w:id="132" w:name="_Ref465084191"/>
      <w:r>
        <w:rPr>
          <w:rFonts w:asciiTheme="minorHAnsi" w:hAnsiTheme="minorHAnsi" w:eastAsiaTheme="minorEastAsia" w:cstheme="minorHAnsi"/>
        </w:rPr>
        <w:t>表3.8-2  矿山供配电安全检查表</w:t>
      </w:r>
      <w:bookmarkEnd w:id="132"/>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3831"/>
        <w:gridCol w:w="2120"/>
        <w:gridCol w:w="2343"/>
        <w:gridCol w:w="756"/>
      </w:tblGrid>
      <w:tr w14:paraId="2C9D2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244" w:type="pct"/>
            <w:tcBorders>
              <w:top w:val="single" w:color="auto" w:sz="4" w:space="0"/>
              <w:left w:val="single" w:color="auto" w:sz="4" w:space="0"/>
              <w:bottom w:val="single" w:color="auto" w:sz="4" w:space="0"/>
              <w:right w:val="single" w:color="auto" w:sz="4" w:space="0"/>
            </w:tcBorders>
            <w:vAlign w:val="center"/>
          </w:tcPr>
          <w:p w14:paraId="6BD4FD8F">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2013" w:type="pct"/>
            <w:tcBorders>
              <w:top w:val="single" w:color="auto" w:sz="4" w:space="0"/>
              <w:left w:val="single" w:color="auto" w:sz="4" w:space="0"/>
              <w:bottom w:val="single" w:color="auto" w:sz="4" w:space="0"/>
              <w:right w:val="single" w:color="auto" w:sz="4" w:space="0"/>
            </w:tcBorders>
            <w:vAlign w:val="center"/>
          </w:tcPr>
          <w:p w14:paraId="65103D13">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1114" w:type="pct"/>
            <w:tcBorders>
              <w:top w:val="single" w:color="auto" w:sz="4" w:space="0"/>
              <w:left w:val="single" w:color="auto" w:sz="4" w:space="0"/>
              <w:bottom w:val="single" w:color="auto" w:sz="4" w:space="0"/>
              <w:right w:val="single" w:color="auto" w:sz="4" w:space="0"/>
            </w:tcBorders>
            <w:vAlign w:val="center"/>
          </w:tcPr>
          <w:p w14:paraId="3B03F1EC">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231" w:type="pct"/>
            <w:tcBorders>
              <w:top w:val="single" w:color="auto" w:sz="4" w:space="0"/>
              <w:left w:val="single" w:color="auto" w:sz="4" w:space="0"/>
              <w:bottom w:val="single" w:color="auto" w:sz="4" w:space="0"/>
              <w:right w:val="single" w:color="auto" w:sz="4" w:space="0"/>
            </w:tcBorders>
            <w:vAlign w:val="center"/>
          </w:tcPr>
          <w:p w14:paraId="2164B36B">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可研情况说明</w:t>
            </w:r>
          </w:p>
        </w:tc>
        <w:tc>
          <w:tcPr>
            <w:tcW w:w="397" w:type="pct"/>
            <w:tcBorders>
              <w:top w:val="single" w:color="auto" w:sz="4" w:space="0"/>
              <w:left w:val="single" w:color="auto" w:sz="4" w:space="0"/>
              <w:bottom w:val="single" w:color="auto" w:sz="4" w:space="0"/>
              <w:right w:val="single" w:color="auto" w:sz="4" w:space="0"/>
            </w:tcBorders>
            <w:vAlign w:val="center"/>
          </w:tcPr>
          <w:p w14:paraId="2F43CAB1">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56C3B254">
            <w:pPr>
              <w:snapToGrid w:val="0"/>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7CE49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4AF4836">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2013" w:type="pct"/>
            <w:tcBorders>
              <w:top w:val="single" w:color="auto" w:sz="4" w:space="0"/>
              <w:left w:val="single" w:color="auto" w:sz="4" w:space="0"/>
              <w:right w:val="single" w:color="auto" w:sz="4" w:space="0"/>
            </w:tcBorders>
            <w:vAlign w:val="center"/>
          </w:tcPr>
          <w:p w14:paraId="73720B84">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矿山供电电源和电源线路应符合下列规定：</w:t>
            </w:r>
          </w:p>
          <w:p w14:paraId="7930C73A">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1有一级负荷的矿山应由双重电源供电；当一电源中断供电，另一电源不应同时受到损坏，且电源容量应至少保证矿山全部一级负荷电力需求，并宜满足矿山二级负荷电力需求。</w:t>
            </w:r>
          </w:p>
          <w:p w14:paraId="5F57FB12">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2大、中型矿山宜由两回电源线路供电；两回电源线路中的任一回中断供电时，另一回电源线路应保证供给全部一、二级负荷电力需求。</w:t>
            </w:r>
          </w:p>
        </w:tc>
        <w:tc>
          <w:tcPr>
            <w:tcW w:w="1114" w:type="pct"/>
            <w:tcBorders>
              <w:top w:val="single" w:color="auto" w:sz="4" w:space="0"/>
              <w:left w:val="single" w:color="auto" w:sz="4" w:space="0"/>
              <w:right w:val="single" w:color="auto" w:sz="4" w:space="0"/>
            </w:tcBorders>
            <w:vAlign w:val="center"/>
          </w:tcPr>
          <w:p w14:paraId="4D47DD3F">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3.0.3条</w:t>
            </w:r>
          </w:p>
        </w:tc>
        <w:tc>
          <w:tcPr>
            <w:tcW w:w="1231" w:type="pct"/>
            <w:tcBorders>
              <w:top w:val="single" w:color="auto" w:sz="4" w:space="0"/>
              <w:left w:val="single" w:color="auto" w:sz="4" w:space="0"/>
              <w:right w:val="single" w:color="auto" w:sz="4" w:space="0"/>
            </w:tcBorders>
            <w:vAlign w:val="center"/>
          </w:tcPr>
          <w:p w14:paraId="58FF8F74">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在采矿工业场地新建一座110kV总降压变电所，两路110kV电源分别引自距工业场地西南3km处220kV李楼变电站和距工业场地东北7km处的220kV龙崮变电站。</w:t>
            </w:r>
          </w:p>
        </w:tc>
        <w:tc>
          <w:tcPr>
            <w:tcW w:w="397" w:type="pct"/>
            <w:tcBorders>
              <w:top w:val="single" w:color="auto" w:sz="4" w:space="0"/>
              <w:left w:val="single" w:color="auto" w:sz="4" w:space="0"/>
              <w:right w:val="single" w:color="auto" w:sz="4" w:space="0"/>
            </w:tcBorders>
            <w:vAlign w:val="center"/>
          </w:tcPr>
          <w:p w14:paraId="5F2F3F9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2A84825">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04902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67DBCB84">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2013" w:type="pct"/>
            <w:tcBorders>
              <w:top w:val="single" w:color="auto" w:sz="4" w:space="0"/>
              <w:left w:val="single" w:color="auto" w:sz="4" w:space="0"/>
              <w:right w:val="single" w:color="auto" w:sz="4" w:space="0"/>
            </w:tcBorders>
            <w:vAlign w:val="center"/>
          </w:tcPr>
          <w:p w14:paraId="761B6AAE">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矿山地面主变电所的主变压器台数确定，应符合下列规定：</w:t>
            </w:r>
          </w:p>
          <w:p w14:paraId="14D88C5A">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大、中型矿山工程宜采用2台及以上；矿山一级负荷的两个电源均需经主变压器变压时，应采用2台及以上；</w:t>
            </w:r>
          </w:p>
        </w:tc>
        <w:tc>
          <w:tcPr>
            <w:tcW w:w="1114" w:type="pct"/>
            <w:tcBorders>
              <w:top w:val="single" w:color="auto" w:sz="4" w:space="0"/>
              <w:left w:val="single" w:color="auto" w:sz="4" w:space="0"/>
              <w:right w:val="single" w:color="auto" w:sz="4" w:space="0"/>
            </w:tcBorders>
            <w:vAlign w:val="center"/>
          </w:tcPr>
          <w:p w14:paraId="528D04FA">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3.0.7条</w:t>
            </w:r>
          </w:p>
        </w:tc>
        <w:tc>
          <w:tcPr>
            <w:tcW w:w="1231" w:type="pct"/>
            <w:tcBorders>
              <w:top w:val="single" w:color="auto" w:sz="4" w:space="0"/>
              <w:left w:val="single" w:color="auto" w:sz="4" w:space="0"/>
              <w:right w:val="single" w:color="auto" w:sz="4" w:space="0"/>
            </w:tcBorders>
            <w:vAlign w:val="center"/>
          </w:tcPr>
          <w:p w14:paraId="0704D213">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110kV总降压变电所内安装两台50000kVA  110/10.5kV变压器。正常生产时，两台变压器同时工作，当一台变压器故障检修时，另一台变压器可承担全部一、二级负荷。</w:t>
            </w:r>
          </w:p>
        </w:tc>
        <w:tc>
          <w:tcPr>
            <w:tcW w:w="397" w:type="pct"/>
            <w:tcBorders>
              <w:top w:val="single" w:color="auto" w:sz="4" w:space="0"/>
              <w:left w:val="single" w:color="auto" w:sz="4" w:space="0"/>
              <w:right w:val="single" w:color="auto" w:sz="4" w:space="0"/>
            </w:tcBorders>
            <w:vAlign w:val="center"/>
          </w:tcPr>
          <w:p w14:paraId="5EFBE1EA">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016C500">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6D17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A6F72B9">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2013" w:type="pct"/>
            <w:tcBorders>
              <w:left w:val="single" w:color="auto" w:sz="4" w:space="0"/>
              <w:bottom w:val="single" w:color="auto" w:sz="4" w:space="0"/>
              <w:right w:val="single" w:color="auto" w:sz="4" w:space="0"/>
            </w:tcBorders>
            <w:vAlign w:val="center"/>
          </w:tcPr>
          <w:p w14:paraId="1090F760">
            <w:pPr>
              <w:adjustRightInd w:val="0"/>
              <w:snapToGrid w:val="0"/>
              <w:spacing w:line="240" w:lineRule="auto"/>
              <w:ind w:firstLine="0" w:firstLineChars="0"/>
              <w:rPr>
                <w:rFonts w:asciiTheme="minorHAnsi" w:hAnsiTheme="minorHAnsi" w:cstheme="minorHAnsi"/>
                <w:spacing w:val="-5"/>
                <w:kern w:val="0"/>
                <w:sz w:val="24"/>
                <w:szCs w:val="24"/>
              </w:rPr>
            </w:pPr>
            <w:r>
              <w:rPr>
                <w:rFonts w:asciiTheme="minorHAnsi" w:hAnsiTheme="minorHAnsi" w:cstheme="minorHAnsi"/>
                <w:kern w:val="0"/>
                <w:sz w:val="21"/>
                <w:szCs w:val="21"/>
              </w:rPr>
              <w:t>矿山地面主变电所的主变压器为2台及以上时，其中1台停止运行，其余变压器容量应能保证一级负荷和二级负荷的供电。</w:t>
            </w:r>
          </w:p>
        </w:tc>
        <w:tc>
          <w:tcPr>
            <w:tcW w:w="1114" w:type="pct"/>
            <w:tcBorders>
              <w:left w:val="single" w:color="auto" w:sz="4" w:space="0"/>
              <w:bottom w:val="single" w:color="auto" w:sz="4" w:space="0"/>
              <w:right w:val="single" w:color="auto" w:sz="4" w:space="0"/>
            </w:tcBorders>
            <w:vAlign w:val="center"/>
          </w:tcPr>
          <w:p w14:paraId="246EC8D0">
            <w:pPr>
              <w:snapToGrid w:val="0"/>
              <w:spacing w:line="240" w:lineRule="auto"/>
              <w:ind w:firstLine="0" w:firstLineChars="0"/>
              <w:jc w:val="center"/>
              <w:rPr>
                <w:rFonts w:asciiTheme="minorHAnsi" w:hAnsiTheme="minorHAnsi" w:cstheme="minorHAnsi"/>
                <w:spacing w:val="-5"/>
                <w:kern w:val="0"/>
                <w:sz w:val="24"/>
                <w:szCs w:val="24"/>
              </w:rPr>
            </w:pPr>
            <w:r>
              <w:rPr>
                <w:rFonts w:asciiTheme="minorHAnsi" w:hAnsiTheme="minorHAnsi" w:cstheme="minorHAnsi"/>
                <w:sz w:val="21"/>
                <w:szCs w:val="24"/>
              </w:rPr>
              <w:t>《矿山电力设计标准》（50070-2020）第3.0.8条</w:t>
            </w:r>
          </w:p>
        </w:tc>
        <w:tc>
          <w:tcPr>
            <w:tcW w:w="1231" w:type="pct"/>
            <w:tcBorders>
              <w:left w:val="single" w:color="auto" w:sz="4" w:space="0"/>
              <w:bottom w:val="single" w:color="auto" w:sz="4" w:space="0"/>
              <w:right w:val="single" w:color="auto" w:sz="4" w:space="0"/>
            </w:tcBorders>
            <w:vAlign w:val="center"/>
          </w:tcPr>
          <w:p w14:paraId="491A8A1C">
            <w:pPr>
              <w:snapToGrid w:val="0"/>
              <w:spacing w:line="240" w:lineRule="auto"/>
              <w:ind w:firstLine="0" w:firstLineChars="0"/>
              <w:rPr>
                <w:rFonts w:asciiTheme="minorHAnsi" w:hAnsiTheme="minorHAnsi" w:cstheme="minorHAnsi"/>
                <w:spacing w:val="-5"/>
                <w:kern w:val="0"/>
                <w:sz w:val="24"/>
                <w:szCs w:val="24"/>
              </w:rPr>
            </w:pPr>
            <w:r>
              <w:rPr>
                <w:rFonts w:hint="eastAsia" w:asciiTheme="minorHAnsi" w:hAnsiTheme="minorHAnsi" w:cstheme="minorHAnsi"/>
                <w:kern w:val="0"/>
                <w:sz w:val="21"/>
                <w:szCs w:val="21"/>
              </w:rPr>
              <w:t>110kV总降压变电所内安装两台50000kVA  110/10.5kV变压器。正常生产时，两台变压器同时工作，当一台变压器故障检修时，另一台变压器可承担全部一、二级负荷。</w:t>
            </w:r>
          </w:p>
        </w:tc>
        <w:tc>
          <w:tcPr>
            <w:tcW w:w="397" w:type="pct"/>
            <w:tcBorders>
              <w:left w:val="single" w:color="auto" w:sz="4" w:space="0"/>
              <w:bottom w:val="single" w:color="auto" w:sz="4" w:space="0"/>
              <w:right w:val="single" w:color="auto" w:sz="4" w:space="0"/>
            </w:tcBorders>
            <w:vAlign w:val="center"/>
          </w:tcPr>
          <w:p w14:paraId="1A313701">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r w14:paraId="640EA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49A8871C">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2013" w:type="pct"/>
            <w:tcBorders>
              <w:top w:val="single" w:color="auto" w:sz="4" w:space="0"/>
              <w:left w:val="single" w:color="auto" w:sz="4" w:space="0"/>
              <w:bottom w:val="single" w:color="auto" w:sz="4" w:space="0"/>
              <w:right w:val="single" w:color="auto" w:sz="4" w:space="0"/>
            </w:tcBorders>
            <w:vAlign w:val="center"/>
          </w:tcPr>
          <w:p w14:paraId="61541210">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井下电气设备保护接地系统应符合下列规定：井下各开采水平的主接地装置和所有局部接地装置应通过接地干线相互连接，构成井下总接地网；需要接地的设备和局部接地极均应与接地干线连接。</w:t>
            </w:r>
          </w:p>
        </w:tc>
        <w:tc>
          <w:tcPr>
            <w:tcW w:w="1114" w:type="pct"/>
            <w:tcBorders>
              <w:top w:val="single" w:color="auto" w:sz="4" w:space="0"/>
              <w:left w:val="single" w:color="auto" w:sz="4" w:space="0"/>
              <w:bottom w:val="single" w:color="auto" w:sz="4" w:space="0"/>
              <w:right w:val="single" w:color="auto" w:sz="4" w:space="0"/>
            </w:tcBorders>
            <w:vAlign w:val="center"/>
          </w:tcPr>
          <w:p w14:paraId="7145E84B">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《金属非金属《金属非金属矿山安全规程》（GB16423-2020）第</w:t>
            </w:r>
            <w:r>
              <w:rPr>
                <w:rFonts w:asciiTheme="minorHAnsi" w:hAnsiTheme="minorHAnsi" w:cstheme="minorHAnsi"/>
                <w:kern w:val="0"/>
                <w:sz w:val="21"/>
                <w:szCs w:val="21"/>
              </w:rPr>
              <w:t>6.7.6.5条</w:t>
            </w:r>
          </w:p>
        </w:tc>
        <w:tc>
          <w:tcPr>
            <w:tcW w:w="1231" w:type="pct"/>
            <w:tcBorders>
              <w:top w:val="single" w:color="auto" w:sz="4" w:space="0"/>
              <w:left w:val="single" w:color="auto" w:sz="4" w:space="0"/>
              <w:bottom w:val="single" w:color="auto" w:sz="4" w:space="0"/>
              <w:right w:val="single" w:color="auto" w:sz="4" w:space="0"/>
            </w:tcBorders>
            <w:vAlign w:val="center"/>
          </w:tcPr>
          <w:p w14:paraId="21ED8873">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井下设总接地网，所有各种电压的电缆金属外皮和电缆接地芯，应不间断地连接起来，构成总的接地网，并与设在水仓中的主接地极和局部接地极连接起来。</w:t>
            </w:r>
          </w:p>
        </w:tc>
        <w:tc>
          <w:tcPr>
            <w:tcW w:w="397" w:type="pct"/>
            <w:tcBorders>
              <w:top w:val="single" w:color="auto" w:sz="4" w:space="0"/>
              <w:left w:val="single" w:color="auto" w:sz="4" w:space="0"/>
              <w:bottom w:val="single" w:color="auto" w:sz="4" w:space="0"/>
              <w:right w:val="single" w:color="auto" w:sz="4" w:space="0"/>
            </w:tcBorders>
            <w:vAlign w:val="center"/>
          </w:tcPr>
          <w:p w14:paraId="3098595A">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FA8A6AA">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1F607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03D7D8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2013" w:type="pct"/>
            <w:tcBorders>
              <w:top w:val="single" w:color="auto" w:sz="4" w:space="0"/>
              <w:left w:val="single" w:color="auto" w:sz="4" w:space="0"/>
              <w:bottom w:val="single" w:color="auto" w:sz="4" w:space="0"/>
              <w:right w:val="single" w:color="auto" w:sz="4" w:space="0"/>
            </w:tcBorders>
            <w:vAlign w:val="center"/>
          </w:tcPr>
          <w:p w14:paraId="72064018">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井下低压配电系统接地型式应符合下列规定：</w:t>
            </w:r>
          </w:p>
          <w:p w14:paraId="74D5C98F">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1井下有爆炸危险环境，应采用IT系统。</w:t>
            </w:r>
          </w:p>
          <w:p w14:paraId="48A26211">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2井下无爆炸危险环境，宜采用IT系统；当采用220/380V时，也可采用TN-S系统。</w:t>
            </w:r>
          </w:p>
          <w:p w14:paraId="18990E67">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3当采用IT系统时，配电系统电源端的带电部分应不接地或经高阻抗接地，且配电系统相导体和外露可导电部分之间第一次出现阻抗可忽略的故障时，故障电流不应大于5A。</w:t>
            </w:r>
          </w:p>
        </w:tc>
        <w:tc>
          <w:tcPr>
            <w:tcW w:w="1114" w:type="pct"/>
            <w:tcBorders>
              <w:top w:val="single" w:color="auto" w:sz="4" w:space="0"/>
              <w:left w:val="single" w:color="auto" w:sz="4" w:space="0"/>
              <w:bottom w:val="single" w:color="auto" w:sz="4" w:space="0"/>
              <w:right w:val="single" w:color="auto" w:sz="4" w:space="0"/>
            </w:tcBorders>
            <w:vAlign w:val="center"/>
          </w:tcPr>
          <w:p w14:paraId="42CA524B">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4.1.3条</w:t>
            </w:r>
          </w:p>
        </w:tc>
        <w:tc>
          <w:tcPr>
            <w:tcW w:w="1231" w:type="pct"/>
            <w:tcBorders>
              <w:top w:val="single" w:color="auto" w:sz="4" w:space="0"/>
              <w:left w:val="single" w:color="auto" w:sz="4" w:space="0"/>
              <w:bottom w:val="single" w:color="auto" w:sz="4" w:space="0"/>
              <w:right w:val="single" w:color="auto" w:sz="4" w:space="0"/>
            </w:tcBorders>
            <w:vAlign w:val="center"/>
          </w:tcPr>
          <w:p w14:paraId="66C3EF05">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井下低压配电 IT 系统均装设绝缘监视装置。</w:t>
            </w:r>
          </w:p>
        </w:tc>
        <w:tc>
          <w:tcPr>
            <w:tcW w:w="397" w:type="pct"/>
            <w:tcBorders>
              <w:top w:val="single" w:color="auto" w:sz="4" w:space="0"/>
              <w:left w:val="single" w:color="auto" w:sz="4" w:space="0"/>
              <w:bottom w:val="single" w:color="auto" w:sz="4" w:space="0"/>
              <w:right w:val="single" w:color="auto" w:sz="4" w:space="0"/>
            </w:tcBorders>
            <w:vAlign w:val="center"/>
          </w:tcPr>
          <w:p w14:paraId="05B5829D">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r w14:paraId="52557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526E16BE">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2013" w:type="pct"/>
            <w:tcBorders>
              <w:top w:val="single" w:color="auto" w:sz="4" w:space="0"/>
              <w:left w:val="single" w:color="auto" w:sz="4" w:space="0"/>
              <w:bottom w:val="single" w:color="auto" w:sz="4" w:space="0"/>
              <w:right w:val="single" w:color="auto" w:sz="4" w:space="0"/>
            </w:tcBorders>
            <w:vAlign w:val="center"/>
          </w:tcPr>
          <w:p w14:paraId="646B664A">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井下接地极的设置应符合下列规定：</w:t>
            </w:r>
          </w:p>
          <w:p w14:paraId="07401AF9">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1每一开采水平主接地极不应少于2组，并宜分别设置于开采水平主、副水仓中。</w:t>
            </w:r>
          </w:p>
          <w:p w14:paraId="41578020">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2当下井电缆在钻孔中敷设时，主接地极可埋设在地面或设在井底水仓中或集水井内；加固钻孔的金属套管可作为主接地极中的一组。</w:t>
            </w:r>
          </w:p>
          <w:p w14:paraId="54DB11E8">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3当没有排水水仓可利用时，主接地极应设置在井底水窝或专门开凿的集水井内。不得将两组主接地极置于一个集水井内。</w:t>
            </w:r>
          </w:p>
          <w:p w14:paraId="734AD9A7">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4局部接地极可设置在排水沟、积水坑或其他适当地点。</w:t>
            </w:r>
          </w:p>
        </w:tc>
        <w:tc>
          <w:tcPr>
            <w:tcW w:w="1114" w:type="pct"/>
            <w:tcBorders>
              <w:top w:val="single" w:color="auto" w:sz="4" w:space="0"/>
              <w:left w:val="single" w:color="auto" w:sz="4" w:space="0"/>
              <w:bottom w:val="single" w:color="auto" w:sz="4" w:space="0"/>
              <w:right w:val="single" w:color="auto" w:sz="4" w:space="0"/>
            </w:tcBorders>
            <w:vAlign w:val="center"/>
          </w:tcPr>
          <w:p w14:paraId="198CDCD9">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《矿山电力设计标准》（50070-2020）第4.6.2条</w:t>
            </w:r>
          </w:p>
        </w:tc>
        <w:tc>
          <w:tcPr>
            <w:tcW w:w="1231" w:type="pct"/>
            <w:tcBorders>
              <w:top w:val="single" w:color="auto" w:sz="4" w:space="0"/>
              <w:left w:val="single" w:color="auto" w:sz="4" w:space="0"/>
              <w:bottom w:val="single" w:color="auto" w:sz="4" w:space="0"/>
              <w:right w:val="single" w:color="auto" w:sz="4" w:space="0"/>
            </w:tcBorders>
            <w:vAlign w:val="center"/>
          </w:tcPr>
          <w:p w14:paraId="4C012A00">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主接地极设在-505m水泵房的水仓中，均用两块面积不小于0.75m</w:t>
            </w:r>
            <w:r>
              <w:rPr>
                <w:rFonts w:hint="eastAsia" w:asciiTheme="minorHAnsi" w:hAnsiTheme="minorHAnsi" w:cstheme="minorHAnsi"/>
                <w:kern w:val="0"/>
                <w:sz w:val="21"/>
                <w:szCs w:val="21"/>
                <w:vertAlign w:val="superscript"/>
              </w:rPr>
              <w:t>2</w:t>
            </w:r>
            <w:r>
              <w:rPr>
                <w:rFonts w:hint="eastAsia" w:asciiTheme="minorHAnsi" w:hAnsiTheme="minorHAnsi" w:cstheme="minorHAnsi"/>
                <w:kern w:val="0"/>
                <w:sz w:val="21"/>
                <w:szCs w:val="21"/>
              </w:rPr>
              <w:t>、厚度不小于5mm的镀锌钢板。</w:t>
            </w:r>
          </w:p>
        </w:tc>
        <w:tc>
          <w:tcPr>
            <w:tcW w:w="397" w:type="pct"/>
            <w:tcBorders>
              <w:top w:val="single" w:color="auto" w:sz="4" w:space="0"/>
              <w:left w:val="single" w:color="auto" w:sz="4" w:space="0"/>
              <w:bottom w:val="single" w:color="auto" w:sz="4" w:space="0"/>
              <w:right w:val="single" w:color="auto" w:sz="4" w:space="0"/>
            </w:tcBorders>
            <w:vAlign w:val="center"/>
          </w:tcPr>
          <w:p w14:paraId="63B5328A">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960D198">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49B89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33FEAC3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2013" w:type="pct"/>
            <w:tcBorders>
              <w:top w:val="single" w:color="auto" w:sz="4" w:space="0"/>
              <w:left w:val="single" w:color="auto" w:sz="4" w:space="0"/>
              <w:bottom w:val="single" w:color="auto" w:sz="4" w:space="0"/>
              <w:right w:val="single" w:color="auto" w:sz="4" w:space="0"/>
            </w:tcBorders>
            <w:vAlign w:val="center"/>
          </w:tcPr>
          <w:p w14:paraId="4C227308">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当任一组主接地极断开时，井下接地网上任一接地点测得的接地电阻值不应大于2Ω。每一移动式和手持式电力设备与最近的接地极之间的保护接地电缆芯线的电阻值，不得大于1Ω。</w:t>
            </w:r>
          </w:p>
        </w:tc>
        <w:tc>
          <w:tcPr>
            <w:tcW w:w="1114" w:type="pct"/>
            <w:tcBorders>
              <w:top w:val="single" w:color="auto" w:sz="4" w:space="0"/>
              <w:left w:val="single" w:color="auto" w:sz="4" w:space="0"/>
              <w:bottom w:val="single" w:color="auto" w:sz="4" w:space="0"/>
              <w:right w:val="single" w:color="auto" w:sz="4" w:space="0"/>
            </w:tcBorders>
            <w:vAlign w:val="center"/>
          </w:tcPr>
          <w:p w14:paraId="60A3CFB3">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4.6.4条</w:t>
            </w:r>
          </w:p>
        </w:tc>
        <w:tc>
          <w:tcPr>
            <w:tcW w:w="1231" w:type="pct"/>
            <w:tcBorders>
              <w:top w:val="single" w:color="auto" w:sz="4" w:space="0"/>
              <w:left w:val="single" w:color="auto" w:sz="4" w:space="0"/>
              <w:bottom w:val="single" w:color="auto" w:sz="4" w:space="0"/>
              <w:right w:val="single" w:color="auto" w:sz="4" w:space="0"/>
            </w:tcBorders>
            <w:vAlign w:val="center"/>
          </w:tcPr>
          <w:p w14:paraId="0763DF0C">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距总接地极最远的接地极或其它任何接地极测得的接地网总过渡电阻不得超过2Ω。</w:t>
            </w:r>
          </w:p>
        </w:tc>
        <w:tc>
          <w:tcPr>
            <w:tcW w:w="397" w:type="pct"/>
            <w:tcBorders>
              <w:top w:val="single" w:color="auto" w:sz="4" w:space="0"/>
              <w:left w:val="single" w:color="auto" w:sz="4" w:space="0"/>
              <w:bottom w:val="single" w:color="auto" w:sz="4" w:space="0"/>
              <w:right w:val="single" w:color="auto" w:sz="4" w:space="0"/>
            </w:tcBorders>
            <w:vAlign w:val="center"/>
          </w:tcPr>
          <w:p w14:paraId="1D707ABF">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7F21AB61">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59B07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49C723F5">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7</w:t>
            </w:r>
          </w:p>
        </w:tc>
        <w:tc>
          <w:tcPr>
            <w:tcW w:w="2013" w:type="pct"/>
            <w:tcBorders>
              <w:top w:val="single" w:color="auto" w:sz="4" w:space="0"/>
              <w:left w:val="single" w:color="auto" w:sz="4" w:space="0"/>
              <w:right w:val="single" w:color="auto" w:sz="4" w:space="0"/>
            </w:tcBorders>
            <w:vAlign w:val="center"/>
          </w:tcPr>
          <w:p w14:paraId="77BB3D6D">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井下照明电压，应符合下列规定：</w:t>
            </w:r>
          </w:p>
          <w:p w14:paraId="65306D1D">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1主要巷道的固定式照明电压可采用220V或127V；</w:t>
            </w:r>
          </w:p>
          <w:p w14:paraId="0DD6EEBE">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2天井以及天井至回采工作面之间应采用36V；</w:t>
            </w:r>
          </w:p>
          <w:p w14:paraId="0991B682">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3采掘工作面应采用36V，当选择矿用防爆型灯具时可采用127V；</w:t>
            </w:r>
          </w:p>
          <w:p w14:paraId="361357A5">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4行灯电压不应大于36V。</w:t>
            </w:r>
          </w:p>
        </w:tc>
        <w:tc>
          <w:tcPr>
            <w:tcW w:w="1114" w:type="pct"/>
            <w:tcBorders>
              <w:top w:val="single" w:color="auto" w:sz="4" w:space="0"/>
              <w:left w:val="single" w:color="auto" w:sz="4" w:space="0"/>
              <w:right w:val="single" w:color="auto" w:sz="4" w:space="0"/>
            </w:tcBorders>
            <w:vAlign w:val="center"/>
          </w:tcPr>
          <w:p w14:paraId="1F16142F">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4.1.8条</w:t>
            </w:r>
          </w:p>
        </w:tc>
        <w:tc>
          <w:tcPr>
            <w:tcW w:w="1231" w:type="pct"/>
            <w:tcBorders>
              <w:top w:val="single" w:color="auto" w:sz="4" w:space="0"/>
              <w:left w:val="single" w:color="auto" w:sz="4" w:space="0"/>
              <w:right w:val="single" w:color="auto" w:sz="4" w:space="0"/>
            </w:tcBorders>
            <w:vAlign w:val="center"/>
          </w:tcPr>
          <w:p w14:paraId="1D617361">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坑内主要运输巷道及硐室采用220V。由人行天井至采场工作面采用36V。</w:t>
            </w:r>
          </w:p>
        </w:tc>
        <w:tc>
          <w:tcPr>
            <w:tcW w:w="397" w:type="pct"/>
            <w:tcBorders>
              <w:top w:val="single" w:color="auto" w:sz="4" w:space="0"/>
              <w:left w:val="single" w:color="auto" w:sz="4" w:space="0"/>
              <w:right w:val="single" w:color="auto" w:sz="4" w:space="0"/>
            </w:tcBorders>
            <w:vAlign w:val="center"/>
          </w:tcPr>
          <w:p w14:paraId="3E941B3E">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2E5EC8B">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DECD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6167A5D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8</w:t>
            </w:r>
          </w:p>
        </w:tc>
        <w:tc>
          <w:tcPr>
            <w:tcW w:w="2013" w:type="pct"/>
            <w:tcBorders>
              <w:top w:val="single" w:color="auto" w:sz="4" w:space="0"/>
              <w:left w:val="single" w:color="auto" w:sz="4" w:space="0"/>
              <w:bottom w:val="single" w:color="auto" w:sz="4" w:space="0"/>
              <w:right w:val="single" w:color="auto" w:sz="4" w:space="0"/>
            </w:tcBorders>
            <w:vAlign w:val="center"/>
          </w:tcPr>
          <w:p w14:paraId="605221F7">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井下电气设备类型选择应符合下列规定：</w:t>
            </w:r>
          </w:p>
          <w:p w14:paraId="49EDDA0B">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1无爆炸危险环境矿井，宜采用矿用一般型电气设备；</w:t>
            </w:r>
          </w:p>
          <w:p w14:paraId="44D2C59E">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2有爆炸危险环境矿井，应按国家现行有关标准执行；</w:t>
            </w:r>
          </w:p>
          <w:p w14:paraId="64F40E45">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3井下不应采用油浸式电气设备。</w:t>
            </w:r>
          </w:p>
        </w:tc>
        <w:tc>
          <w:tcPr>
            <w:tcW w:w="1114" w:type="pct"/>
            <w:tcBorders>
              <w:top w:val="single" w:color="auto" w:sz="4" w:space="0"/>
              <w:left w:val="single" w:color="auto" w:sz="4" w:space="0"/>
              <w:bottom w:val="single" w:color="auto" w:sz="4" w:space="0"/>
              <w:right w:val="single" w:color="auto" w:sz="4" w:space="0"/>
            </w:tcBorders>
            <w:vAlign w:val="center"/>
          </w:tcPr>
          <w:p w14:paraId="01D45F09">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4.2.1条</w:t>
            </w:r>
          </w:p>
        </w:tc>
        <w:tc>
          <w:tcPr>
            <w:tcW w:w="1231" w:type="pct"/>
            <w:tcBorders>
              <w:top w:val="single" w:color="auto" w:sz="4" w:space="0"/>
              <w:left w:val="single" w:color="auto" w:sz="4" w:space="0"/>
              <w:bottom w:val="single" w:color="auto" w:sz="4" w:space="0"/>
              <w:right w:val="single" w:color="auto" w:sz="4" w:space="0"/>
            </w:tcBorders>
            <w:vAlign w:val="center"/>
          </w:tcPr>
          <w:p w14:paraId="4B4E9A4F">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井下高低压柜按照《执行安全标志管理的矿用产品目录》进行选型。</w:t>
            </w:r>
          </w:p>
        </w:tc>
        <w:tc>
          <w:tcPr>
            <w:tcW w:w="397" w:type="pct"/>
            <w:tcBorders>
              <w:top w:val="single" w:color="auto" w:sz="4" w:space="0"/>
              <w:left w:val="single" w:color="auto" w:sz="4" w:space="0"/>
              <w:bottom w:val="single" w:color="auto" w:sz="4" w:space="0"/>
              <w:right w:val="single" w:color="auto" w:sz="4" w:space="0"/>
            </w:tcBorders>
            <w:vAlign w:val="center"/>
          </w:tcPr>
          <w:p w14:paraId="2182B1D4">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符合要求</w:t>
            </w:r>
          </w:p>
        </w:tc>
      </w:tr>
      <w:tr w14:paraId="3A12D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71EAE737">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9</w:t>
            </w:r>
          </w:p>
        </w:tc>
        <w:tc>
          <w:tcPr>
            <w:tcW w:w="2013" w:type="pct"/>
            <w:tcBorders>
              <w:top w:val="single" w:color="auto" w:sz="4" w:space="0"/>
              <w:left w:val="single" w:color="auto" w:sz="4" w:space="0"/>
              <w:bottom w:val="single" w:color="auto" w:sz="4" w:space="0"/>
              <w:right w:val="single" w:color="auto" w:sz="4" w:space="0"/>
            </w:tcBorders>
            <w:vAlign w:val="center"/>
          </w:tcPr>
          <w:p w14:paraId="262507CF">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电力电缆的选择应符合下列规定:</w:t>
            </w:r>
          </w:p>
          <w:p w14:paraId="75A94732">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在立井井筒或倾角45°及以上的井巷内，固定敷设的高压电缆应采用交联聚乙烯绝缘粗钢丝铠装聚氯乙烯护套电力电缆；</w:t>
            </w:r>
          </w:p>
          <w:p w14:paraId="7A1D2F70">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在水平巷道或倾角小于45°的井巷内，固定敷设的高压电缆应采用交联聚乙烯绝缘钢带或细钢丝铠装聚氯乙烯护套电力电缆；</w:t>
            </w:r>
          </w:p>
          <w:p w14:paraId="5BB51E18">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井下所有电缆应采用阻燃电缆。</w:t>
            </w:r>
          </w:p>
        </w:tc>
        <w:tc>
          <w:tcPr>
            <w:tcW w:w="1114" w:type="pct"/>
            <w:tcBorders>
              <w:top w:val="single" w:color="auto" w:sz="4" w:space="0"/>
              <w:left w:val="single" w:color="auto" w:sz="4" w:space="0"/>
              <w:bottom w:val="single" w:color="auto" w:sz="4" w:space="0"/>
              <w:right w:val="single" w:color="auto" w:sz="4" w:space="0"/>
            </w:tcBorders>
            <w:vAlign w:val="center"/>
          </w:tcPr>
          <w:p w14:paraId="4E5054F6">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4"/>
              </w:rPr>
              <w:t>《矿山电力设计标准》（50070-2020）第</w:t>
            </w:r>
            <w:r>
              <w:rPr>
                <w:rFonts w:asciiTheme="minorHAnsi" w:hAnsiTheme="minorHAnsi" w:cstheme="minorHAnsi"/>
                <w:kern w:val="0"/>
                <w:sz w:val="21"/>
                <w:szCs w:val="21"/>
              </w:rPr>
              <w:t>4.3.1条</w:t>
            </w:r>
          </w:p>
        </w:tc>
        <w:tc>
          <w:tcPr>
            <w:tcW w:w="1231" w:type="pct"/>
            <w:tcBorders>
              <w:top w:val="single" w:color="auto" w:sz="4" w:space="0"/>
              <w:left w:val="single" w:color="auto" w:sz="4" w:space="0"/>
              <w:bottom w:val="single" w:color="auto" w:sz="4" w:space="0"/>
              <w:right w:val="single" w:color="auto" w:sz="4" w:space="0"/>
            </w:tcBorders>
            <w:vAlign w:val="center"/>
          </w:tcPr>
          <w:p w14:paraId="367CA4BC">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井下使用的所有高、低压动力及控制电缆均采用低烟无卤阻燃型。可研未提及电缆敷设要求。</w:t>
            </w:r>
          </w:p>
        </w:tc>
        <w:tc>
          <w:tcPr>
            <w:tcW w:w="397" w:type="pct"/>
            <w:tcBorders>
              <w:top w:val="single" w:color="auto" w:sz="4" w:space="0"/>
              <w:left w:val="single" w:color="auto" w:sz="4" w:space="0"/>
              <w:bottom w:val="single" w:color="auto" w:sz="4" w:space="0"/>
              <w:right w:val="single" w:color="auto" w:sz="4" w:space="0"/>
            </w:tcBorders>
            <w:vAlign w:val="center"/>
          </w:tcPr>
          <w:p w14:paraId="66C8A29A">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下一步设计阶段完善</w:t>
            </w:r>
          </w:p>
        </w:tc>
      </w:tr>
      <w:tr w14:paraId="33539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7F5326FF">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10</w:t>
            </w:r>
          </w:p>
        </w:tc>
        <w:tc>
          <w:tcPr>
            <w:tcW w:w="2013" w:type="pct"/>
            <w:tcBorders>
              <w:top w:val="single" w:color="auto" w:sz="4" w:space="0"/>
              <w:left w:val="single" w:color="auto" w:sz="4" w:space="0"/>
              <w:bottom w:val="single" w:color="auto" w:sz="4" w:space="0"/>
              <w:right w:val="single" w:color="auto" w:sz="4" w:space="0"/>
            </w:tcBorders>
            <w:vAlign w:val="center"/>
          </w:tcPr>
          <w:p w14:paraId="6D44C101">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井下所有作业地点、安全通道和通往作业地点的通道均应设照明。</w:t>
            </w:r>
          </w:p>
        </w:tc>
        <w:tc>
          <w:tcPr>
            <w:tcW w:w="1114" w:type="pct"/>
            <w:tcBorders>
              <w:top w:val="single" w:color="auto" w:sz="4" w:space="0"/>
              <w:left w:val="single" w:color="auto" w:sz="4" w:space="0"/>
              <w:bottom w:val="single" w:color="auto" w:sz="4" w:space="0"/>
              <w:right w:val="single" w:color="auto" w:sz="4" w:space="0"/>
            </w:tcBorders>
            <w:vAlign w:val="center"/>
          </w:tcPr>
          <w:p w14:paraId="01AD43DF">
            <w:pPr>
              <w:adjustRightInd w:val="0"/>
              <w:snapToGri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《金属非金属矿山安全规程》（GB16423-2020）第6.7.5.1条</w:t>
            </w:r>
          </w:p>
        </w:tc>
        <w:tc>
          <w:tcPr>
            <w:tcW w:w="1231" w:type="pct"/>
            <w:tcBorders>
              <w:top w:val="single" w:color="auto" w:sz="4" w:space="0"/>
              <w:left w:val="single" w:color="auto" w:sz="4" w:space="0"/>
              <w:bottom w:val="single" w:color="auto" w:sz="4" w:space="0"/>
              <w:right w:val="single" w:color="auto" w:sz="4" w:space="0"/>
            </w:tcBorders>
            <w:vAlign w:val="center"/>
          </w:tcPr>
          <w:p w14:paraId="6F1162E7">
            <w:pPr>
              <w:adjustRightInd w:val="0"/>
              <w:snapToGri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在井下变电所、主要排水泵房、监控室、生产调度室、通信站和网络中心、提升机房、通风机房、避灾硐室、矿山救护值班室等要安装应急照明。</w:t>
            </w:r>
          </w:p>
        </w:tc>
        <w:tc>
          <w:tcPr>
            <w:tcW w:w="397" w:type="pct"/>
            <w:tcBorders>
              <w:top w:val="single" w:color="auto" w:sz="4" w:space="0"/>
              <w:left w:val="single" w:color="auto" w:sz="4" w:space="0"/>
              <w:bottom w:val="single" w:color="auto" w:sz="4" w:space="0"/>
              <w:right w:val="single" w:color="auto" w:sz="4" w:space="0"/>
            </w:tcBorders>
            <w:vAlign w:val="center"/>
          </w:tcPr>
          <w:p w14:paraId="71FBB9A5">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90C2E29">
            <w:pPr>
              <w:snapToGrid w:val="0"/>
              <w:spacing w:line="240" w:lineRule="auto"/>
              <w:ind w:firstLine="0" w:firstLineChars="0"/>
              <w:jc w:val="left"/>
              <w:rPr>
                <w:rFonts w:asciiTheme="minorHAnsi" w:hAnsiTheme="minorHAnsi" w:cstheme="minorHAnsi"/>
                <w:sz w:val="21"/>
                <w:szCs w:val="21"/>
              </w:rPr>
            </w:pPr>
            <w:r>
              <w:rPr>
                <w:rFonts w:asciiTheme="minorHAnsi" w:hAnsiTheme="minorHAnsi" w:cstheme="minorHAnsi"/>
                <w:sz w:val="21"/>
                <w:szCs w:val="21"/>
              </w:rPr>
              <w:t>要求</w:t>
            </w:r>
          </w:p>
        </w:tc>
      </w:tr>
      <w:tr w14:paraId="73DCB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4" w:type="pct"/>
            <w:tcBorders>
              <w:top w:val="single" w:color="auto" w:sz="4" w:space="0"/>
              <w:left w:val="single" w:color="auto" w:sz="4" w:space="0"/>
              <w:bottom w:val="single" w:color="auto" w:sz="4" w:space="0"/>
              <w:right w:val="single" w:color="auto" w:sz="4" w:space="0"/>
            </w:tcBorders>
            <w:vAlign w:val="center"/>
          </w:tcPr>
          <w:p w14:paraId="28DCD4ED">
            <w:pPr>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11</w:t>
            </w:r>
          </w:p>
        </w:tc>
        <w:tc>
          <w:tcPr>
            <w:tcW w:w="2013" w:type="pct"/>
            <w:tcBorders>
              <w:top w:val="single" w:color="auto" w:sz="4" w:space="0"/>
              <w:left w:val="single" w:color="auto" w:sz="4" w:space="0"/>
              <w:bottom w:val="single" w:color="auto" w:sz="4" w:space="0"/>
              <w:right w:val="single" w:color="auto" w:sz="4" w:space="0"/>
            </w:tcBorders>
            <w:vAlign w:val="center"/>
          </w:tcPr>
          <w:p w14:paraId="3AE14790">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井下应采用低烟、低卤或无卤的阻燃电缆。</w:t>
            </w:r>
          </w:p>
        </w:tc>
        <w:tc>
          <w:tcPr>
            <w:tcW w:w="1114" w:type="pct"/>
            <w:tcBorders>
              <w:top w:val="single" w:color="auto" w:sz="4" w:space="0"/>
              <w:left w:val="single" w:color="auto" w:sz="4" w:space="0"/>
              <w:bottom w:val="single" w:color="auto" w:sz="4" w:space="0"/>
              <w:right w:val="single" w:color="auto" w:sz="4" w:space="0"/>
            </w:tcBorders>
            <w:vAlign w:val="center"/>
          </w:tcPr>
          <w:p w14:paraId="7A68139E">
            <w:pPr>
              <w:adjustRightInd w:val="0"/>
              <w:snapToGrid w:val="0"/>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《金属非金属矿山安全规程》（GB16423-2020）</w:t>
            </w:r>
          </w:p>
          <w:p w14:paraId="6F833361">
            <w:pPr>
              <w:adjustRightInd w:val="0"/>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第6.7.2.1条</w:t>
            </w:r>
          </w:p>
        </w:tc>
        <w:tc>
          <w:tcPr>
            <w:tcW w:w="1231" w:type="pct"/>
            <w:tcBorders>
              <w:top w:val="single" w:color="auto" w:sz="4" w:space="0"/>
              <w:left w:val="single" w:color="auto" w:sz="4" w:space="0"/>
              <w:bottom w:val="single" w:color="auto" w:sz="4" w:space="0"/>
              <w:right w:val="single" w:color="auto" w:sz="4" w:space="0"/>
            </w:tcBorders>
            <w:vAlign w:val="center"/>
          </w:tcPr>
          <w:p w14:paraId="00F95DFE">
            <w:pPr>
              <w:adjustRightInd w:val="0"/>
              <w:snapToGrid w:val="0"/>
              <w:spacing w:line="240" w:lineRule="auto"/>
              <w:ind w:firstLine="0" w:firstLineChars="0"/>
              <w:rPr>
                <w:rFonts w:asciiTheme="minorHAnsi" w:hAnsiTheme="minorHAnsi" w:cstheme="minorHAnsi"/>
                <w:kern w:val="0"/>
                <w:sz w:val="21"/>
                <w:szCs w:val="21"/>
              </w:rPr>
            </w:pPr>
            <w:r>
              <w:rPr>
                <w:rFonts w:hint="eastAsia" w:asciiTheme="minorHAnsi" w:hAnsiTheme="minorHAnsi" w:cstheme="minorHAnsi"/>
                <w:kern w:val="0"/>
                <w:sz w:val="21"/>
                <w:szCs w:val="21"/>
              </w:rPr>
              <w:t>井下使用的所有高、低压动力及控制电缆均采用低烟无卤阻燃型。</w:t>
            </w:r>
          </w:p>
        </w:tc>
        <w:tc>
          <w:tcPr>
            <w:tcW w:w="397" w:type="pct"/>
            <w:tcBorders>
              <w:top w:val="single" w:color="auto" w:sz="4" w:space="0"/>
              <w:left w:val="single" w:color="auto" w:sz="4" w:space="0"/>
              <w:bottom w:val="single" w:color="auto" w:sz="4" w:space="0"/>
              <w:right w:val="single" w:color="auto" w:sz="4" w:space="0"/>
            </w:tcBorders>
            <w:vAlign w:val="center"/>
          </w:tcPr>
          <w:p w14:paraId="46BA4B04">
            <w:pPr>
              <w:snapToGrid w:val="0"/>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符合要求</w:t>
            </w:r>
          </w:p>
        </w:tc>
      </w:tr>
    </w:tbl>
    <w:p w14:paraId="6515448E">
      <w:pPr>
        <w:adjustRightInd w:val="0"/>
        <w:snapToGrid w:val="0"/>
        <w:spacing w:line="360" w:lineRule="auto"/>
        <w:ind w:firstLine="0" w:firstLineChars="0"/>
        <w:outlineLvl w:val="2"/>
        <w:rPr>
          <w:rFonts w:asciiTheme="minorHAnsi" w:hAnsiTheme="minorHAnsi" w:cstheme="minorHAnsi"/>
          <w:b/>
          <w:szCs w:val="28"/>
        </w:rPr>
      </w:pPr>
      <w:bookmarkStart w:id="133" w:name="_Toc466027994"/>
      <w:r>
        <w:rPr>
          <w:rFonts w:asciiTheme="minorHAnsi" w:hAnsiTheme="minorHAnsi" w:cstheme="minorHAnsi"/>
          <w:b/>
          <w:szCs w:val="28"/>
        </w:rPr>
        <w:t>3.8.4评价小结</w:t>
      </w:r>
      <w:bookmarkEnd w:id="133"/>
    </w:p>
    <w:p w14:paraId="7BF3DEB6">
      <w:pPr>
        <w:snapToGrid w:val="0"/>
        <w:spacing w:line="360" w:lineRule="auto"/>
        <w:ind w:firstLine="560"/>
        <w:rPr>
          <w:rFonts w:asciiTheme="minorHAnsi" w:hAnsiTheme="minorHAnsi" w:cstheme="minorHAnsi"/>
          <w:szCs w:val="28"/>
        </w:rPr>
      </w:pPr>
      <w:r>
        <w:rPr>
          <w:rFonts w:asciiTheme="minorHAnsi" w:hAnsiTheme="minorHAnsi" w:cstheme="minorHAnsi"/>
          <w:szCs w:val="28"/>
        </w:rPr>
        <w:t>可研中对供电方案及防雷设施作了设计描述，总体符合</w:t>
      </w:r>
      <w:r>
        <w:rPr>
          <w:rFonts w:asciiTheme="minorHAnsi" w:hAnsiTheme="minorHAnsi" w:cstheme="minorHAnsi"/>
          <w:kern w:val="0"/>
          <w:szCs w:val="28"/>
        </w:rPr>
        <w:t>《矿山电力设计标准》（50070-2020）、</w:t>
      </w:r>
      <w:r>
        <w:rPr>
          <w:rFonts w:asciiTheme="minorHAnsi" w:hAnsiTheme="minorHAnsi" w:cstheme="minorHAnsi"/>
          <w:szCs w:val="28"/>
        </w:rPr>
        <w:t>《建筑物防雷设计规范》（GB50057-2010）</w:t>
      </w:r>
      <w:r>
        <w:rPr>
          <w:rFonts w:asciiTheme="minorHAnsi" w:hAnsiTheme="minorHAnsi" w:cstheme="minorHAnsi"/>
          <w:kern w:val="0"/>
          <w:szCs w:val="28"/>
        </w:rPr>
        <w:t>等标准规范</w:t>
      </w:r>
      <w:r>
        <w:rPr>
          <w:rFonts w:asciiTheme="minorHAnsi" w:hAnsiTheme="minorHAnsi" w:cstheme="minorHAnsi"/>
          <w:szCs w:val="28"/>
        </w:rPr>
        <w:t>的要求。</w:t>
      </w:r>
    </w:p>
    <w:p w14:paraId="55B3F83B">
      <w:pPr>
        <w:snapToGrid w:val="0"/>
        <w:spacing w:line="360" w:lineRule="auto"/>
        <w:ind w:firstLine="562"/>
        <w:rPr>
          <w:rFonts w:asciiTheme="minorHAnsi" w:hAnsiTheme="minorHAnsi" w:cstheme="minorHAnsi"/>
          <w:b/>
          <w:szCs w:val="28"/>
        </w:rPr>
      </w:pPr>
      <w:r>
        <w:rPr>
          <w:rFonts w:asciiTheme="minorHAnsi" w:hAnsiTheme="minorHAnsi" w:cstheme="minorHAnsi"/>
          <w:b/>
          <w:szCs w:val="28"/>
        </w:rPr>
        <w:t>下一阶段设计中需完善的问题有：</w:t>
      </w:r>
    </w:p>
    <w:p w14:paraId="7446E30C">
      <w:pPr>
        <w:snapToGrid w:val="0"/>
        <w:spacing w:line="360" w:lineRule="auto"/>
        <w:ind w:firstLine="564"/>
        <w:rPr>
          <w:rFonts w:asciiTheme="minorHAnsi" w:hAnsiTheme="minorHAnsi" w:cstheme="minorHAnsi"/>
          <w:snapToGrid w:val="0"/>
          <w:kern w:val="0"/>
          <w:szCs w:val="24"/>
        </w:rPr>
      </w:pPr>
      <w:r>
        <w:rPr>
          <w:rFonts w:hint="eastAsia" w:asciiTheme="minorHAnsi" w:hAnsiTheme="minorHAnsi" w:cstheme="minorHAnsi"/>
          <w:spacing w:val="2"/>
          <w:szCs w:val="21"/>
        </w:rPr>
        <w:t>（1）</w:t>
      </w:r>
      <w:r>
        <w:rPr>
          <w:rFonts w:asciiTheme="minorHAnsi" w:hAnsiTheme="minorHAnsi" w:cstheme="minorHAnsi"/>
          <w:spacing w:val="2"/>
          <w:szCs w:val="21"/>
        </w:rPr>
        <w:t>下一阶段设计</w:t>
      </w:r>
      <w:r>
        <w:rPr>
          <w:rFonts w:hint="eastAsia" w:asciiTheme="minorHAnsi" w:hAnsiTheme="minorHAnsi" w:cstheme="minorHAnsi"/>
          <w:spacing w:val="2"/>
          <w:szCs w:val="21"/>
        </w:rPr>
        <w:t>应对电力电缆的选择及敷设进行详细设计</w:t>
      </w:r>
      <w:r>
        <w:rPr>
          <w:rFonts w:hint="eastAsia" w:asciiTheme="minorHAnsi" w:hAnsiTheme="minorHAnsi" w:cstheme="minorHAnsi"/>
          <w:snapToGrid w:val="0"/>
          <w:kern w:val="0"/>
          <w:szCs w:val="24"/>
        </w:rPr>
        <w:t>。</w:t>
      </w:r>
    </w:p>
    <w:p w14:paraId="5E81279D">
      <w:pPr>
        <w:pStyle w:val="4"/>
        <w:spacing w:before="190" w:after="190" w:line="360" w:lineRule="exact"/>
        <w:rPr>
          <w:rFonts w:asciiTheme="minorHAnsi" w:hAnsiTheme="minorHAnsi" w:cstheme="minorHAnsi"/>
        </w:rPr>
      </w:pPr>
      <w:bookmarkStart w:id="134" w:name="_Toc199426945"/>
      <w:r>
        <w:rPr>
          <w:rFonts w:asciiTheme="minorHAnsi" w:hAnsiTheme="minorHAnsi" w:cstheme="minorHAnsi"/>
        </w:rPr>
        <w:t>3.9</w:t>
      </w:r>
      <w:bookmarkEnd w:id="126"/>
      <w:r>
        <w:rPr>
          <w:rFonts w:hint="eastAsia" w:asciiTheme="minorHAnsi" w:hAnsiTheme="minorHAnsi" w:cstheme="minorHAnsi"/>
        </w:rPr>
        <w:t>安全避险“六大系统”系统</w:t>
      </w:r>
      <w:bookmarkEnd w:id="134"/>
    </w:p>
    <w:bookmarkEnd w:id="128"/>
    <w:p w14:paraId="1BD98D60">
      <w:pPr>
        <w:adjustRightInd w:val="0"/>
        <w:snapToGrid w:val="0"/>
        <w:spacing w:line="360" w:lineRule="auto"/>
        <w:ind w:firstLine="700" w:firstLineChars="250"/>
        <w:rPr>
          <w:rFonts w:asciiTheme="minorHAnsi" w:hAnsiTheme="minorHAnsi" w:cstheme="minorHAnsi"/>
          <w:szCs w:val="28"/>
        </w:rPr>
      </w:pPr>
      <w:r>
        <w:rPr>
          <w:rFonts w:asciiTheme="minorHAnsi" w:hAnsiTheme="minorHAnsi" w:cstheme="minorHAnsi"/>
          <w:szCs w:val="28"/>
        </w:rPr>
        <w:t>本章节依据《金属非金属地下矿山监测监控系统建设规范》（AQ2031-2011）、《金属非金属地下矿山人员定位系统建设规范》（AQ2032-2011）、《金属非金属地下矿山紧急避险系统建设规范》（KA/T 2033-2023）、《金属非金属地下矿山压风自救系统建设规范》（KA/T 2034-2023）、《金属非金属地下矿山供水施救系统建设规范》（KA/T 2035-2023）和《金属非金属地下矿山通信联络系统建设规范》（AQ2036-2011）对</w:t>
      </w:r>
      <w:r>
        <w:rPr>
          <w:rFonts w:hint="eastAsia" w:asciiTheme="minorHAnsi" w:hAnsiTheme="minorHAnsi" w:cstheme="minorHAnsi"/>
          <w:szCs w:val="28"/>
        </w:rPr>
        <w:t>安全避险“六大系统”系统</w:t>
      </w:r>
      <w:r>
        <w:rPr>
          <w:rFonts w:asciiTheme="minorHAnsi" w:hAnsiTheme="minorHAnsi" w:cstheme="minorHAnsi"/>
          <w:szCs w:val="28"/>
        </w:rPr>
        <w:t>可研涉及的安全设施进行检查分析，见表3.9-1。</w:t>
      </w:r>
    </w:p>
    <w:p w14:paraId="04115F77">
      <w:pPr>
        <w:pStyle w:val="128"/>
        <w:snapToGrid w:val="0"/>
        <w:spacing w:line="360" w:lineRule="auto"/>
        <w:jc w:val="center"/>
        <w:rPr>
          <w:rFonts w:asciiTheme="minorHAnsi" w:hAnsiTheme="minorHAnsi" w:eastAsiaTheme="minorEastAsia" w:cstheme="minorHAnsi"/>
        </w:rPr>
      </w:pPr>
      <w:r>
        <w:rPr>
          <w:rFonts w:asciiTheme="minorHAnsi" w:hAnsiTheme="minorHAnsi" w:eastAsiaTheme="minorEastAsia" w:cstheme="minorHAnsi"/>
        </w:rPr>
        <w:t>表3.9-1</w:t>
      </w:r>
      <w:r>
        <w:rPr>
          <w:rFonts w:hint="eastAsia" w:asciiTheme="minorHAnsi" w:hAnsiTheme="minorHAnsi" w:eastAsiaTheme="minorEastAsia" w:cstheme="minorHAnsi"/>
        </w:rPr>
        <w:t>安全避险“六大系统”系统</w:t>
      </w:r>
      <w:r>
        <w:rPr>
          <w:rFonts w:asciiTheme="minorHAnsi" w:hAnsiTheme="minorHAnsi" w:eastAsiaTheme="minorEastAsia" w:cstheme="minorHAnsi"/>
        </w:rPr>
        <w:t>单元安全检查表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2371"/>
        <w:gridCol w:w="1819"/>
        <w:gridCol w:w="3612"/>
        <w:gridCol w:w="1010"/>
      </w:tblGrid>
      <w:tr w14:paraId="2802C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9" w:type="pct"/>
            <w:tcBorders>
              <w:top w:val="single" w:color="auto" w:sz="4" w:space="0"/>
              <w:left w:val="single" w:color="auto" w:sz="4" w:space="0"/>
              <w:bottom w:val="single" w:color="auto" w:sz="4" w:space="0"/>
              <w:right w:val="single" w:color="auto" w:sz="4" w:space="0"/>
            </w:tcBorders>
            <w:vAlign w:val="center"/>
          </w:tcPr>
          <w:p w14:paraId="29880590">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序号</w:t>
            </w:r>
          </w:p>
        </w:tc>
        <w:tc>
          <w:tcPr>
            <w:tcW w:w="1246" w:type="pct"/>
            <w:tcBorders>
              <w:top w:val="single" w:color="auto" w:sz="4" w:space="0"/>
              <w:left w:val="single" w:color="auto" w:sz="4" w:space="0"/>
              <w:bottom w:val="single" w:color="auto" w:sz="4" w:space="0"/>
              <w:right w:val="single" w:color="auto" w:sz="4" w:space="0"/>
            </w:tcBorders>
            <w:vAlign w:val="center"/>
          </w:tcPr>
          <w:p w14:paraId="624A3B07">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检查项目</w:t>
            </w:r>
          </w:p>
        </w:tc>
        <w:tc>
          <w:tcPr>
            <w:tcW w:w="956" w:type="pct"/>
            <w:tcBorders>
              <w:top w:val="single" w:color="auto" w:sz="4" w:space="0"/>
              <w:left w:val="single" w:color="auto" w:sz="4" w:space="0"/>
              <w:bottom w:val="single" w:color="auto" w:sz="4" w:space="0"/>
              <w:right w:val="single" w:color="auto" w:sz="4" w:space="0"/>
            </w:tcBorders>
            <w:vAlign w:val="center"/>
          </w:tcPr>
          <w:p w14:paraId="54C773F4">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检查依据</w:t>
            </w:r>
          </w:p>
        </w:tc>
        <w:tc>
          <w:tcPr>
            <w:tcW w:w="1898" w:type="pct"/>
            <w:tcBorders>
              <w:top w:val="single" w:color="auto" w:sz="4" w:space="0"/>
              <w:left w:val="single" w:color="auto" w:sz="4" w:space="0"/>
              <w:bottom w:val="single" w:color="auto" w:sz="4" w:space="0"/>
              <w:right w:val="single" w:color="auto" w:sz="4" w:space="0"/>
            </w:tcBorders>
            <w:vAlign w:val="center"/>
          </w:tcPr>
          <w:p w14:paraId="02B82D83">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可研情况说明</w:t>
            </w:r>
          </w:p>
        </w:tc>
        <w:tc>
          <w:tcPr>
            <w:tcW w:w="530" w:type="pct"/>
            <w:tcBorders>
              <w:top w:val="single" w:color="auto" w:sz="4" w:space="0"/>
              <w:left w:val="single" w:color="auto" w:sz="4" w:space="0"/>
              <w:bottom w:val="single" w:color="auto" w:sz="4" w:space="0"/>
              <w:right w:val="single" w:color="auto" w:sz="4" w:space="0"/>
            </w:tcBorders>
            <w:vAlign w:val="center"/>
          </w:tcPr>
          <w:p w14:paraId="6EB6B435">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检查</w:t>
            </w:r>
          </w:p>
          <w:p w14:paraId="722C493E">
            <w:pPr>
              <w:spacing w:line="240" w:lineRule="auto"/>
              <w:ind w:firstLine="0" w:firstLineChars="0"/>
              <w:jc w:val="center"/>
              <w:rPr>
                <w:rFonts w:asciiTheme="minorHAnsi" w:hAnsiTheme="minorHAnsi" w:cstheme="minorHAnsi"/>
                <w:b/>
                <w:sz w:val="21"/>
                <w:szCs w:val="21"/>
              </w:rPr>
            </w:pPr>
            <w:r>
              <w:rPr>
                <w:rFonts w:asciiTheme="minorHAnsi" w:hAnsiTheme="minorHAnsi" w:cstheme="minorHAnsi"/>
                <w:b/>
                <w:sz w:val="21"/>
                <w:szCs w:val="21"/>
              </w:rPr>
              <w:t>结果</w:t>
            </w:r>
          </w:p>
        </w:tc>
      </w:tr>
      <w:tr w14:paraId="4B7EB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0DA5F2CE">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一</w:t>
            </w:r>
          </w:p>
        </w:tc>
        <w:tc>
          <w:tcPr>
            <w:tcW w:w="1246" w:type="pct"/>
            <w:tcBorders>
              <w:top w:val="single" w:color="auto" w:sz="4" w:space="0"/>
              <w:left w:val="single" w:color="auto" w:sz="4" w:space="0"/>
              <w:bottom w:val="single" w:color="auto" w:sz="4" w:space="0"/>
              <w:right w:val="single" w:color="auto" w:sz="4" w:space="0"/>
            </w:tcBorders>
            <w:vAlign w:val="center"/>
          </w:tcPr>
          <w:p w14:paraId="32608408">
            <w:pPr>
              <w:adjustRightInd w:val="0"/>
              <w:spacing w:line="240" w:lineRule="auto"/>
              <w:ind w:firstLine="0" w:firstLineChars="0"/>
              <w:jc w:val="center"/>
              <w:rPr>
                <w:rFonts w:asciiTheme="minorHAnsi" w:hAnsiTheme="minorHAnsi" w:cstheme="minorHAnsi"/>
                <w:sz w:val="21"/>
                <w:szCs w:val="21"/>
              </w:rPr>
            </w:pPr>
            <w:r>
              <w:rPr>
                <w:rFonts w:asciiTheme="minorHAnsi" w:hAnsiTheme="minorHAnsi" w:cstheme="minorHAnsi"/>
                <w:kern w:val="0"/>
                <w:sz w:val="21"/>
                <w:szCs w:val="21"/>
              </w:rPr>
              <w:t>监测监控系统</w:t>
            </w:r>
          </w:p>
        </w:tc>
        <w:tc>
          <w:tcPr>
            <w:tcW w:w="956" w:type="pct"/>
            <w:tcBorders>
              <w:top w:val="single" w:color="auto" w:sz="4" w:space="0"/>
              <w:left w:val="single" w:color="auto" w:sz="4" w:space="0"/>
              <w:bottom w:val="single" w:color="auto" w:sz="4" w:space="0"/>
              <w:right w:val="single" w:color="auto" w:sz="4" w:space="0"/>
            </w:tcBorders>
            <w:vAlign w:val="center"/>
          </w:tcPr>
          <w:p w14:paraId="3BB5ED6A">
            <w:pPr>
              <w:spacing w:line="240" w:lineRule="auto"/>
              <w:ind w:firstLine="0" w:firstLineChars="0"/>
              <w:jc w:val="center"/>
              <w:rPr>
                <w:rFonts w:asciiTheme="minorHAnsi" w:hAnsiTheme="minorHAnsi" w:cstheme="minorHAnsi"/>
                <w:kern w:val="0"/>
                <w:sz w:val="21"/>
                <w:szCs w:val="21"/>
              </w:rPr>
            </w:pPr>
            <w:bookmarkStart w:id="135" w:name="_Toc71789710"/>
            <w:bookmarkStart w:id="136" w:name="_Toc449950205"/>
            <w:bookmarkStart w:id="137" w:name="_Toc31709"/>
            <w:bookmarkStart w:id="138" w:name="_Toc438732633"/>
            <w:bookmarkStart w:id="139" w:name="_Toc453588405"/>
            <w:bookmarkStart w:id="140" w:name="_Toc411331174"/>
            <w:bookmarkStart w:id="141" w:name="_Toc449950383"/>
            <w:bookmarkStart w:id="142" w:name="_Toc27048"/>
            <w:bookmarkStart w:id="143" w:name="_Toc452552757"/>
            <w:bookmarkStart w:id="144" w:name="_Toc435278464"/>
            <w:bookmarkStart w:id="145" w:name="_Toc451426733"/>
            <w:r>
              <w:rPr>
                <w:rFonts w:asciiTheme="minorHAnsi" w:hAnsiTheme="minorHAnsi" w:cstheme="minorHAnsi"/>
                <w:kern w:val="0"/>
                <w:sz w:val="21"/>
                <w:szCs w:val="21"/>
              </w:rPr>
              <w:t>《金属非金属地下矿山监测监控系统建设规范》</w:t>
            </w:r>
            <w:bookmarkEnd w:id="135"/>
            <w:bookmarkEnd w:id="136"/>
            <w:bookmarkEnd w:id="137"/>
            <w:bookmarkEnd w:id="138"/>
            <w:bookmarkEnd w:id="139"/>
            <w:bookmarkEnd w:id="140"/>
            <w:bookmarkEnd w:id="141"/>
            <w:bookmarkEnd w:id="142"/>
            <w:bookmarkEnd w:id="143"/>
            <w:bookmarkEnd w:id="144"/>
            <w:bookmarkEnd w:id="145"/>
          </w:p>
          <w:p w14:paraId="4D61D26D">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tc>
        <w:tc>
          <w:tcPr>
            <w:tcW w:w="1898" w:type="pct"/>
            <w:tcBorders>
              <w:top w:val="single" w:color="auto" w:sz="4" w:space="0"/>
              <w:left w:val="single" w:color="auto" w:sz="4" w:space="0"/>
              <w:bottom w:val="single" w:color="auto" w:sz="4" w:space="0"/>
              <w:right w:val="single" w:color="auto" w:sz="4" w:space="0"/>
            </w:tcBorders>
            <w:vAlign w:val="center"/>
          </w:tcPr>
          <w:p w14:paraId="3CD26E0C">
            <w:pPr>
              <w:adjustRightInd w:val="0"/>
              <w:spacing w:line="240" w:lineRule="auto"/>
              <w:ind w:firstLine="0" w:firstLineChars="0"/>
              <w:rPr>
                <w:rFonts w:asciiTheme="minorHAnsi" w:hAnsiTheme="minorHAnsi" w:cstheme="minorHAnsi"/>
                <w:sz w:val="21"/>
                <w:szCs w:val="21"/>
              </w:rPr>
            </w:pPr>
          </w:p>
        </w:tc>
        <w:tc>
          <w:tcPr>
            <w:tcW w:w="530" w:type="pct"/>
            <w:tcBorders>
              <w:top w:val="single" w:color="auto" w:sz="4" w:space="0"/>
              <w:left w:val="single" w:color="auto" w:sz="4" w:space="0"/>
              <w:bottom w:val="single" w:color="auto" w:sz="4" w:space="0"/>
              <w:right w:val="single" w:color="auto" w:sz="4" w:space="0"/>
            </w:tcBorders>
            <w:vAlign w:val="center"/>
          </w:tcPr>
          <w:p w14:paraId="6FD4A304">
            <w:pPr>
              <w:spacing w:line="240" w:lineRule="auto"/>
              <w:ind w:firstLine="0" w:firstLineChars="0"/>
              <w:jc w:val="center"/>
              <w:rPr>
                <w:rFonts w:asciiTheme="minorHAnsi" w:hAnsiTheme="minorHAnsi" w:cstheme="minorHAnsi"/>
                <w:sz w:val="21"/>
                <w:szCs w:val="21"/>
              </w:rPr>
            </w:pPr>
          </w:p>
        </w:tc>
      </w:tr>
      <w:tr w14:paraId="4DF01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7297C0A">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6D8882EB">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监测监控系统由主机、传输接口、传输线缆、分站、传感器等设备及管理软件组成的系统，具有信息采集、传输、存储、处理、显示、打印和声光报警功能，用于监测金属非金属地下矿山有毒有害气体浓度，以及风速、风压、温度、烟雾、通风机开停状态、地压等。</w:t>
            </w:r>
          </w:p>
        </w:tc>
        <w:tc>
          <w:tcPr>
            <w:tcW w:w="956" w:type="pct"/>
            <w:tcBorders>
              <w:top w:val="single" w:color="auto" w:sz="4" w:space="0"/>
              <w:left w:val="single" w:color="auto" w:sz="4" w:space="0"/>
              <w:bottom w:val="single" w:color="auto" w:sz="4" w:space="0"/>
              <w:right w:val="single" w:color="auto" w:sz="4" w:space="0"/>
            </w:tcBorders>
            <w:vAlign w:val="center"/>
          </w:tcPr>
          <w:p w14:paraId="291351CE">
            <w:pPr>
              <w:spacing w:line="240" w:lineRule="auto"/>
              <w:ind w:firstLine="0" w:firstLineChars="0"/>
              <w:jc w:val="center"/>
              <w:rPr>
                <w:rFonts w:asciiTheme="minorHAnsi" w:hAnsiTheme="minorHAnsi" w:cstheme="minorHAnsi"/>
                <w:kern w:val="0"/>
                <w:sz w:val="21"/>
                <w:szCs w:val="21"/>
              </w:rPr>
            </w:pPr>
            <w:bookmarkStart w:id="146" w:name="_Toc452552758"/>
            <w:bookmarkStart w:id="147" w:name="_Toc29854"/>
            <w:bookmarkStart w:id="148" w:name="_Toc449950384"/>
            <w:bookmarkStart w:id="149" w:name="_Toc453588406"/>
            <w:bookmarkStart w:id="150" w:name="_Toc438732634"/>
            <w:bookmarkStart w:id="151" w:name="_Toc435278465"/>
            <w:bookmarkStart w:id="152" w:name="_Toc451426734"/>
            <w:bookmarkStart w:id="153" w:name="_Toc449950206"/>
            <w:bookmarkStart w:id="154" w:name="_Toc411331175"/>
            <w:bookmarkStart w:id="155" w:name="_Toc71789711"/>
            <w:bookmarkStart w:id="156" w:name="_Toc668"/>
            <w:r>
              <w:rPr>
                <w:rFonts w:asciiTheme="minorHAnsi" w:hAnsiTheme="minorHAnsi" w:cstheme="minorHAnsi"/>
                <w:kern w:val="0"/>
                <w:sz w:val="21"/>
                <w:szCs w:val="21"/>
              </w:rPr>
              <w:t>《金属非金属地下矿山监测监控系统建设规范》</w:t>
            </w:r>
            <w:bookmarkEnd w:id="146"/>
            <w:bookmarkEnd w:id="147"/>
            <w:bookmarkEnd w:id="148"/>
            <w:bookmarkEnd w:id="149"/>
            <w:bookmarkEnd w:id="150"/>
            <w:bookmarkEnd w:id="151"/>
            <w:bookmarkEnd w:id="152"/>
            <w:bookmarkEnd w:id="153"/>
            <w:bookmarkEnd w:id="154"/>
            <w:bookmarkEnd w:id="155"/>
            <w:bookmarkEnd w:id="156"/>
          </w:p>
          <w:p w14:paraId="65361CFB">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6802BE85">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3.1</w:t>
            </w:r>
          </w:p>
        </w:tc>
        <w:tc>
          <w:tcPr>
            <w:tcW w:w="1898" w:type="pct"/>
            <w:tcBorders>
              <w:top w:val="single" w:color="auto" w:sz="4" w:space="0"/>
              <w:left w:val="single" w:color="auto" w:sz="4" w:space="0"/>
              <w:bottom w:val="single" w:color="auto" w:sz="4" w:space="0"/>
              <w:right w:val="single" w:color="auto" w:sz="4" w:space="0"/>
            </w:tcBorders>
            <w:vAlign w:val="center"/>
          </w:tcPr>
          <w:p w14:paraId="4C53DF63">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1"/>
              </w:rPr>
              <w:t>可研报告中未明确相关内容。</w:t>
            </w:r>
          </w:p>
        </w:tc>
        <w:tc>
          <w:tcPr>
            <w:tcW w:w="530" w:type="pct"/>
            <w:tcBorders>
              <w:top w:val="single" w:color="auto" w:sz="4" w:space="0"/>
              <w:left w:val="single" w:color="auto" w:sz="4" w:space="0"/>
              <w:bottom w:val="single" w:color="auto" w:sz="4" w:space="0"/>
              <w:right w:val="single" w:color="auto" w:sz="4" w:space="0"/>
            </w:tcBorders>
            <w:vAlign w:val="center"/>
          </w:tcPr>
          <w:p w14:paraId="48ADC875">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下阶段设计中需完善</w:t>
            </w:r>
          </w:p>
        </w:tc>
      </w:tr>
      <w:tr w14:paraId="6F94C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0E679105">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36333439">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主机应安装在地面，并双机备份，且应在矿山生产调度室设置显示终端。</w:t>
            </w:r>
          </w:p>
        </w:tc>
        <w:tc>
          <w:tcPr>
            <w:tcW w:w="956" w:type="pct"/>
            <w:tcBorders>
              <w:top w:val="single" w:color="auto" w:sz="4" w:space="0"/>
              <w:left w:val="single" w:color="auto" w:sz="4" w:space="0"/>
              <w:bottom w:val="single" w:color="auto" w:sz="4" w:space="0"/>
              <w:right w:val="single" w:color="auto" w:sz="4" w:space="0"/>
            </w:tcBorders>
            <w:vAlign w:val="center"/>
          </w:tcPr>
          <w:p w14:paraId="65674C84">
            <w:pPr>
              <w:spacing w:line="240" w:lineRule="auto"/>
              <w:ind w:firstLine="0" w:firstLineChars="0"/>
              <w:jc w:val="center"/>
              <w:rPr>
                <w:rFonts w:asciiTheme="minorHAnsi" w:hAnsiTheme="minorHAnsi" w:cstheme="minorHAnsi"/>
                <w:kern w:val="0"/>
                <w:sz w:val="21"/>
                <w:szCs w:val="21"/>
              </w:rPr>
            </w:pPr>
            <w:bookmarkStart w:id="157" w:name="_Toc411331176"/>
            <w:bookmarkStart w:id="158" w:name="_Toc449950385"/>
            <w:bookmarkStart w:id="159" w:name="_Toc71789712"/>
            <w:bookmarkStart w:id="160" w:name="_Toc453588407"/>
            <w:bookmarkStart w:id="161" w:name="_Toc449950207"/>
            <w:bookmarkStart w:id="162" w:name="_Toc26444"/>
            <w:bookmarkStart w:id="163" w:name="_Toc452552759"/>
            <w:bookmarkStart w:id="164" w:name="_Toc15127"/>
            <w:bookmarkStart w:id="165" w:name="_Toc451426735"/>
            <w:bookmarkStart w:id="166" w:name="_Toc435278466"/>
            <w:bookmarkStart w:id="167" w:name="_Toc438732635"/>
            <w:r>
              <w:rPr>
                <w:rFonts w:asciiTheme="minorHAnsi" w:hAnsiTheme="minorHAnsi" w:cstheme="minorHAnsi"/>
                <w:kern w:val="0"/>
                <w:sz w:val="21"/>
                <w:szCs w:val="21"/>
              </w:rPr>
              <w:t>《金属非金属地下矿山监测监控系统建设规范》</w:t>
            </w:r>
            <w:bookmarkEnd w:id="157"/>
            <w:bookmarkEnd w:id="158"/>
            <w:bookmarkEnd w:id="159"/>
            <w:bookmarkEnd w:id="160"/>
            <w:bookmarkEnd w:id="161"/>
            <w:bookmarkEnd w:id="162"/>
            <w:bookmarkEnd w:id="163"/>
            <w:bookmarkEnd w:id="164"/>
            <w:bookmarkEnd w:id="165"/>
            <w:bookmarkEnd w:id="166"/>
            <w:bookmarkEnd w:id="167"/>
          </w:p>
          <w:p w14:paraId="46EF4DAD">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6583CB00">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4.5</w:t>
            </w:r>
          </w:p>
        </w:tc>
        <w:tc>
          <w:tcPr>
            <w:tcW w:w="1898" w:type="pct"/>
            <w:tcBorders>
              <w:top w:val="single" w:color="auto" w:sz="4" w:space="0"/>
              <w:left w:val="single" w:color="auto" w:sz="4" w:space="0"/>
              <w:right w:val="single" w:color="auto" w:sz="4" w:space="0"/>
            </w:tcBorders>
            <w:vAlign w:val="center"/>
          </w:tcPr>
          <w:p w14:paraId="0C0FA116">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1"/>
              </w:rPr>
              <w:t>可研报告中未明确相关内容。</w:t>
            </w:r>
          </w:p>
        </w:tc>
        <w:tc>
          <w:tcPr>
            <w:tcW w:w="530" w:type="pct"/>
            <w:tcBorders>
              <w:top w:val="single" w:color="auto" w:sz="4" w:space="0"/>
              <w:left w:val="single" w:color="auto" w:sz="4" w:space="0"/>
              <w:right w:val="single" w:color="auto" w:sz="4" w:space="0"/>
            </w:tcBorders>
            <w:vAlign w:val="center"/>
          </w:tcPr>
          <w:p w14:paraId="4EA3738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下阶段设计中需完善</w:t>
            </w:r>
          </w:p>
        </w:tc>
      </w:tr>
      <w:tr w14:paraId="5DB69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39E2A61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470B21F7">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主机和分站的备用电源应能保证连续工作2h以上。</w:t>
            </w:r>
          </w:p>
        </w:tc>
        <w:tc>
          <w:tcPr>
            <w:tcW w:w="956" w:type="pct"/>
            <w:tcBorders>
              <w:top w:val="single" w:color="auto" w:sz="4" w:space="0"/>
              <w:left w:val="single" w:color="auto" w:sz="4" w:space="0"/>
              <w:bottom w:val="single" w:color="auto" w:sz="4" w:space="0"/>
              <w:right w:val="single" w:color="auto" w:sz="4" w:space="0"/>
            </w:tcBorders>
            <w:vAlign w:val="center"/>
          </w:tcPr>
          <w:p w14:paraId="1122D780">
            <w:pPr>
              <w:spacing w:line="240" w:lineRule="auto"/>
              <w:ind w:firstLine="0" w:firstLineChars="0"/>
              <w:jc w:val="center"/>
              <w:rPr>
                <w:rFonts w:asciiTheme="minorHAnsi" w:hAnsiTheme="minorHAnsi" w:cstheme="minorHAnsi"/>
                <w:kern w:val="0"/>
                <w:sz w:val="21"/>
                <w:szCs w:val="21"/>
              </w:rPr>
            </w:pPr>
            <w:bookmarkStart w:id="168" w:name="_Toc453588408"/>
            <w:bookmarkStart w:id="169" w:name="_Toc438732636"/>
            <w:bookmarkStart w:id="170" w:name="_Toc21314"/>
            <w:bookmarkStart w:id="171" w:name="_Toc452552760"/>
            <w:bookmarkStart w:id="172" w:name="_Toc435278467"/>
            <w:bookmarkStart w:id="173" w:name="_Toc71789713"/>
            <w:bookmarkStart w:id="174" w:name="_Toc31666"/>
            <w:bookmarkStart w:id="175" w:name="_Toc451426736"/>
            <w:bookmarkStart w:id="176" w:name="_Toc449950208"/>
            <w:bookmarkStart w:id="177" w:name="_Toc449950386"/>
            <w:bookmarkStart w:id="178" w:name="_Toc411331177"/>
            <w:r>
              <w:rPr>
                <w:rFonts w:asciiTheme="minorHAnsi" w:hAnsiTheme="minorHAnsi" w:cstheme="minorHAnsi"/>
                <w:kern w:val="0"/>
                <w:sz w:val="21"/>
                <w:szCs w:val="21"/>
              </w:rPr>
              <w:t>《金属非金属地下矿山监测监控系统建设规范》</w:t>
            </w:r>
            <w:bookmarkEnd w:id="168"/>
            <w:bookmarkEnd w:id="169"/>
            <w:bookmarkEnd w:id="170"/>
            <w:bookmarkEnd w:id="171"/>
            <w:bookmarkEnd w:id="172"/>
            <w:bookmarkEnd w:id="173"/>
            <w:bookmarkEnd w:id="174"/>
            <w:bookmarkEnd w:id="175"/>
            <w:bookmarkEnd w:id="176"/>
            <w:bookmarkEnd w:id="177"/>
            <w:bookmarkEnd w:id="178"/>
          </w:p>
          <w:p w14:paraId="00B20A04">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4936FDFD">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4.9</w:t>
            </w:r>
          </w:p>
        </w:tc>
        <w:tc>
          <w:tcPr>
            <w:tcW w:w="1898" w:type="pct"/>
            <w:tcBorders>
              <w:left w:val="single" w:color="auto" w:sz="4" w:space="0"/>
              <w:bottom w:val="single" w:color="auto" w:sz="4" w:space="0"/>
              <w:right w:val="single" w:color="auto" w:sz="4" w:space="0"/>
            </w:tcBorders>
            <w:vAlign w:val="center"/>
          </w:tcPr>
          <w:p w14:paraId="5DBAB823">
            <w:pPr>
              <w:spacing w:line="240" w:lineRule="auto"/>
              <w:ind w:firstLine="0" w:firstLineChars="0"/>
              <w:rPr>
                <w:rFonts w:asciiTheme="minorHAnsi" w:hAnsiTheme="minorHAnsi" w:cstheme="minorHAnsi"/>
                <w:sz w:val="21"/>
                <w:szCs w:val="24"/>
              </w:rPr>
            </w:pPr>
            <w:r>
              <w:rPr>
                <w:rFonts w:asciiTheme="minorHAnsi" w:hAnsiTheme="minorHAnsi" w:cstheme="minorHAnsi"/>
                <w:sz w:val="21"/>
                <w:szCs w:val="21"/>
              </w:rPr>
              <w:t>可研报告中未明确相关内容。</w:t>
            </w:r>
          </w:p>
        </w:tc>
        <w:tc>
          <w:tcPr>
            <w:tcW w:w="530" w:type="pct"/>
            <w:tcBorders>
              <w:left w:val="single" w:color="auto" w:sz="4" w:space="0"/>
              <w:bottom w:val="single" w:color="auto" w:sz="4" w:space="0"/>
              <w:right w:val="single" w:color="auto" w:sz="4" w:space="0"/>
            </w:tcBorders>
            <w:vAlign w:val="center"/>
          </w:tcPr>
          <w:p w14:paraId="5F370B3A">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下阶段设计中需完善</w:t>
            </w:r>
          </w:p>
        </w:tc>
      </w:tr>
      <w:tr w14:paraId="6A3A8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416D8371">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21586690">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地下矿山应配置足够的便携式气体检测报警仪。便携式气体检测报警仪应能测量一氧化碳、氧气、二氧化氮浓度，并具有报警参数设置和声光报警功能。</w:t>
            </w:r>
          </w:p>
        </w:tc>
        <w:tc>
          <w:tcPr>
            <w:tcW w:w="956" w:type="pct"/>
            <w:tcBorders>
              <w:top w:val="single" w:color="auto" w:sz="4" w:space="0"/>
              <w:left w:val="single" w:color="auto" w:sz="4" w:space="0"/>
              <w:bottom w:val="single" w:color="auto" w:sz="4" w:space="0"/>
              <w:right w:val="single" w:color="auto" w:sz="4" w:space="0"/>
            </w:tcBorders>
            <w:vAlign w:val="center"/>
          </w:tcPr>
          <w:p w14:paraId="576353FD">
            <w:pPr>
              <w:spacing w:line="240" w:lineRule="auto"/>
              <w:ind w:firstLine="0" w:firstLineChars="0"/>
              <w:jc w:val="center"/>
              <w:rPr>
                <w:rFonts w:asciiTheme="minorHAnsi" w:hAnsiTheme="minorHAnsi" w:cstheme="minorHAnsi"/>
                <w:kern w:val="0"/>
                <w:sz w:val="21"/>
                <w:szCs w:val="21"/>
              </w:rPr>
            </w:pPr>
            <w:bookmarkStart w:id="179" w:name="_Toc449950387"/>
            <w:bookmarkStart w:id="180" w:name="_Toc451426737"/>
            <w:bookmarkStart w:id="181" w:name="_Toc1872"/>
            <w:bookmarkStart w:id="182" w:name="_Toc449950209"/>
            <w:bookmarkStart w:id="183" w:name="_Toc411331178"/>
            <w:bookmarkStart w:id="184" w:name="_Toc452552761"/>
            <w:bookmarkStart w:id="185" w:name="_Toc71789714"/>
            <w:bookmarkStart w:id="186" w:name="_Toc19243"/>
            <w:bookmarkStart w:id="187" w:name="_Toc453588409"/>
            <w:bookmarkStart w:id="188" w:name="_Toc435278468"/>
            <w:bookmarkStart w:id="189" w:name="_Toc438732637"/>
            <w:r>
              <w:rPr>
                <w:rFonts w:asciiTheme="minorHAnsi" w:hAnsiTheme="minorHAnsi" w:cstheme="minorHAnsi"/>
                <w:kern w:val="0"/>
                <w:sz w:val="21"/>
                <w:szCs w:val="21"/>
              </w:rPr>
              <w:t>《金属非金属地下矿山监测监控系统建设规范》</w:t>
            </w:r>
            <w:bookmarkEnd w:id="179"/>
            <w:bookmarkEnd w:id="180"/>
            <w:bookmarkEnd w:id="181"/>
            <w:bookmarkEnd w:id="182"/>
            <w:bookmarkEnd w:id="183"/>
            <w:bookmarkEnd w:id="184"/>
            <w:bookmarkEnd w:id="185"/>
            <w:bookmarkEnd w:id="186"/>
            <w:bookmarkEnd w:id="187"/>
            <w:bookmarkEnd w:id="188"/>
            <w:bookmarkEnd w:id="189"/>
          </w:p>
          <w:p w14:paraId="1899FB29">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66451D19">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5.1</w:t>
            </w:r>
          </w:p>
        </w:tc>
        <w:tc>
          <w:tcPr>
            <w:tcW w:w="1898" w:type="pct"/>
            <w:tcBorders>
              <w:top w:val="single" w:color="auto" w:sz="4" w:space="0"/>
              <w:left w:val="single" w:color="auto" w:sz="4" w:space="0"/>
              <w:right w:val="single" w:color="auto" w:sz="4" w:space="0"/>
            </w:tcBorders>
            <w:vAlign w:val="center"/>
          </w:tcPr>
          <w:p w14:paraId="047A33AF">
            <w:pPr>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井下人员配备便携式复合气体检测报警仪（检测气体类型包括一氧化碳、氧气、二氧化氮）对井下有毒有害气体进行动态监测，报警仪数量</w:t>
            </w:r>
            <w:r>
              <w:rPr>
                <w:rFonts w:asciiTheme="minorHAnsi" w:hAnsiTheme="minorHAnsi" w:cstheme="minorHAnsi"/>
                <w:sz w:val="21"/>
                <w:szCs w:val="24"/>
              </w:rPr>
              <w:t>26</w:t>
            </w:r>
            <w:r>
              <w:rPr>
                <w:rFonts w:hint="eastAsia" w:asciiTheme="minorHAnsi" w:hAnsiTheme="minorHAnsi" w:cstheme="minorHAnsi"/>
                <w:sz w:val="21"/>
                <w:szCs w:val="24"/>
              </w:rPr>
              <w:t>台。</w:t>
            </w:r>
          </w:p>
        </w:tc>
        <w:tc>
          <w:tcPr>
            <w:tcW w:w="530" w:type="pct"/>
            <w:tcBorders>
              <w:top w:val="single" w:color="auto" w:sz="4" w:space="0"/>
              <w:left w:val="single" w:color="auto" w:sz="4" w:space="0"/>
              <w:right w:val="single" w:color="auto" w:sz="4" w:space="0"/>
            </w:tcBorders>
            <w:vAlign w:val="center"/>
          </w:tcPr>
          <w:p w14:paraId="5F1D6DC1">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7087343">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040FE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621756D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346A9D51">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一氧化碳报警浓度不应高于24ppm，二氧化氮报警浓度不应高于2.5ppm。</w:t>
            </w:r>
          </w:p>
        </w:tc>
        <w:tc>
          <w:tcPr>
            <w:tcW w:w="956" w:type="pct"/>
            <w:tcBorders>
              <w:top w:val="single" w:color="auto" w:sz="4" w:space="0"/>
              <w:left w:val="single" w:color="auto" w:sz="4" w:space="0"/>
              <w:bottom w:val="single" w:color="auto" w:sz="4" w:space="0"/>
              <w:right w:val="single" w:color="auto" w:sz="4" w:space="0"/>
            </w:tcBorders>
            <w:vAlign w:val="center"/>
          </w:tcPr>
          <w:p w14:paraId="7921FCE5">
            <w:pPr>
              <w:spacing w:line="240" w:lineRule="auto"/>
              <w:ind w:firstLine="0" w:firstLineChars="0"/>
              <w:jc w:val="center"/>
              <w:rPr>
                <w:rFonts w:asciiTheme="minorHAnsi" w:hAnsiTheme="minorHAnsi" w:cstheme="minorHAnsi"/>
                <w:kern w:val="0"/>
                <w:sz w:val="21"/>
                <w:szCs w:val="21"/>
              </w:rPr>
            </w:pPr>
            <w:bookmarkStart w:id="190" w:name="_Toc71789715"/>
            <w:bookmarkStart w:id="191" w:name="_Toc453588410"/>
            <w:bookmarkStart w:id="192" w:name="_Toc31381"/>
            <w:bookmarkStart w:id="193" w:name="_Toc449950388"/>
            <w:bookmarkStart w:id="194" w:name="_Toc452552762"/>
            <w:bookmarkStart w:id="195" w:name="_Toc438732639"/>
            <w:bookmarkStart w:id="196" w:name="_Toc411331181"/>
            <w:bookmarkStart w:id="197" w:name="_Toc435278470"/>
            <w:bookmarkStart w:id="198" w:name="_Toc30600"/>
            <w:bookmarkStart w:id="199" w:name="_Toc451426738"/>
            <w:bookmarkStart w:id="200" w:name="_Toc449950210"/>
            <w:r>
              <w:rPr>
                <w:rFonts w:asciiTheme="minorHAnsi" w:hAnsiTheme="minorHAnsi" w:cstheme="minorHAnsi"/>
                <w:kern w:val="0"/>
                <w:sz w:val="21"/>
                <w:szCs w:val="21"/>
              </w:rPr>
              <w:t>《金属非金属地下矿山监测监控系统建设规范》</w:t>
            </w:r>
            <w:bookmarkEnd w:id="190"/>
            <w:bookmarkEnd w:id="191"/>
            <w:bookmarkEnd w:id="192"/>
            <w:bookmarkEnd w:id="193"/>
            <w:bookmarkEnd w:id="194"/>
            <w:bookmarkEnd w:id="195"/>
            <w:bookmarkEnd w:id="196"/>
            <w:bookmarkEnd w:id="197"/>
            <w:bookmarkEnd w:id="198"/>
            <w:bookmarkEnd w:id="199"/>
            <w:bookmarkEnd w:id="200"/>
          </w:p>
          <w:p w14:paraId="27EFE08B">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3885F802">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5.4</w:t>
            </w:r>
          </w:p>
        </w:tc>
        <w:tc>
          <w:tcPr>
            <w:tcW w:w="1898" w:type="pct"/>
            <w:tcBorders>
              <w:left w:val="single" w:color="auto" w:sz="4" w:space="0"/>
              <w:bottom w:val="single" w:color="auto" w:sz="4" w:space="0"/>
              <w:right w:val="single" w:color="auto" w:sz="4" w:space="0"/>
            </w:tcBorders>
            <w:vAlign w:val="center"/>
          </w:tcPr>
          <w:p w14:paraId="06883175">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一氧化碳报警浓度不应高于24ppm，二氧化氮报警浓度不应高于2.5ppm。</w:t>
            </w:r>
          </w:p>
        </w:tc>
        <w:tc>
          <w:tcPr>
            <w:tcW w:w="530" w:type="pct"/>
            <w:tcBorders>
              <w:left w:val="single" w:color="auto" w:sz="4" w:space="0"/>
              <w:bottom w:val="single" w:color="auto" w:sz="4" w:space="0"/>
              <w:right w:val="single" w:color="auto" w:sz="4" w:space="0"/>
            </w:tcBorders>
            <w:vAlign w:val="center"/>
          </w:tcPr>
          <w:p w14:paraId="31DE08F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2E0B56D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17897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7168808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1246" w:type="pct"/>
            <w:tcBorders>
              <w:top w:val="single" w:color="auto" w:sz="4" w:space="0"/>
              <w:left w:val="single" w:color="auto" w:sz="4" w:space="0"/>
              <w:bottom w:val="single" w:color="auto" w:sz="4" w:space="0"/>
              <w:right w:val="single" w:color="auto" w:sz="4" w:space="0"/>
            </w:tcBorders>
            <w:vAlign w:val="center"/>
          </w:tcPr>
          <w:p w14:paraId="5116A09D">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井下总回风巷、各个生产中段和分段的回风巷应设风速传感器。</w:t>
            </w:r>
          </w:p>
        </w:tc>
        <w:tc>
          <w:tcPr>
            <w:tcW w:w="956" w:type="pct"/>
            <w:tcBorders>
              <w:top w:val="single" w:color="auto" w:sz="4" w:space="0"/>
              <w:left w:val="single" w:color="auto" w:sz="4" w:space="0"/>
              <w:bottom w:val="single" w:color="auto" w:sz="4" w:space="0"/>
              <w:right w:val="single" w:color="auto" w:sz="4" w:space="0"/>
            </w:tcBorders>
            <w:vAlign w:val="center"/>
          </w:tcPr>
          <w:p w14:paraId="6C1C9973">
            <w:pPr>
              <w:spacing w:line="240" w:lineRule="auto"/>
              <w:ind w:firstLine="0" w:firstLineChars="0"/>
              <w:jc w:val="center"/>
              <w:rPr>
                <w:rFonts w:asciiTheme="minorHAnsi" w:hAnsiTheme="minorHAnsi" w:cstheme="minorHAnsi"/>
                <w:kern w:val="0"/>
                <w:sz w:val="21"/>
                <w:szCs w:val="21"/>
              </w:rPr>
            </w:pPr>
            <w:bookmarkStart w:id="201" w:name="_Toc449950389"/>
            <w:bookmarkStart w:id="202" w:name="_Toc449950211"/>
            <w:bookmarkStart w:id="203" w:name="_Toc71789716"/>
            <w:bookmarkStart w:id="204" w:name="_Toc24004"/>
            <w:bookmarkStart w:id="205" w:name="_Toc438732640"/>
            <w:bookmarkStart w:id="206" w:name="_Toc25898"/>
            <w:bookmarkStart w:id="207" w:name="_Toc451426739"/>
            <w:bookmarkStart w:id="208" w:name="_Toc452552763"/>
            <w:bookmarkStart w:id="209" w:name="_Toc411331182"/>
            <w:bookmarkStart w:id="210" w:name="_Toc453588411"/>
            <w:bookmarkStart w:id="211" w:name="_Toc435278471"/>
            <w:r>
              <w:rPr>
                <w:rFonts w:asciiTheme="minorHAnsi" w:hAnsiTheme="minorHAnsi" w:cstheme="minorHAnsi"/>
                <w:kern w:val="0"/>
                <w:sz w:val="21"/>
                <w:szCs w:val="21"/>
              </w:rPr>
              <w:t>《金属非金属地下矿山监测监控系统建设规范》</w:t>
            </w:r>
            <w:bookmarkEnd w:id="201"/>
            <w:bookmarkEnd w:id="202"/>
            <w:bookmarkEnd w:id="203"/>
            <w:bookmarkEnd w:id="204"/>
            <w:bookmarkEnd w:id="205"/>
            <w:bookmarkEnd w:id="206"/>
            <w:bookmarkEnd w:id="207"/>
            <w:bookmarkEnd w:id="208"/>
            <w:bookmarkEnd w:id="209"/>
            <w:bookmarkEnd w:id="210"/>
            <w:bookmarkEnd w:id="211"/>
          </w:p>
          <w:p w14:paraId="2037B8A1">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14B2C90A">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6.1</w:t>
            </w:r>
          </w:p>
        </w:tc>
        <w:tc>
          <w:tcPr>
            <w:tcW w:w="1898" w:type="pct"/>
            <w:tcBorders>
              <w:top w:val="single" w:color="auto" w:sz="4" w:space="0"/>
              <w:left w:val="single" w:color="auto" w:sz="4" w:space="0"/>
              <w:bottom w:val="single" w:color="auto" w:sz="4" w:space="0"/>
              <w:right w:val="single" w:color="auto" w:sz="4" w:space="0"/>
            </w:tcBorders>
            <w:vAlign w:val="center"/>
          </w:tcPr>
          <w:p w14:paraId="29D7423A">
            <w:pPr>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井下总回风巷、各个生产中段和分段的回风巷设置风速传感器。</w:t>
            </w:r>
          </w:p>
        </w:tc>
        <w:tc>
          <w:tcPr>
            <w:tcW w:w="530" w:type="pct"/>
            <w:tcBorders>
              <w:top w:val="single" w:color="auto" w:sz="4" w:space="0"/>
              <w:left w:val="single" w:color="auto" w:sz="4" w:space="0"/>
              <w:bottom w:val="single" w:color="auto" w:sz="4" w:space="0"/>
              <w:right w:val="single" w:color="auto" w:sz="4" w:space="0"/>
            </w:tcBorders>
            <w:vAlign w:val="center"/>
          </w:tcPr>
          <w:p w14:paraId="42146A63">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24421E1A">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640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0EDF46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7</w:t>
            </w:r>
          </w:p>
        </w:tc>
        <w:tc>
          <w:tcPr>
            <w:tcW w:w="1246" w:type="pct"/>
            <w:tcBorders>
              <w:top w:val="single" w:color="auto" w:sz="4" w:space="0"/>
              <w:left w:val="single" w:color="auto" w:sz="4" w:space="0"/>
              <w:bottom w:val="single" w:color="auto" w:sz="4" w:space="0"/>
              <w:right w:val="single" w:color="auto" w:sz="4" w:space="0"/>
            </w:tcBorders>
            <w:vAlign w:val="center"/>
          </w:tcPr>
          <w:p w14:paraId="13C4BF4D">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主要通风机应设置风压传感器，传感器的设置应符合AQ2013.3中主要通风机风压的测点布置要求。</w:t>
            </w:r>
          </w:p>
        </w:tc>
        <w:tc>
          <w:tcPr>
            <w:tcW w:w="956" w:type="pct"/>
            <w:tcBorders>
              <w:top w:val="single" w:color="auto" w:sz="4" w:space="0"/>
              <w:left w:val="single" w:color="auto" w:sz="4" w:space="0"/>
              <w:bottom w:val="single" w:color="auto" w:sz="4" w:space="0"/>
              <w:right w:val="single" w:color="auto" w:sz="4" w:space="0"/>
            </w:tcBorders>
            <w:vAlign w:val="center"/>
          </w:tcPr>
          <w:p w14:paraId="7DEB97D4">
            <w:pPr>
              <w:spacing w:line="240" w:lineRule="auto"/>
              <w:ind w:firstLine="0" w:firstLineChars="0"/>
              <w:jc w:val="center"/>
              <w:rPr>
                <w:rFonts w:asciiTheme="minorHAnsi" w:hAnsiTheme="minorHAnsi" w:cstheme="minorHAnsi"/>
                <w:kern w:val="0"/>
                <w:sz w:val="21"/>
                <w:szCs w:val="21"/>
              </w:rPr>
            </w:pPr>
            <w:bookmarkStart w:id="212" w:name="_Toc410048142"/>
            <w:bookmarkStart w:id="213" w:name="_Toc435278472"/>
            <w:bookmarkStart w:id="214" w:name="_Toc449950390"/>
            <w:bookmarkStart w:id="215" w:name="_Toc71789717"/>
            <w:bookmarkStart w:id="216" w:name="_Toc16159"/>
            <w:bookmarkStart w:id="217" w:name="_Toc30486"/>
            <w:bookmarkStart w:id="218" w:name="_Toc438732641"/>
            <w:bookmarkStart w:id="219" w:name="_Toc449950212"/>
            <w:bookmarkStart w:id="220" w:name="_Toc452552764"/>
            <w:bookmarkStart w:id="221" w:name="_Toc453588412"/>
            <w:bookmarkStart w:id="222" w:name="_Toc410502745"/>
            <w:bookmarkStart w:id="223" w:name="_Toc411331180"/>
            <w:bookmarkStart w:id="224" w:name="_Toc451426740"/>
            <w:r>
              <w:rPr>
                <w:rFonts w:asciiTheme="minorHAnsi" w:hAnsiTheme="minorHAnsi" w:cstheme="minorHAnsi"/>
                <w:kern w:val="0"/>
                <w:sz w:val="21"/>
                <w:szCs w:val="21"/>
              </w:rPr>
              <w:t>《金属非金属地下矿山监测监控系统建设规范》</w:t>
            </w:r>
            <w:bookmarkEnd w:id="212"/>
            <w:bookmarkEnd w:id="213"/>
            <w:bookmarkEnd w:id="214"/>
            <w:bookmarkEnd w:id="215"/>
            <w:bookmarkEnd w:id="216"/>
            <w:bookmarkEnd w:id="217"/>
            <w:bookmarkEnd w:id="218"/>
            <w:bookmarkEnd w:id="219"/>
            <w:bookmarkEnd w:id="220"/>
            <w:bookmarkEnd w:id="221"/>
            <w:bookmarkEnd w:id="222"/>
            <w:bookmarkEnd w:id="223"/>
            <w:bookmarkEnd w:id="224"/>
          </w:p>
          <w:p w14:paraId="522C9C52">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1475DCD2">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4"/>
                <w:szCs w:val="24"/>
              </w:rPr>
              <w:t>6.2</w:t>
            </w:r>
          </w:p>
        </w:tc>
        <w:tc>
          <w:tcPr>
            <w:tcW w:w="1898" w:type="pct"/>
            <w:tcBorders>
              <w:top w:val="single" w:color="auto" w:sz="4" w:space="0"/>
              <w:left w:val="single" w:color="auto" w:sz="4" w:space="0"/>
              <w:bottom w:val="single" w:color="auto" w:sz="4" w:space="0"/>
              <w:right w:val="single" w:color="auto" w:sz="4" w:space="0"/>
            </w:tcBorders>
            <w:vAlign w:val="center"/>
          </w:tcPr>
          <w:p w14:paraId="08A50E67">
            <w:pPr>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主要通风机设置风压传感器。</w:t>
            </w:r>
          </w:p>
        </w:tc>
        <w:tc>
          <w:tcPr>
            <w:tcW w:w="530" w:type="pct"/>
            <w:tcBorders>
              <w:top w:val="single" w:color="auto" w:sz="4" w:space="0"/>
              <w:left w:val="single" w:color="auto" w:sz="4" w:space="0"/>
              <w:bottom w:val="single" w:color="auto" w:sz="4" w:space="0"/>
              <w:right w:val="single" w:color="auto" w:sz="4" w:space="0"/>
            </w:tcBorders>
            <w:vAlign w:val="center"/>
          </w:tcPr>
          <w:p w14:paraId="3F263C0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8DA356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74B69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9A36897">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8</w:t>
            </w:r>
          </w:p>
        </w:tc>
        <w:tc>
          <w:tcPr>
            <w:tcW w:w="1246" w:type="pct"/>
            <w:tcBorders>
              <w:top w:val="single" w:color="auto" w:sz="4" w:space="0"/>
              <w:left w:val="single" w:color="auto" w:sz="4" w:space="0"/>
              <w:bottom w:val="single" w:color="auto" w:sz="4" w:space="0"/>
              <w:right w:val="single" w:color="auto" w:sz="4" w:space="0"/>
            </w:tcBorders>
            <w:vAlign w:val="center"/>
          </w:tcPr>
          <w:p w14:paraId="2CF03A27">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主要通风机、辅助通风机、局部通风机应安装开停传感器。</w:t>
            </w:r>
          </w:p>
        </w:tc>
        <w:tc>
          <w:tcPr>
            <w:tcW w:w="956" w:type="pct"/>
            <w:tcBorders>
              <w:top w:val="single" w:color="auto" w:sz="4" w:space="0"/>
              <w:left w:val="single" w:color="auto" w:sz="4" w:space="0"/>
              <w:bottom w:val="single" w:color="auto" w:sz="4" w:space="0"/>
              <w:right w:val="single" w:color="auto" w:sz="4" w:space="0"/>
            </w:tcBorders>
            <w:vAlign w:val="center"/>
          </w:tcPr>
          <w:p w14:paraId="16F3C715">
            <w:pPr>
              <w:spacing w:line="240" w:lineRule="auto"/>
              <w:ind w:firstLine="0" w:firstLineChars="0"/>
              <w:jc w:val="center"/>
              <w:rPr>
                <w:rFonts w:asciiTheme="minorHAnsi" w:hAnsiTheme="minorHAnsi" w:cstheme="minorHAnsi"/>
                <w:kern w:val="0"/>
                <w:sz w:val="21"/>
                <w:szCs w:val="21"/>
              </w:rPr>
            </w:pPr>
            <w:bookmarkStart w:id="225" w:name="_Toc451426741"/>
            <w:bookmarkStart w:id="226" w:name="_Toc452552765"/>
            <w:bookmarkStart w:id="227" w:name="_Toc411331183"/>
            <w:bookmarkStart w:id="228" w:name="_Toc438732642"/>
            <w:bookmarkStart w:id="229" w:name="_Toc435278473"/>
            <w:bookmarkStart w:id="230" w:name="_Toc453588413"/>
            <w:bookmarkStart w:id="231" w:name="_Toc71789718"/>
            <w:bookmarkStart w:id="232" w:name="_Toc449950213"/>
            <w:bookmarkStart w:id="233" w:name="_Toc12233"/>
            <w:bookmarkStart w:id="234" w:name="_Toc449950391"/>
            <w:bookmarkStart w:id="235" w:name="_Toc7373"/>
            <w:r>
              <w:rPr>
                <w:rFonts w:asciiTheme="minorHAnsi" w:hAnsiTheme="minorHAnsi" w:cstheme="minorHAnsi"/>
                <w:kern w:val="0"/>
                <w:sz w:val="21"/>
                <w:szCs w:val="21"/>
              </w:rPr>
              <w:t>《金属非金属地下矿山监测监控系统建设规范》</w:t>
            </w:r>
            <w:bookmarkEnd w:id="225"/>
            <w:bookmarkEnd w:id="226"/>
            <w:bookmarkEnd w:id="227"/>
            <w:bookmarkEnd w:id="228"/>
            <w:bookmarkEnd w:id="229"/>
            <w:bookmarkEnd w:id="230"/>
            <w:bookmarkEnd w:id="231"/>
            <w:bookmarkEnd w:id="232"/>
            <w:bookmarkEnd w:id="233"/>
            <w:bookmarkEnd w:id="234"/>
            <w:bookmarkEnd w:id="235"/>
          </w:p>
          <w:p w14:paraId="21292D19">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(AQ2031-2011)</w:t>
            </w:r>
          </w:p>
          <w:p w14:paraId="43B3E1F6">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6.5</w:t>
            </w:r>
          </w:p>
        </w:tc>
        <w:tc>
          <w:tcPr>
            <w:tcW w:w="1898" w:type="pct"/>
            <w:tcBorders>
              <w:top w:val="single" w:color="auto" w:sz="4" w:space="0"/>
              <w:left w:val="single" w:color="auto" w:sz="4" w:space="0"/>
              <w:bottom w:val="single" w:color="auto" w:sz="4" w:space="0"/>
              <w:right w:val="single" w:color="auto" w:sz="4" w:space="0"/>
            </w:tcBorders>
            <w:vAlign w:val="center"/>
          </w:tcPr>
          <w:p w14:paraId="66F077F3">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主要通风机、辅助通风机、局部通风机安装开停传感器。</w:t>
            </w:r>
          </w:p>
        </w:tc>
        <w:tc>
          <w:tcPr>
            <w:tcW w:w="530" w:type="pct"/>
            <w:tcBorders>
              <w:top w:val="single" w:color="auto" w:sz="4" w:space="0"/>
              <w:left w:val="single" w:color="auto" w:sz="4" w:space="0"/>
              <w:bottom w:val="single" w:color="auto" w:sz="4" w:space="0"/>
              <w:right w:val="single" w:color="auto" w:sz="4" w:space="0"/>
            </w:tcBorders>
            <w:vAlign w:val="center"/>
          </w:tcPr>
          <w:p w14:paraId="16FA2C13">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w:t>
            </w:r>
          </w:p>
          <w:p w14:paraId="3236A076">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要求</w:t>
            </w:r>
          </w:p>
        </w:tc>
      </w:tr>
      <w:tr w14:paraId="2E242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C3F92C7">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二</w:t>
            </w:r>
          </w:p>
        </w:tc>
        <w:tc>
          <w:tcPr>
            <w:tcW w:w="1246" w:type="pct"/>
            <w:tcBorders>
              <w:top w:val="single" w:color="auto" w:sz="4" w:space="0"/>
              <w:left w:val="single" w:color="auto" w:sz="4" w:space="0"/>
              <w:bottom w:val="single" w:color="auto" w:sz="4" w:space="0"/>
              <w:right w:val="single" w:color="auto" w:sz="4" w:space="0"/>
            </w:tcBorders>
            <w:vAlign w:val="center"/>
          </w:tcPr>
          <w:p w14:paraId="4DEE9191">
            <w:pPr>
              <w:adjustRightIn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人员定位系统</w:t>
            </w:r>
          </w:p>
        </w:tc>
        <w:tc>
          <w:tcPr>
            <w:tcW w:w="956" w:type="pct"/>
            <w:tcBorders>
              <w:top w:val="single" w:color="auto" w:sz="4" w:space="0"/>
              <w:left w:val="single" w:color="auto" w:sz="4" w:space="0"/>
              <w:bottom w:val="single" w:color="auto" w:sz="4" w:space="0"/>
              <w:right w:val="single" w:color="auto" w:sz="4" w:space="0"/>
            </w:tcBorders>
            <w:vAlign w:val="center"/>
          </w:tcPr>
          <w:p w14:paraId="54534722">
            <w:pPr>
              <w:adjustRightIn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《金属非金属地下矿山人员定位系统建设规范》(AQ2032-2011)</w:t>
            </w:r>
          </w:p>
        </w:tc>
        <w:tc>
          <w:tcPr>
            <w:tcW w:w="1898" w:type="pct"/>
            <w:tcBorders>
              <w:top w:val="single" w:color="auto" w:sz="4" w:space="0"/>
              <w:left w:val="single" w:color="auto" w:sz="4" w:space="0"/>
              <w:bottom w:val="single" w:color="auto" w:sz="4" w:space="0"/>
              <w:right w:val="single" w:color="auto" w:sz="4" w:space="0"/>
            </w:tcBorders>
            <w:vAlign w:val="center"/>
          </w:tcPr>
          <w:p w14:paraId="19DCCCEE">
            <w:pPr>
              <w:adjustRightInd w:val="0"/>
              <w:spacing w:line="240" w:lineRule="auto"/>
              <w:ind w:firstLine="0" w:firstLineChars="0"/>
              <w:rPr>
                <w:rFonts w:asciiTheme="minorHAnsi" w:hAnsiTheme="minorHAnsi" w:cstheme="minorHAnsi"/>
                <w:sz w:val="21"/>
                <w:szCs w:val="21"/>
              </w:rPr>
            </w:pPr>
          </w:p>
        </w:tc>
        <w:tc>
          <w:tcPr>
            <w:tcW w:w="530" w:type="pct"/>
            <w:tcBorders>
              <w:top w:val="single" w:color="auto" w:sz="4" w:space="0"/>
              <w:left w:val="single" w:color="auto" w:sz="4" w:space="0"/>
              <w:bottom w:val="single" w:color="auto" w:sz="4" w:space="0"/>
              <w:right w:val="single" w:color="auto" w:sz="4" w:space="0"/>
            </w:tcBorders>
            <w:vAlign w:val="center"/>
          </w:tcPr>
          <w:p w14:paraId="46AE7750">
            <w:pPr>
              <w:spacing w:line="240" w:lineRule="auto"/>
              <w:ind w:firstLine="0" w:firstLineChars="0"/>
              <w:jc w:val="center"/>
              <w:rPr>
                <w:rFonts w:asciiTheme="minorHAnsi" w:hAnsiTheme="minorHAnsi" w:cstheme="minorHAnsi"/>
                <w:sz w:val="21"/>
                <w:szCs w:val="21"/>
              </w:rPr>
            </w:pPr>
          </w:p>
        </w:tc>
      </w:tr>
      <w:tr w14:paraId="38648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3B480024">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543A2631">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井下最多同时作业人数不少于30人的金属非金属地下矿山应建立完善人员定位系统</w:t>
            </w:r>
          </w:p>
        </w:tc>
        <w:tc>
          <w:tcPr>
            <w:tcW w:w="956" w:type="pct"/>
            <w:tcBorders>
              <w:top w:val="single" w:color="auto" w:sz="4" w:space="0"/>
              <w:left w:val="single" w:color="auto" w:sz="4" w:space="0"/>
              <w:bottom w:val="single" w:color="auto" w:sz="4" w:space="0"/>
              <w:right w:val="single" w:color="auto" w:sz="4" w:space="0"/>
            </w:tcBorders>
            <w:vAlign w:val="center"/>
          </w:tcPr>
          <w:p w14:paraId="55D7F9B8">
            <w:pPr>
              <w:adjustRightIn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《金属非金属地下矿山人员定位系统建设规范》(AQ2032-2011)</w:t>
            </w:r>
            <w:r>
              <w:rPr>
                <w:rFonts w:asciiTheme="minorHAnsi" w:hAnsiTheme="minorHAnsi" w:cstheme="minorHAnsi"/>
                <w:bCs/>
                <w:kern w:val="0"/>
                <w:sz w:val="21"/>
                <w:szCs w:val="28"/>
              </w:rPr>
              <w:t>4.1</w:t>
            </w:r>
          </w:p>
        </w:tc>
        <w:tc>
          <w:tcPr>
            <w:tcW w:w="1898" w:type="pct"/>
            <w:tcBorders>
              <w:left w:val="single" w:color="auto" w:sz="4" w:space="0"/>
              <w:right w:val="single" w:color="auto" w:sz="4" w:space="0"/>
            </w:tcBorders>
            <w:vAlign w:val="center"/>
          </w:tcPr>
          <w:p w14:paraId="5993F277">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井下各个水平设计人员定位系统。</w:t>
            </w:r>
          </w:p>
        </w:tc>
        <w:tc>
          <w:tcPr>
            <w:tcW w:w="530" w:type="pct"/>
            <w:vMerge w:val="restart"/>
            <w:tcBorders>
              <w:left w:val="single" w:color="auto" w:sz="4" w:space="0"/>
              <w:right w:val="single" w:color="auto" w:sz="4" w:space="0"/>
            </w:tcBorders>
            <w:vAlign w:val="center"/>
          </w:tcPr>
          <w:p w14:paraId="1BC9AB48">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22BC99C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066B5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03F96A3A">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126CF310">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人员出入井口和重点区域进出口等地点应安装分站（读卡器）。</w:t>
            </w:r>
          </w:p>
        </w:tc>
        <w:tc>
          <w:tcPr>
            <w:tcW w:w="956" w:type="pct"/>
            <w:tcBorders>
              <w:top w:val="single" w:color="auto" w:sz="4" w:space="0"/>
              <w:left w:val="single" w:color="auto" w:sz="4" w:space="0"/>
              <w:bottom w:val="single" w:color="auto" w:sz="4" w:space="0"/>
              <w:right w:val="single" w:color="auto" w:sz="4" w:space="0"/>
            </w:tcBorders>
            <w:vAlign w:val="center"/>
          </w:tcPr>
          <w:p w14:paraId="78B564EE">
            <w:pPr>
              <w:adjustRightIn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《金属非金属地下矿山人员定位系统建设规范》(AQ2032-2011)</w:t>
            </w:r>
            <w:r>
              <w:rPr>
                <w:rFonts w:asciiTheme="minorHAnsi" w:hAnsiTheme="minorHAnsi" w:cstheme="minorHAnsi"/>
                <w:bCs/>
                <w:kern w:val="0"/>
                <w:sz w:val="21"/>
                <w:szCs w:val="28"/>
              </w:rPr>
              <w:t>4.7</w:t>
            </w:r>
          </w:p>
        </w:tc>
        <w:tc>
          <w:tcPr>
            <w:tcW w:w="1898" w:type="pct"/>
            <w:tcBorders>
              <w:left w:val="single" w:color="auto" w:sz="4" w:space="0"/>
              <w:bottom w:val="single" w:color="auto" w:sz="4" w:space="0"/>
              <w:right w:val="single" w:color="auto" w:sz="4" w:space="0"/>
            </w:tcBorders>
            <w:vAlign w:val="center"/>
          </w:tcPr>
          <w:p w14:paraId="61EE0089">
            <w:pPr>
              <w:spacing w:line="240" w:lineRule="auto"/>
              <w:ind w:firstLine="0" w:firstLineChars="0"/>
              <w:rPr>
                <w:rFonts w:asciiTheme="minorHAnsi" w:hAnsiTheme="minorHAnsi" w:cstheme="minorHAnsi"/>
                <w:sz w:val="21"/>
                <w:szCs w:val="28"/>
              </w:rPr>
            </w:pPr>
            <w:r>
              <w:rPr>
                <w:rFonts w:hint="eastAsia" w:asciiTheme="minorHAnsi" w:hAnsiTheme="minorHAnsi" w:cstheme="minorHAnsi"/>
                <w:sz w:val="21"/>
                <w:szCs w:val="28"/>
              </w:rPr>
              <w:t>在井下各个水平及关键硐室设置综合基站</w:t>
            </w:r>
            <w:r>
              <w:rPr>
                <w:rFonts w:asciiTheme="minorHAnsi" w:hAnsiTheme="minorHAnsi" w:cstheme="minorHAnsi"/>
                <w:sz w:val="21"/>
                <w:szCs w:val="28"/>
              </w:rPr>
              <w:t>。</w:t>
            </w:r>
          </w:p>
        </w:tc>
        <w:tc>
          <w:tcPr>
            <w:tcW w:w="530" w:type="pct"/>
            <w:vMerge w:val="continue"/>
            <w:tcBorders>
              <w:left w:val="single" w:color="auto" w:sz="4" w:space="0"/>
              <w:bottom w:val="single" w:color="auto" w:sz="4" w:space="0"/>
              <w:right w:val="single" w:color="auto" w:sz="4" w:space="0"/>
            </w:tcBorders>
            <w:vAlign w:val="center"/>
          </w:tcPr>
          <w:p w14:paraId="02976E33">
            <w:pPr>
              <w:spacing w:line="240" w:lineRule="auto"/>
              <w:ind w:firstLine="0" w:firstLineChars="0"/>
              <w:jc w:val="center"/>
              <w:rPr>
                <w:rFonts w:asciiTheme="minorHAnsi" w:hAnsiTheme="minorHAnsi" w:cstheme="minorHAnsi"/>
                <w:sz w:val="21"/>
                <w:szCs w:val="21"/>
              </w:rPr>
            </w:pPr>
          </w:p>
        </w:tc>
      </w:tr>
      <w:tr w14:paraId="74955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F59D9FE">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150CBCB5">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识别卡应专人专卡，并配备不少于经常下井人员总数10%的备用卡。</w:t>
            </w:r>
          </w:p>
        </w:tc>
        <w:tc>
          <w:tcPr>
            <w:tcW w:w="956" w:type="pct"/>
            <w:tcBorders>
              <w:top w:val="single" w:color="auto" w:sz="4" w:space="0"/>
              <w:left w:val="single" w:color="auto" w:sz="4" w:space="0"/>
              <w:bottom w:val="single" w:color="auto" w:sz="4" w:space="0"/>
              <w:right w:val="single" w:color="auto" w:sz="4" w:space="0"/>
            </w:tcBorders>
            <w:vAlign w:val="center"/>
          </w:tcPr>
          <w:p w14:paraId="24B03556">
            <w:pPr>
              <w:adjustRightInd w:val="0"/>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《金属非金属地下矿山人员定位系统建设规范》(AQ2032-2011)</w:t>
            </w:r>
            <w:r>
              <w:rPr>
                <w:rFonts w:asciiTheme="minorHAnsi" w:hAnsiTheme="minorHAnsi" w:cstheme="minorHAnsi"/>
                <w:bCs/>
                <w:kern w:val="0"/>
                <w:sz w:val="21"/>
                <w:szCs w:val="28"/>
              </w:rPr>
              <w:t>4.10</w:t>
            </w:r>
          </w:p>
        </w:tc>
        <w:tc>
          <w:tcPr>
            <w:tcW w:w="1898" w:type="pct"/>
            <w:tcBorders>
              <w:left w:val="single" w:color="auto" w:sz="4" w:space="0"/>
              <w:bottom w:val="single" w:color="auto" w:sz="4" w:space="0"/>
              <w:right w:val="single" w:color="auto" w:sz="4" w:space="0"/>
            </w:tcBorders>
            <w:vAlign w:val="center"/>
          </w:tcPr>
          <w:p w14:paraId="16FAE5F5">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一期开采配备约600个定位卡；并按经常下井人员总数的10%配置备用卡，约60个备用定位卡。二期配备约180个定位卡；并按经常下井人员总数的10%配置备用卡，约20个备用定位卡。</w:t>
            </w:r>
          </w:p>
        </w:tc>
        <w:tc>
          <w:tcPr>
            <w:tcW w:w="530" w:type="pct"/>
            <w:tcBorders>
              <w:left w:val="single" w:color="auto" w:sz="4" w:space="0"/>
              <w:bottom w:val="single" w:color="auto" w:sz="4" w:space="0"/>
              <w:right w:val="single" w:color="auto" w:sz="4" w:space="0"/>
            </w:tcBorders>
            <w:vAlign w:val="center"/>
          </w:tcPr>
          <w:p w14:paraId="3FA3FC0A">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w:t>
            </w:r>
          </w:p>
          <w:p w14:paraId="3254A6F2">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要求</w:t>
            </w:r>
          </w:p>
        </w:tc>
      </w:tr>
      <w:tr w14:paraId="79CB9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20E6B8B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三</w:t>
            </w:r>
          </w:p>
        </w:tc>
        <w:tc>
          <w:tcPr>
            <w:tcW w:w="1246" w:type="pct"/>
            <w:tcBorders>
              <w:top w:val="single" w:color="auto" w:sz="4" w:space="0"/>
              <w:left w:val="single" w:color="auto" w:sz="4" w:space="0"/>
              <w:bottom w:val="single" w:color="auto" w:sz="4" w:space="0"/>
              <w:right w:val="single" w:color="auto" w:sz="4" w:space="0"/>
            </w:tcBorders>
            <w:vAlign w:val="center"/>
          </w:tcPr>
          <w:p w14:paraId="4E494C2D">
            <w:pPr>
              <w:adjustRightInd w:val="0"/>
              <w:spacing w:line="240" w:lineRule="auto"/>
              <w:ind w:firstLine="0" w:firstLineChars="0"/>
              <w:rPr>
                <w:rFonts w:asciiTheme="minorHAnsi" w:hAnsiTheme="minorHAnsi" w:cstheme="minorHAnsi"/>
                <w:kern w:val="0"/>
                <w:sz w:val="21"/>
                <w:szCs w:val="21"/>
              </w:rPr>
            </w:pPr>
            <w:r>
              <w:rPr>
                <w:rFonts w:asciiTheme="minorHAnsi" w:hAnsiTheme="minorHAnsi" w:cstheme="minorHAnsi"/>
                <w:kern w:val="0"/>
                <w:sz w:val="21"/>
                <w:szCs w:val="21"/>
              </w:rPr>
              <w:t>紧急避险系统</w:t>
            </w:r>
          </w:p>
        </w:tc>
        <w:tc>
          <w:tcPr>
            <w:tcW w:w="956" w:type="pct"/>
            <w:tcBorders>
              <w:top w:val="single" w:color="auto" w:sz="4" w:space="0"/>
              <w:left w:val="single" w:color="auto" w:sz="4" w:space="0"/>
              <w:bottom w:val="single" w:color="auto" w:sz="4" w:space="0"/>
              <w:right w:val="single" w:color="auto" w:sz="4" w:space="0"/>
            </w:tcBorders>
            <w:vAlign w:val="center"/>
          </w:tcPr>
          <w:p w14:paraId="6CFC3250">
            <w:pPr>
              <w:spacing w:line="240" w:lineRule="auto"/>
              <w:ind w:firstLine="0" w:firstLineChars="0"/>
              <w:jc w:val="center"/>
              <w:rPr>
                <w:rFonts w:asciiTheme="minorHAnsi" w:hAnsiTheme="minorHAnsi" w:cstheme="minorHAnsi"/>
                <w:kern w:val="0"/>
                <w:sz w:val="21"/>
                <w:szCs w:val="21"/>
              </w:rPr>
            </w:pPr>
            <w:bookmarkStart w:id="236" w:name="_Toc449950396"/>
            <w:bookmarkStart w:id="237" w:name="_Toc12679"/>
            <w:bookmarkStart w:id="238" w:name="_Toc453588418"/>
            <w:bookmarkStart w:id="239" w:name="_Toc451426746"/>
            <w:bookmarkStart w:id="240" w:name="_Toc449950218"/>
            <w:bookmarkStart w:id="241" w:name="_Toc3088"/>
            <w:bookmarkStart w:id="242" w:name="_Toc71789723"/>
            <w:bookmarkStart w:id="243" w:name="_Toc411331188"/>
            <w:bookmarkStart w:id="244" w:name="_Toc452552770"/>
            <w:bookmarkStart w:id="245" w:name="_Toc438732647"/>
            <w:bookmarkStart w:id="246" w:name="_Toc435278478"/>
            <w:r>
              <w:rPr>
                <w:rFonts w:asciiTheme="minorHAnsi" w:hAnsiTheme="minorHAnsi" w:cstheme="minorHAnsi"/>
                <w:kern w:val="0"/>
                <w:sz w:val="21"/>
                <w:szCs w:val="21"/>
              </w:rPr>
              <w:t>《金属非金属地下矿山紧急避险系统建设规范》</w:t>
            </w:r>
            <w:bookmarkEnd w:id="236"/>
            <w:bookmarkEnd w:id="237"/>
            <w:bookmarkEnd w:id="238"/>
            <w:bookmarkEnd w:id="239"/>
            <w:bookmarkEnd w:id="240"/>
            <w:bookmarkEnd w:id="241"/>
            <w:bookmarkEnd w:id="242"/>
            <w:bookmarkEnd w:id="243"/>
            <w:bookmarkEnd w:id="244"/>
            <w:bookmarkEnd w:id="245"/>
            <w:bookmarkEnd w:id="246"/>
          </w:p>
          <w:p w14:paraId="22230A58">
            <w:pPr>
              <w:spacing w:line="240" w:lineRule="auto"/>
              <w:ind w:firstLine="0" w:firstLineChars="0"/>
              <w:jc w:val="center"/>
              <w:rPr>
                <w:rFonts w:asciiTheme="minorHAnsi" w:hAnsiTheme="minorHAnsi" w:cstheme="minorHAnsi"/>
                <w:kern w:val="0"/>
                <w:sz w:val="21"/>
                <w:szCs w:val="21"/>
              </w:rPr>
            </w:pPr>
            <w:bookmarkStart w:id="247" w:name="_Toc453588419"/>
            <w:bookmarkStart w:id="248" w:name="_Toc435278479"/>
            <w:bookmarkStart w:id="249" w:name="_Toc23602"/>
            <w:bookmarkStart w:id="250" w:name="_Toc71789724"/>
            <w:bookmarkStart w:id="251" w:name="_Toc438732648"/>
            <w:bookmarkStart w:id="252" w:name="_Toc451426747"/>
            <w:bookmarkStart w:id="253" w:name="_Toc449950397"/>
            <w:bookmarkStart w:id="254" w:name="_Toc9893"/>
            <w:bookmarkStart w:id="255" w:name="_Toc411331189"/>
            <w:bookmarkStart w:id="256" w:name="_Toc452552771"/>
            <w:bookmarkStart w:id="257" w:name="_Toc449950219"/>
            <w:r>
              <w:rPr>
                <w:rFonts w:asciiTheme="minorHAnsi" w:hAnsiTheme="minorHAnsi" w:cstheme="minorHAnsi"/>
                <w:kern w:val="0"/>
                <w:sz w:val="21"/>
                <w:szCs w:val="21"/>
              </w:rPr>
              <w:t>(KA/T 2033-2023)</w:t>
            </w:r>
            <w:bookmarkEnd w:id="247"/>
            <w:bookmarkEnd w:id="248"/>
            <w:bookmarkEnd w:id="249"/>
            <w:bookmarkEnd w:id="250"/>
            <w:bookmarkEnd w:id="251"/>
            <w:bookmarkEnd w:id="252"/>
            <w:bookmarkEnd w:id="253"/>
            <w:bookmarkEnd w:id="254"/>
            <w:bookmarkEnd w:id="255"/>
            <w:bookmarkEnd w:id="256"/>
            <w:bookmarkEnd w:id="257"/>
          </w:p>
        </w:tc>
        <w:tc>
          <w:tcPr>
            <w:tcW w:w="1898" w:type="pct"/>
            <w:tcBorders>
              <w:top w:val="single" w:color="auto" w:sz="4" w:space="0"/>
              <w:left w:val="single" w:color="auto" w:sz="4" w:space="0"/>
              <w:bottom w:val="single" w:color="auto" w:sz="4" w:space="0"/>
              <w:right w:val="single" w:color="auto" w:sz="4" w:space="0"/>
            </w:tcBorders>
            <w:vAlign w:val="center"/>
          </w:tcPr>
          <w:p w14:paraId="35509F5F">
            <w:pPr>
              <w:adjustRightInd w:val="0"/>
              <w:spacing w:line="240" w:lineRule="auto"/>
              <w:ind w:firstLine="0" w:firstLineChars="0"/>
              <w:rPr>
                <w:rFonts w:asciiTheme="minorHAnsi" w:hAnsiTheme="minorHAnsi" w:cstheme="minorHAnsi"/>
                <w:sz w:val="21"/>
                <w:szCs w:val="21"/>
              </w:rPr>
            </w:pPr>
          </w:p>
        </w:tc>
        <w:tc>
          <w:tcPr>
            <w:tcW w:w="530" w:type="pct"/>
            <w:tcBorders>
              <w:top w:val="single" w:color="auto" w:sz="4" w:space="0"/>
              <w:left w:val="single" w:color="auto" w:sz="4" w:space="0"/>
              <w:bottom w:val="single" w:color="auto" w:sz="4" w:space="0"/>
              <w:right w:val="single" w:color="auto" w:sz="4" w:space="0"/>
            </w:tcBorders>
            <w:vAlign w:val="center"/>
          </w:tcPr>
          <w:p w14:paraId="70FECB56">
            <w:pPr>
              <w:spacing w:line="240" w:lineRule="auto"/>
              <w:ind w:firstLine="0" w:firstLineChars="0"/>
              <w:jc w:val="center"/>
              <w:rPr>
                <w:rFonts w:asciiTheme="minorHAnsi" w:hAnsiTheme="minorHAnsi" w:cstheme="minorHAnsi"/>
                <w:sz w:val="21"/>
                <w:szCs w:val="21"/>
              </w:rPr>
            </w:pPr>
          </w:p>
        </w:tc>
      </w:tr>
      <w:tr w14:paraId="248F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31B4D1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19681464">
            <w:pPr>
              <w:spacing w:line="240" w:lineRule="auto"/>
              <w:ind w:firstLine="0" w:firstLineChars="0"/>
              <w:rPr>
                <w:rFonts w:asciiTheme="minorHAnsi" w:hAnsiTheme="minorHAnsi" w:cstheme="minorHAnsi"/>
                <w:sz w:val="24"/>
                <w:szCs w:val="24"/>
              </w:rPr>
            </w:pPr>
            <w:r>
              <w:rPr>
                <w:rFonts w:asciiTheme="minorHAnsi" w:hAnsiTheme="minorHAnsi" w:cstheme="minorHAnsi"/>
                <w:sz w:val="21"/>
                <w:szCs w:val="24"/>
              </w:rPr>
              <w:t>金属非金属地下矿山应为入井人员配备额定防护时间不少于30min的自救器，并按入井总人数的10%配备备用自救器。</w:t>
            </w:r>
          </w:p>
        </w:tc>
        <w:tc>
          <w:tcPr>
            <w:tcW w:w="956" w:type="pct"/>
            <w:tcBorders>
              <w:top w:val="single" w:color="auto" w:sz="4" w:space="0"/>
              <w:left w:val="single" w:color="auto" w:sz="4" w:space="0"/>
              <w:bottom w:val="single" w:color="auto" w:sz="4" w:space="0"/>
              <w:right w:val="single" w:color="auto" w:sz="4" w:space="0"/>
            </w:tcBorders>
            <w:vAlign w:val="center"/>
          </w:tcPr>
          <w:p w14:paraId="48E2EEEF">
            <w:pPr>
              <w:spacing w:line="240" w:lineRule="auto"/>
              <w:ind w:firstLine="0" w:firstLineChars="0"/>
              <w:jc w:val="center"/>
              <w:rPr>
                <w:rFonts w:asciiTheme="minorHAnsi" w:hAnsiTheme="minorHAnsi" w:cstheme="minorHAnsi"/>
                <w:kern w:val="0"/>
                <w:sz w:val="21"/>
                <w:szCs w:val="21"/>
              </w:rPr>
            </w:pPr>
            <w:bookmarkStart w:id="258" w:name="_Toc32214"/>
            <w:bookmarkStart w:id="259" w:name="_Toc17049"/>
            <w:r>
              <w:rPr>
                <w:rFonts w:asciiTheme="minorHAnsi" w:hAnsiTheme="minorHAnsi" w:cstheme="minorHAnsi"/>
                <w:kern w:val="0"/>
                <w:sz w:val="21"/>
                <w:szCs w:val="21"/>
              </w:rPr>
              <w:t>《金属非金属地下矿山紧急避险系统建设规范》</w:t>
            </w:r>
            <w:bookmarkEnd w:id="258"/>
            <w:bookmarkEnd w:id="259"/>
          </w:p>
          <w:p w14:paraId="44F51FEA">
            <w:pPr>
              <w:spacing w:line="240" w:lineRule="auto"/>
              <w:ind w:firstLine="0" w:firstLineChars="0"/>
              <w:jc w:val="center"/>
              <w:rPr>
                <w:rFonts w:asciiTheme="minorHAnsi" w:hAnsiTheme="minorHAnsi" w:cstheme="minorHAnsi"/>
                <w:kern w:val="0"/>
                <w:sz w:val="21"/>
                <w:szCs w:val="21"/>
              </w:rPr>
            </w:pPr>
            <w:bookmarkStart w:id="260" w:name="_Toc27921"/>
            <w:bookmarkStart w:id="261" w:name="_Toc20463"/>
            <w:r>
              <w:rPr>
                <w:rFonts w:asciiTheme="minorHAnsi" w:hAnsiTheme="minorHAnsi" w:cstheme="minorHAnsi"/>
                <w:kern w:val="0"/>
                <w:sz w:val="21"/>
                <w:szCs w:val="21"/>
              </w:rPr>
              <w:t>(KA/T 2033-2023)</w:t>
            </w:r>
            <w:bookmarkEnd w:id="260"/>
            <w:bookmarkEnd w:id="261"/>
          </w:p>
          <w:p w14:paraId="0AD62CBA">
            <w:pPr>
              <w:spacing w:line="240" w:lineRule="auto"/>
              <w:ind w:firstLine="0" w:firstLineChars="0"/>
              <w:jc w:val="center"/>
              <w:rPr>
                <w:rFonts w:asciiTheme="minorHAnsi" w:hAnsiTheme="minorHAnsi" w:cstheme="minorHAnsi"/>
                <w:kern w:val="0"/>
                <w:sz w:val="21"/>
                <w:szCs w:val="21"/>
              </w:rPr>
            </w:pPr>
            <w:bookmarkStart w:id="262" w:name="_Toc14248"/>
            <w:bookmarkStart w:id="263" w:name="_Toc22396"/>
            <w:r>
              <w:rPr>
                <w:rFonts w:asciiTheme="minorHAnsi" w:hAnsiTheme="minorHAnsi" w:cstheme="minorHAnsi"/>
                <w:kern w:val="0"/>
                <w:sz w:val="21"/>
                <w:szCs w:val="21"/>
              </w:rPr>
              <w:t>4.5</w:t>
            </w:r>
            <w:bookmarkEnd w:id="262"/>
            <w:bookmarkEnd w:id="263"/>
          </w:p>
        </w:tc>
        <w:tc>
          <w:tcPr>
            <w:tcW w:w="1898" w:type="pct"/>
            <w:tcBorders>
              <w:top w:val="single" w:color="auto" w:sz="4" w:space="0"/>
              <w:left w:val="single" w:color="auto" w:sz="4" w:space="0"/>
              <w:right w:val="single" w:color="auto" w:sz="4" w:space="0"/>
            </w:tcBorders>
            <w:vAlign w:val="center"/>
          </w:tcPr>
          <w:p w14:paraId="557E9171">
            <w:pPr>
              <w:adjustRightInd w:val="0"/>
              <w:snapToGrid w:val="0"/>
              <w:spacing w:line="240" w:lineRule="auto"/>
              <w:ind w:firstLine="0" w:firstLineChars="0"/>
              <w:rPr>
                <w:rFonts w:asciiTheme="minorHAnsi" w:hAnsiTheme="minorHAnsi" w:cstheme="minorHAnsi"/>
                <w:sz w:val="21"/>
                <w:szCs w:val="24"/>
              </w:rPr>
            </w:pPr>
            <w:r>
              <w:rPr>
                <w:rFonts w:hint="eastAsia" w:asciiTheme="minorHAnsi" w:hAnsiTheme="minorHAnsi" w:cstheme="minorHAnsi"/>
                <w:sz w:val="21"/>
                <w:szCs w:val="24"/>
              </w:rPr>
              <w:t>可研未明确自救器配备要求</w:t>
            </w:r>
            <w:r>
              <w:rPr>
                <w:rFonts w:asciiTheme="minorHAnsi" w:hAnsiTheme="minorHAnsi" w:cstheme="minorHAnsi"/>
                <w:sz w:val="21"/>
                <w:szCs w:val="24"/>
              </w:rPr>
              <w:t>。</w:t>
            </w:r>
          </w:p>
        </w:tc>
        <w:tc>
          <w:tcPr>
            <w:tcW w:w="530" w:type="pct"/>
            <w:tcBorders>
              <w:top w:val="single" w:color="auto" w:sz="4" w:space="0"/>
              <w:left w:val="single" w:color="auto" w:sz="4" w:space="0"/>
              <w:right w:val="single" w:color="auto" w:sz="4" w:space="0"/>
            </w:tcBorders>
            <w:vAlign w:val="center"/>
          </w:tcPr>
          <w:p w14:paraId="739E8CE4">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下阶段设计中需完善</w:t>
            </w:r>
          </w:p>
        </w:tc>
      </w:tr>
      <w:tr w14:paraId="48DC9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41D56D66">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33D2B72D">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所有入井人员必须随身携带自救器。</w:t>
            </w:r>
          </w:p>
        </w:tc>
        <w:tc>
          <w:tcPr>
            <w:tcW w:w="956" w:type="pct"/>
            <w:tcBorders>
              <w:top w:val="single" w:color="auto" w:sz="4" w:space="0"/>
              <w:left w:val="single" w:color="auto" w:sz="4" w:space="0"/>
              <w:bottom w:val="single" w:color="auto" w:sz="4" w:space="0"/>
              <w:right w:val="single" w:color="auto" w:sz="4" w:space="0"/>
            </w:tcBorders>
            <w:vAlign w:val="center"/>
          </w:tcPr>
          <w:p w14:paraId="35C9FA03">
            <w:pPr>
              <w:spacing w:line="240" w:lineRule="auto"/>
              <w:ind w:firstLine="0" w:firstLineChars="0"/>
              <w:jc w:val="center"/>
              <w:rPr>
                <w:rFonts w:asciiTheme="minorHAnsi" w:hAnsiTheme="minorHAnsi" w:cstheme="minorHAnsi"/>
                <w:kern w:val="0"/>
                <w:sz w:val="21"/>
                <w:szCs w:val="21"/>
              </w:rPr>
            </w:pPr>
            <w:bookmarkStart w:id="264" w:name="_Toc449950401"/>
            <w:bookmarkStart w:id="265" w:name="_Toc435278483"/>
            <w:bookmarkStart w:id="266" w:name="_Toc20533"/>
            <w:bookmarkStart w:id="267" w:name="_Toc452552775"/>
            <w:bookmarkStart w:id="268" w:name="_Toc7829"/>
            <w:bookmarkStart w:id="269" w:name="_Toc438732652"/>
            <w:bookmarkStart w:id="270" w:name="_Toc71789728"/>
            <w:bookmarkStart w:id="271" w:name="_Toc449950223"/>
            <w:bookmarkStart w:id="272" w:name="_Toc451426751"/>
            <w:bookmarkStart w:id="273" w:name="_Toc27393"/>
            <w:bookmarkStart w:id="274" w:name="_Toc411331193"/>
            <w:bookmarkStart w:id="275" w:name="_Toc453588423"/>
            <w:r>
              <w:rPr>
                <w:rFonts w:asciiTheme="minorHAnsi" w:hAnsiTheme="minorHAnsi" w:cstheme="minorHAnsi"/>
                <w:kern w:val="0"/>
                <w:sz w:val="21"/>
                <w:szCs w:val="21"/>
              </w:rPr>
              <w:t>《金属非金属地下矿山紧急避险系统建设规范》</w:t>
            </w:r>
            <w:bookmarkEnd w:id="264"/>
            <w:bookmarkEnd w:id="265"/>
            <w:bookmarkEnd w:id="266"/>
            <w:bookmarkEnd w:id="267"/>
            <w:bookmarkEnd w:id="268"/>
            <w:bookmarkEnd w:id="269"/>
            <w:bookmarkEnd w:id="270"/>
            <w:bookmarkEnd w:id="271"/>
            <w:bookmarkEnd w:id="272"/>
            <w:bookmarkEnd w:id="273"/>
            <w:bookmarkEnd w:id="274"/>
            <w:bookmarkEnd w:id="275"/>
          </w:p>
          <w:p w14:paraId="20891591">
            <w:pPr>
              <w:spacing w:line="240" w:lineRule="auto"/>
              <w:ind w:firstLine="0" w:firstLineChars="0"/>
              <w:jc w:val="center"/>
              <w:rPr>
                <w:rFonts w:asciiTheme="minorHAnsi" w:hAnsiTheme="minorHAnsi" w:cstheme="minorHAnsi"/>
                <w:kern w:val="0"/>
                <w:sz w:val="21"/>
                <w:szCs w:val="21"/>
              </w:rPr>
            </w:pPr>
            <w:bookmarkStart w:id="276" w:name="_Toc435278484"/>
            <w:bookmarkStart w:id="277" w:name="_Toc10941"/>
            <w:bookmarkStart w:id="278" w:name="_Toc17357"/>
            <w:bookmarkStart w:id="279" w:name="_Toc71789729"/>
            <w:bookmarkStart w:id="280" w:name="_Toc12726"/>
            <w:bookmarkStart w:id="281" w:name="_Toc451426752"/>
            <w:bookmarkStart w:id="282" w:name="_Toc449950402"/>
            <w:bookmarkStart w:id="283" w:name="_Toc438732653"/>
            <w:bookmarkStart w:id="284" w:name="_Toc449950224"/>
            <w:bookmarkStart w:id="285" w:name="_Toc411331194"/>
            <w:bookmarkStart w:id="286" w:name="_Toc453588424"/>
            <w:bookmarkStart w:id="287" w:name="_Toc452552776"/>
            <w:r>
              <w:rPr>
                <w:rFonts w:asciiTheme="minorHAnsi" w:hAnsiTheme="minorHAnsi" w:cstheme="minorHAnsi"/>
                <w:kern w:val="0"/>
                <w:sz w:val="21"/>
                <w:szCs w:val="21"/>
              </w:rPr>
              <w:t>(KA/T 2033-2023)</w:t>
            </w:r>
            <w:bookmarkEnd w:id="276"/>
            <w:bookmarkEnd w:id="277"/>
            <w:bookmarkEnd w:id="278"/>
            <w:bookmarkEnd w:id="279"/>
            <w:bookmarkEnd w:id="280"/>
            <w:bookmarkEnd w:id="281"/>
            <w:bookmarkEnd w:id="282"/>
            <w:bookmarkEnd w:id="283"/>
            <w:bookmarkEnd w:id="284"/>
            <w:bookmarkEnd w:id="285"/>
            <w:bookmarkEnd w:id="286"/>
            <w:bookmarkEnd w:id="287"/>
          </w:p>
          <w:p w14:paraId="460D124C">
            <w:pPr>
              <w:spacing w:line="240" w:lineRule="auto"/>
              <w:ind w:firstLine="0" w:firstLineChars="0"/>
              <w:jc w:val="center"/>
              <w:rPr>
                <w:rFonts w:asciiTheme="minorHAnsi" w:hAnsiTheme="minorHAnsi" w:cstheme="minorHAnsi"/>
                <w:kern w:val="0"/>
                <w:sz w:val="21"/>
                <w:szCs w:val="21"/>
              </w:rPr>
            </w:pPr>
            <w:bookmarkStart w:id="288" w:name="_Toc71789730"/>
            <w:bookmarkStart w:id="289" w:name="_Toc452552777"/>
            <w:bookmarkStart w:id="290" w:name="_Toc451426753"/>
            <w:bookmarkStart w:id="291" w:name="_Toc453588425"/>
            <w:bookmarkStart w:id="292" w:name="_Toc449950403"/>
            <w:bookmarkStart w:id="293" w:name="_Toc411331195"/>
            <w:bookmarkStart w:id="294" w:name="_Toc435278485"/>
            <w:bookmarkStart w:id="295" w:name="_Toc449950225"/>
            <w:bookmarkStart w:id="296" w:name="_Toc438732654"/>
            <w:bookmarkStart w:id="297" w:name="_Toc5955"/>
            <w:bookmarkStart w:id="298" w:name="_Toc12762"/>
            <w:bookmarkStart w:id="299" w:name="_Toc7248"/>
            <w:r>
              <w:rPr>
                <w:rFonts w:asciiTheme="minorHAnsi" w:hAnsiTheme="minorHAnsi" w:cstheme="minorHAnsi"/>
                <w:kern w:val="0"/>
                <w:sz w:val="21"/>
                <w:szCs w:val="21"/>
              </w:rPr>
              <w:t>4.</w:t>
            </w:r>
            <w:bookmarkEnd w:id="288"/>
            <w:bookmarkEnd w:id="289"/>
            <w:bookmarkEnd w:id="290"/>
            <w:bookmarkEnd w:id="291"/>
            <w:bookmarkEnd w:id="292"/>
            <w:bookmarkEnd w:id="293"/>
            <w:bookmarkEnd w:id="294"/>
            <w:bookmarkEnd w:id="295"/>
            <w:bookmarkEnd w:id="296"/>
            <w:r>
              <w:rPr>
                <w:rFonts w:asciiTheme="minorHAnsi" w:hAnsiTheme="minorHAnsi" w:cstheme="minorHAnsi"/>
                <w:kern w:val="0"/>
                <w:sz w:val="21"/>
                <w:szCs w:val="21"/>
              </w:rPr>
              <w:t>6</w:t>
            </w:r>
            <w:bookmarkEnd w:id="297"/>
            <w:bookmarkEnd w:id="298"/>
            <w:bookmarkEnd w:id="299"/>
          </w:p>
        </w:tc>
        <w:tc>
          <w:tcPr>
            <w:tcW w:w="1898" w:type="pct"/>
            <w:tcBorders>
              <w:left w:val="single" w:color="auto" w:sz="4" w:space="0"/>
              <w:bottom w:val="single" w:color="auto" w:sz="4" w:space="0"/>
              <w:right w:val="single" w:color="auto" w:sz="4" w:space="0"/>
            </w:tcBorders>
            <w:vAlign w:val="center"/>
          </w:tcPr>
          <w:p w14:paraId="7E83D768">
            <w:pPr>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4"/>
              </w:rPr>
              <w:t>可研未明确自救器配备要求</w:t>
            </w:r>
            <w:r>
              <w:rPr>
                <w:rFonts w:asciiTheme="minorHAnsi" w:hAnsiTheme="minorHAnsi" w:cstheme="minorHAnsi"/>
                <w:sz w:val="21"/>
                <w:szCs w:val="24"/>
              </w:rPr>
              <w:t>。</w:t>
            </w:r>
          </w:p>
        </w:tc>
        <w:tc>
          <w:tcPr>
            <w:tcW w:w="530" w:type="pct"/>
            <w:tcBorders>
              <w:left w:val="single" w:color="auto" w:sz="4" w:space="0"/>
              <w:bottom w:val="single" w:color="auto" w:sz="4" w:space="0"/>
              <w:right w:val="single" w:color="auto" w:sz="4" w:space="0"/>
            </w:tcBorders>
            <w:vAlign w:val="center"/>
          </w:tcPr>
          <w:p w14:paraId="43EF27F4">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下阶段设计中需完善</w:t>
            </w:r>
          </w:p>
        </w:tc>
      </w:tr>
      <w:tr w14:paraId="35159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123041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476009BE">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4"/>
              </w:rPr>
              <w:t>紧急避险设施的设置应满足本中段最多同时作业人员避灾需要，单个避灾硐室的额定人数不大于100人。</w:t>
            </w:r>
          </w:p>
        </w:tc>
        <w:tc>
          <w:tcPr>
            <w:tcW w:w="956" w:type="pct"/>
            <w:tcBorders>
              <w:top w:val="single" w:color="auto" w:sz="4" w:space="0"/>
              <w:left w:val="single" w:color="auto" w:sz="4" w:space="0"/>
              <w:bottom w:val="single" w:color="auto" w:sz="4" w:space="0"/>
              <w:right w:val="single" w:color="auto" w:sz="4" w:space="0"/>
            </w:tcBorders>
            <w:vAlign w:val="center"/>
          </w:tcPr>
          <w:p w14:paraId="4A62AABE">
            <w:pPr>
              <w:spacing w:line="240" w:lineRule="auto"/>
              <w:ind w:firstLine="0" w:firstLineChars="0"/>
              <w:jc w:val="center"/>
              <w:rPr>
                <w:rFonts w:asciiTheme="minorHAnsi" w:hAnsiTheme="minorHAnsi" w:cstheme="minorHAnsi"/>
                <w:kern w:val="0"/>
                <w:sz w:val="21"/>
                <w:szCs w:val="21"/>
              </w:rPr>
            </w:pPr>
            <w:bookmarkStart w:id="300" w:name="_Toc11480"/>
            <w:bookmarkStart w:id="301" w:name="_Toc435278489"/>
            <w:bookmarkStart w:id="302" w:name="_Toc71789734"/>
            <w:bookmarkStart w:id="303" w:name="_Toc20069"/>
            <w:bookmarkStart w:id="304" w:name="_Toc452552781"/>
            <w:bookmarkStart w:id="305" w:name="_Toc449950407"/>
            <w:bookmarkStart w:id="306" w:name="_Toc451426757"/>
            <w:bookmarkStart w:id="307" w:name="_Toc449950229"/>
            <w:bookmarkStart w:id="308" w:name="_Toc411331202"/>
            <w:bookmarkStart w:id="309" w:name="_Toc453588429"/>
            <w:bookmarkStart w:id="310" w:name="_Toc438732658"/>
            <w:bookmarkStart w:id="311" w:name="_Toc24600"/>
            <w:r>
              <w:rPr>
                <w:rFonts w:asciiTheme="minorHAnsi" w:hAnsiTheme="minorHAnsi" w:cstheme="minorHAnsi"/>
                <w:kern w:val="0"/>
                <w:sz w:val="21"/>
                <w:szCs w:val="21"/>
              </w:rPr>
              <w:t>《金属非金属地下矿山紧急避险系统建设规范》</w:t>
            </w:r>
            <w:bookmarkEnd w:id="300"/>
            <w:bookmarkEnd w:id="301"/>
            <w:bookmarkEnd w:id="302"/>
            <w:bookmarkEnd w:id="303"/>
            <w:bookmarkEnd w:id="304"/>
            <w:bookmarkEnd w:id="305"/>
            <w:bookmarkEnd w:id="306"/>
            <w:bookmarkEnd w:id="307"/>
            <w:bookmarkEnd w:id="308"/>
            <w:bookmarkEnd w:id="309"/>
            <w:bookmarkEnd w:id="310"/>
            <w:bookmarkEnd w:id="311"/>
          </w:p>
          <w:p w14:paraId="463D2A5E">
            <w:pPr>
              <w:spacing w:line="240" w:lineRule="auto"/>
              <w:ind w:firstLine="0" w:firstLineChars="0"/>
              <w:jc w:val="center"/>
              <w:rPr>
                <w:rFonts w:asciiTheme="minorHAnsi" w:hAnsiTheme="minorHAnsi" w:cstheme="minorHAnsi"/>
                <w:kern w:val="0"/>
                <w:sz w:val="21"/>
                <w:szCs w:val="21"/>
              </w:rPr>
            </w:pPr>
            <w:bookmarkStart w:id="312" w:name="_Toc435278490"/>
            <w:bookmarkStart w:id="313" w:name="_Toc452552782"/>
            <w:bookmarkStart w:id="314" w:name="_Toc71789735"/>
            <w:bookmarkStart w:id="315" w:name="_Toc453588430"/>
            <w:bookmarkStart w:id="316" w:name="_Toc14557"/>
            <w:bookmarkStart w:id="317" w:name="_Toc21804"/>
            <w:bookmarkStart w:id="318" w:name="_Toc22331"/>
            <w:bookmarkStart w:id="319" w:name="_Toc411331203"/>
            <w:bookmarkStart w:id="320" w:name="_Toc449950408"/>
            <w:bookmarkStart w:id="321" w:name="_Toc451426758"/>
            <w:bookmarkStart w:id="322" w:name="_Toc438732659"/>
            <w:bookmarkStart w:id="323" w:name="_Toc449950230"/>
            <w:r>
              <w:rPr>
                <w:rFonts w:asciiTheme="minorHAnsi" w:hAnsiTheme="minorHAnsi" w:cstheme="minorHAnsi"/>
                <w:kern w:val="0"/>
                <w:sz w:val="21"/>
                <w:szCs w:val="21"/>
              </w:rPr>
              <w:t>(KA/T 2033-2023)</w:t>
            </w:r>
            <w:bookmarkEnd w:id="312"/>
            <w:bookmarkEnd w:id="313"/>
            <w:bookmarkEnd w:id="314"/>
            <w:bookmarkEnd w:id="315"/>
            <w:bookmarkEnd w:id="316"/>
            <w:bookmarkEnd w:id="317"/>
            <w:bookmarkEnd w:id="318"/>
            <w:bookmarkEnd w:id="319"/>
            <w:bookmarkEnd w:id="320"/>
            <w:bookmarkEnd w:id="321"/>
            <w:bookmarkEnd w:id="322"/>
            <w:bookmarkEnd w:id="323"/>
          </w:p>
          <w:p w14:paraId="338F2ED7">
            <w:pPr>
              <w:spacing w:line="240" w:lineRule="auto"/>
              <w:ind w:firstLine="0" w:firstLineChars="0"/>
              <w:jc w:val="center"/>
              <w:rPr>
                <w:rFonts w:asciiTheme="minorHAnsi" w:hAnsiTheme="minorHAnsi" w:cstheme="minorHAnsi"/>
                <w:kern w:val="0"/>
                <w:sz w:val="21"/>
                <w:szCs w:val="21"/>
              </w:rPr>
            </w:pPr>
            <w:bookmarkStart w:id="324" w:name="_Toc71789736"/>
            <w:bookmarkStart w:id="325" w:name="_Toc451426759"/>
            <w:bookmarkStart w:id="326" w:name="_Toc438732660"/>
            <w:bookmarkStart w:id="327" w:name="_Toc435278491"/>
            <w:bookmarkStart w:id="328" w:name="_Toc11794"/>
            <w:bookmarkStart w:id="329" w:name="_Toc23937"/>
            <w:bookmarkStart w:id="330" w:name="_Toc9102"/>
            <w:bookmarkStart w:id="331" w:name="_Toc452552783"/>
            <w:bookmarkStart w:id="332" w:name="_Toc411331204"/>
            <w:bookmarkStart w:id="333" w:name="_Toc449950409"/>
            <w:bookmarkStart w:id="334" w:name="_Toc453588431"/>
            <w:bookmarkStart w:id="335" w:name="_Toc449950231"/>
            <w:r>
              <w:rPr>
                <w:rFonts w:asciiTheme="minorHAnsi" w:hAnsiTheme="minorHAnsi" w:cstheme="minorHAnsi"/>
                <w:kern w:val="0"/>
                <w:sz w:val="21"/>
                <w:szCs w:val="21"/>
              </w:rPr>
              <w:t>5.4</w:t>
            </w:r>
            <w:bookmarkEnd w:id="324"/>
            <w:bookmarkEnd w:id="325"/>
            <w:bookmarkEnd w:id="326"/>
            <w:bookmarkEnd w:id="327"/>
            <w:bookmarkEnd w:id="328"/>
            <w:bookmarkEnd w:id="329"/>
            <w:bookmarkEnd w:id="330"/>
            <w:bookmarkEnd w:id="331"/>
            <w:bookmarkEnd w:id="332"/>
            <w:bookmarkEnd w:id="333"/>
            <w:bookmarkEnd w:id="334"/>
            <w:bookmarkEnd w:id="335"/>
          </w:p>
        </w:tc>
        <w:tc>
          <w:tcPr>
            <w:tcW w:w="1898" w:type="pct"/>
            <w:tcBorders>
              <w:left w:val="single" w:color="auto" w:sz="4" w:space="0"/>
              <w:bottom w:val="single" w:color="auto" w:sz="4" w:space="0"/>
              <w:right w:val="single" w:color="auto" w:sz="4" w:space="0"/>
            </w:tcBorders>
            <w:vAlign w:val="center"/>
          </w:tcPr>
          <w:p w14:paraId="1704CE04">
            <w:pPr>
              <w:adjustRightIn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一期在-475m水平设1座普通型避灾硐室，额定人数按100人考虑，额定防护时间8h。二期在冯家庄矿段-475m水平设1座普通型避灾硐室，额定人数按20人考虑，额定防护时间8h；在彭集深部-805m水平设1座普通型避灾硐室，额定人数按50人考虑，额定防护时间8h。</w:t>
            </w:r>
          </w:p>
        </w:tc>
        <w:tc>
          <w:tcPr>
            <w:tcW w:w="530" w:type="pct"/>
            <w:tcBorders>
              <w:left w:val="single" w:color="auto" w:sz="4" w:space="0"/>
              <w:bottom w:val="single" w:color="auto" w:sz="4" w:space="0"/>
              <w:right w:val="single" w:color="auto" w:sz="4" w:space="0"/>
            </w:tcBorders>
            <w:vAlign w:val="center"/>
          </w:tcPr>
          <w:p w14:paraId="2E60361D">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符合</w:t>
            </w:r>
          </w:p>
          <w:p w14:paraId="3C08B507">
            <w:pPr>
              <w:spacing w:line="240" w:lineRule="auto"/>
              <w:ind w:firstLine="0" w:firstLineChars="0"/>
              <w:jc w:val="center"/>
              <w:rPr>
                <w:rFonts w:asciiTheme="minorHAnsi" w:hAnsiTheme="minorHAnsi" w:cstheme="minorHAnsi"/>
                <w:sz w:val="21"/>
                <w:szCs w:val="21"/>
              </w:rPr>
            </w:pPr>
            <w:r>
              <w:rPr>
                <w:rFonts w:hint="eastAsia" w:asciiTheme="minorHAnsi" w:hAnsiTheme="minorHAnsi" w:cstheme="minorHAnsi"/>
                <w:sz w:val="21"/>
                <w:szCs w:val="21"/>
              </w:rPr>
              <w:t>要求</w:t>
            </w:r>
          </w:p>
        </w:tc>
      </w:tr>
      <w:tr w14:paraId="095DE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99B4478">
            <w:pPr>
              <w:adjustRightInd w:val="0"/>
              <w:snapToGrid w:val="0"/>
              <w:spacing w:line="240" w:lineRule="auto"/>
              <w:ind w:firstLine="0" w:firstLineChars="0"/>
              <w:jc w:val="center"/>
              <w:rPr>
                <w:rFonts w:cs="Times New Roman"/>
                <w:sz w:val="21"/>
                <w:szCs w:val="21"/>
              </w:rPr>
            </w:pPr>
            <w:r>
              <w:rPr>
                <w:rFonts w:hint="eastAsia" w:cs="Times New Roman"/>
                <w:sz w:val="21"/>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349EA1A3">
            <w:pPr>
              <w:adjustRightInd w:val="0"/>
              <w:snapToGrid w:val="0"/>
              <w:spacing w:line="240" w:lineRule="auto"/>
              <w:ind w:firstLine="0" w:firstLineChars="0"/>
              <w:rPr>
                <w:rFonts w:cs="Times New Roman"/>
                <w:sz w:val="21"/>
                <w:szCs w:val="21"/>
              </w:rPr>
            </w:pPr>
            <w:r>
              <w:rPr>
                <w:rFonts w:cs="Times New Roman"/>
                <w:sz w:val="21"/>
                <w:szCs w:val="21"/>
              </w:rPr>
              <w:t>紧急避险设施应设置在围岩稳固、支护良好、靠近人员相对集中的地方，高于巷道底板0.5 m 以 上，前后20 m 范围内应采用非可燃性材料支护。</w:t>
            </w:r>
          </w:p>
        </w:tc>
        <w:tc>
          <w:tcPr>
            <w:tcW w:w="956" w:type="pct"/>
            <w:tcBorders>
              <w:top w:val="single" w:color="auto" w:sz="4" w:space="0"/>
              <w:left w:val="single" w:color="auto" w:sz="4" w:space="0"/>
              <w:bottom w:val="single" w:color="auto" w:sz="4" w:space="0"/>
              <w:right w:val="single" w:color="auto" w:sz="4" w:space="0"/>
            </w:tcBorders>
            <w:vAlign w:val="center"/>
          </w:tcPr>
          <w:p w14:paraId="56CF5359">
            <w:pPr>
              <w:adjustRightInd w:val="0"/>
              <w:snapToGrid w:val="0"/>
              <w:spacing w:line="240" w:lineRule="auto"/>
              <w:ind w:firstLine="0" w:firstLineChars="0"/>
              <w:jc w:val="center"/>
              <w:rPr>
                <w:rFonts w:cs="Times New Roman"/>
                <w:kern w:val="0"/>
                <w:sz w:val="21"/>
                <w:szCs w:val="21"/>
              </w:rPr>
            </w:pPr>
            <w:bookmarkStart w:id="336" w:name="_Toc25264"/>
            <w:r>
              <w:rPr>
                <w:rFonts w:cs="Times New Roman"/>
                <w:kern w:val="0"/>
                <w:sz w:val="21"/>
                <w:szCs w:val="21"/>
              </w:rPr>
              <w:t>《金属非金属地下矿山紧急避险系统建设规范》</w:t>
            </w:r>
            <w:bookmarkEnd w:id="336"/>
          </w:p>
          <w:p w14:paraId="6ABD56DE">
            <w:pPr>
              <w:adjustRightInd w:val="0"/>
              <w:snapToGrid w:val="0"/>
              <w:spacing w:line="240" w:lineRule="auto"/>
              <w:ind w:firstLine="0" w:firstLineChars="0"/>
              <w:jc w:val="center"/>
              <w:rPr>
                <w:rFonts w:cs="Times New Roman"/>
                <w:kern w:val="0"/>
                <w:sz w:val="21"/>
                <w:szCs w:val="21"/>
              </w:rPr>
            </w:pPr>
            <w:bookmarkStart w:id="337" w:name="_Toc21056"/>
            <w:r>
              <w:rPr>
                <w:rFonts w:cs="Times New Roman"/>
                <w:kern w:val="0"/>
                <w:sz w:val="21"/>
                <w:szCs w:val="21"/>
              </w:rPr>
              <w:t>(KA/T2033-2023)</w:t>
            </w:r>
            <w:bookmarkEnd w:id="337"/>
          </w:p>
          <w:p w14:paraId="44ABAF39">
            <w:pPr>
              <w:adjustRightInd w:val="0"/>
              <w:snapToGrid w:val="0"/>
              <w:spacing w:line="240" w:lineRule="auto"/>
              <w:ind w:firstLine="0" w:firstLineChars="0"/>
              <w:jc w:val="center"/>
              <w:rPr>
                <w:rFonts w:cs="Times New Roman"/>
                <w:kern w:val="0"/>
                <w:sz w:val="21"/>
                <w:szCs w:val="21"/>
              </w:rPr>
            </w:pPr>
            <w:bookmarkStart w:id="338" w:name="_Toc15591"/>
            <w:r>
              <w:rPr>
                <w:rFonts w:cs="Times New Roman"/>
                <w:kern w:val="0"/>
                <w:sz w:val="21"/>
                <w:szCs w:val="21"/>
              </w:rPr>
              <w:t>5.5</w:t>
            </w:r>
            <w:bookmarkEnd w:id="338"/>
          </w:p>
        </w:tc>
        <w:tc>
          <w:tcPr>
            <w:tcW w:w="1898" w:type="pct"/>
            <w:tcBorders>
              <w:left w:val="single" w:color="auto" w:sz="4" w:space="0"/>
              <w:bottom w:val="single" w:color="auto" w:sz="4" w:space="0"/>
              <w:right w:val="single" w:color="auto" w:sz="4" w:space="0"/>
            </w:tcBorders>
            <w:vAlign w:val="center"/>
          </w:tcPr>
          <w:p w14:paraId="096E02B7">
            <w:pPr>
              <w:adjustRightInd w:val="0"/>
              <w:snapToGrid w:val="0"/>
              <w:spacing w:line="240" w:lineRule="auto"/>
              <w:ind w:firstLine="0" w:firstLineChars="0"/>
              <w:rPr>
                <w:rFonts w:cs="Times New Roman"/>
                <w:sz w:val="21"/>
                <w:szCs w:val="21"/>
              </w:rPr>
            </w:pPr>
            <w:r>
              <w:rPr>
                <w:rFonts w:hint="eastAsia" w:cs="Times New Roman"/>
                <w:sz w:val="21"/>
                <w:szCs w:val="21"/>
              </w:rPr>
              <w:t>避灾硐室采用钢筋混凝土支护，底板高出相连巷道底板0.5m，净空高不低于2m，并确保每人有不低于1.0m</w:t>
            </w:r>
            <w:r>
              <w:rPr>
                <w:rFonts w:hint="eastAsia" w:cs="Times New Roman"/>
                <w:sz w:val="21"/>
                <w:szCs w:val="21"/>
                <w:vertAlign w:val="superscript"/>
              </w:rPr>
              <w:t>2</w:t>
            </w:r>
            <w:r>
              <w:rPr>
                <w:rFonts w:hint="eastAsia" w:cs="Times New Roman"/>
                <w:sz w:val="21"/>
                <w:szCs w:val="21"/>
              </w:rPr>
              <w:t>的有效使用面积。在避灾硐室进出口设有一道向外开启的防火门。</w:t>
            </w:r>
          </w:p>
        </w:tc>
        <w:tc>
          <w:tcPr>
            <w:tcW w:w="530" w:type="pct"/>
            <w:tcBorders>
              <w:left w:val="single" w:color="auto" w:sz="4" w:space="0"/>
              <w:bottom w:val="single" w:color="auto" w:sz="4" w:space="0"/>
              <w:right w:val="single" w:color="auto" w:sz="4" w:space="0"/>
            </w:tcBorders>
            <w:vAlign w:val="center"/>
          </w:tcPr>
          <w:p w14:paraId="77AC4DC2">
            <w:pPr>
              <w:adjustRightInd w:val="0"/>
              <w:snapToGrid w:val="0"/>
              <w:spacing w:line="240" w:lineRule="auto"/>
              <w:ind w:firstLine="0" w:firstLineChars="0"/>
              <w:jc w:val="center"/>
              <w:rPr>
                <w:rFonts w:cs="Times New Roman"/>
                <w:sz w:val="21"/>
                <w:szCs w:val="21"/>
              </w:rPr>
            </w:pPr>
            <w:r>
              <w:rPr>
                <w:rFonts w:hint="eastAsia" w:cs="Times New Roman"/>
                <w:sz w:val="21"/>
                <w:szCs w:val="21"/>
              </w:rPr>
              <w:t>符合</w:t>
            </w:r>
          </w:p>
          <w:p w14:paraId="5C6AD443">
            <w:pPr>
              <w:adjustRightInd w:val="0"/>
              <w:snapToGrid w:val="0"/>
              <w:spacing w:line="240" w:lineRule="auto"/>
              <w:ind w:firstLine="0" w:firstLineChars="0"/>
              <w:jc w:val="center"/>
              <w:rPr>
                <w:rFonts w:cs="Times New Roman"/>
                <w:sz w:val="21"/>
                <w:szCs w:val="21"/>
              </w:rPr>
            </w:pPr>
            <w:r>
              <w:rPr>
                <w:rFonts w:hint="eastAsia" w:cs="Times New Roman"/>
                <w:sz w:val="21"/>
                <w:szCs w:val="21"/>
              </w:rPr>
              <w:t>要求</w:t>
            </w:r>
          </w:p>
        </w:tc>
      </w:tr>
      <w:tr w14:paraId="25893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D159190">
            <w:pPr>
              <w:adjustRightInd w:val="0"/>
              <w:snapToGrid w:val="0"/>
              <w:spacing w:line="240" w:lineRule="auto"/>
              <w:ind w:firstLine="0" w:firstLineChars="0"/>
              <w:jc w:val="center"/>
              <w:rPr>
                <w:rFonts w:cs="Times New Roman"/>
                <w:sz w:val="21"/>
                <w:szCs w:val="21"/>
              </w:rPr>
            </w:pPr>
            <w:r>
              <w:rPr>
                <w:rFonts w:hint="eastAsia" w:cs="Times New Roman"/>
                <w:sz w:val="21"/>
                <w:szCs w:val="21"/>
              </w:rPr>
              <w:t>6</w:t>
            </w:r>
          </w:p>
        </w:tc>
        <w:tc>
          <w:tcPr>
            <w:tcW w:w="1246" w:type="pct"/>
            <w:tcBorders>
              <w:top w:val="single" w:color="auto" w:sz="4" w:space="0"/>
              <w:left w:val="single" w:color="auto" w:sz="4" w:space="0"/>
              <w:bottom w:val="single" w:color="auto" w:sz="4" w:space="0"/>
              <w:right w:val="single" w:color="auto" w:sz="4" w:space="0"/>
            </w:tcBorders>
            <w:vAlign w:val="center"/>
          </w:tcPr>
          <w:p w14:paraId="5F7DFD54">
            <w:pPr>
              <w:adjustRightInd w:val="0"/>
              <w:snapToGrid w:val="0"/>
              <w:spacing w:line="240" w:lineRule="auto"/>
              <w:ind w:firstLine="0" w:firstLineChars="0"/>
              <w:rPr>
                <w:rFonts w:cs="Times New Roman"/>
                <w:sz w:val="21"/>
                <w:szCs w:val="21"/>
              </w:rPr>
            </w:pPr>
            <w:r>
              <w:rPr>
                <w:rFonts w:cs="Times New Roman"/>
                <w:sz w:val="21"/>
                <w:szCs w:val="21"/>
              </w:rPr>
              <w:t>矿山井下压风自救系统、供水施救系统、通信联络系统、供电系统的管道、线缆以及监测监控系统 的视频监控设备应接入避灾硐室内。各种管线在接入避灾硐室时应采取密封等防护措施。</w:t>
            </w:r>
          </w:p>
        </w:tc>
        <w:tc>
          <w:tcPr>
            <w:tcW w:w="956" w:type="pct"/>
            <w:tcBorders>
              <w:top w:val="single" w:color="auto" w:sz="4" w:space="0"/>
              <w:left w:val="single" w:color="auto" w:sz="4" w:space="0"/>
              <w:bottom w:val="single" w:color="auto" w:sz="4" w:space="0"/>
              <w:right w:val="single" w:color="auto" w:sz="4" w:space="0"/>
            </w:tcBorders>
            <w:vAlign w:val="center"/>
          </w:tcPr>
          <w:p w14:paraId="4833AC93">
            <w:pPr>
              <w:adjustRightInd w:val="0"/>
              <w:snapToGrid w:val="0"/>
              <w:spacing w:line="240" w:lineRule="auto"/>
              <w:ind w:firstLine="0" w:firstLineChars="0"/>
              <w:jc w:val="center"/>
              <w:rPr>
                <w:rFonts w:cs="Times New Roman"/>
                <w:kern w:val="0"/>
                <w:sz w:val="21"/>
                <w:szCs w:val="21"/>
              </w:rPr>
            </w:pPr>
            <w:bookmarkStart w:id="339" w:name="_Toc21274"/>
            <w:r>
              <w:rPr>
                <w:rFonts w:cs="Times New Roman"/>
                <w:kern w:val="0"/>
                <w:sz w:val="21"/>
                <w:szCs w:val="21"/>
              </w:rPr>
              <w:t>《金属非金属地下矿山紧急避险系统建设规范》</w:t>
            </w:r>
            <w:bookmarkEnd w:id="339"/>
          </w:p>
          <w:p w14:paraId="01704D83">
            <w:pPr>
              <w:adjustRightInd w:val="0"/>
              <w:snapToGrid w:val="0"/>
              <w:spacing w:line="240" w:lineRule="auto"/>
              <w:ind w:firstLine="0" w:firstLineChars="0"/>
              <w:jc w:val="center"/>
              <w:rPr>
                <w:rFonts w:cs="Times New Roman"/>
                <w:kern w:val="0"/>
                <w:sz w:val="21"/>
                <w:szCs w:val="21"/>
              </w:rPr>
            </w:pPr>
            <w:bookmarkStart w:id="340" w:name="_Toc3524"/>
            <w:r>
              <w:rPr>
                <w:rFonts w:cs="Times New Roman"/>
                <w:kern w:val="0"/>
                <w:sz w:val="21"/>
                <w:szCs w:val="21"/>
              </w:rPr>
              <w:t>(KA/T2033-2023)</w:t>
            </w:r>
            <w:bookmarkEnd w:id="340"/>
          </w:p>
          <w:p w14:paraId="7F6C6C4F">
            <w:pPr>
              <w:adjustRightInd w:val="0"/>
              <w:snapToGrid w:val="0"/>
              <w:spacing w:line="240" w:lineRule="auto"/>
              <w:ind w:firstLine="0" w:firstLineChars="0"/>
              <w:jc w:val="center"/>
              <w:rPr>
                <w:rFonts w:cs="Times New Roman"/>
                <w:kern w:val="0"/>
                <w:sz w:val="21"/>
                <w:szCs w:val="21"/>
              </w:rPr>
            </w:pPr>
            <w:bookmarkStart w:id="341" w:name="_Toc18296"/>
            <w:r>
              <w:rPr>
                <w:rFonts w:cs="Times New Roman"/>
                <w:kern w:val="0"/>
                <w:sz w:val="21"/>
                <w:szCs w:val="21"/>
              </w:rPr>
              <w:t>5.8</w:t>
            </w:r>
            <w:bookmarkEnd w:id="341"/>
          </w:p>
        </w:tc>
        <w:tc>
          <w:tcPr>
            <w:tcW w:w="1898" w:type="pct"/>
            <w:tcBorders>
              <w:left w:val="single" w:color="auto" w:sz="4" w:space="0"/>
              <w:bottom w:val="single" w:color="auto" w:sz="4" w:space="0"/>
              <w:right w:val="single" w:color="auto" w:sz="4" w:space="0"/>
            </w:tcBorders>
            <w:vAlign w:val="center"/>
          </w:tcPr>
          <w:p w14:paraId="7D840902">
            <w:pPr>
              <w:adjustRightInd w:val="0"/>
              <w:snapToGrid w:val="0"/>
              <w:spacing w:line="240" w:lineRule="auto"/>
              <w:ind w:firstLine="0" w:firstLineChars="0"/>
              <w:rPr>
                <w:rFonts w:cs="Times New Roman"/>
                <w:sz w:val="21"/>
                <w:szCs w:val="21"/>
              </w:rPr>
            </w:pPr>
            <w:r>
              <w:rPr>
                <w:rFonts w:hint="eastAsia" w:cs="Times New Roman"/>
                <w:sz w:val="21"/>
                <w:szCs w:val="21"/>
              </w:rPr>
              <w:t>矿山井下压风自救系统、供水施救系统、通信联络系统、供电系统的管道和线缆，以及监测监控系统的视频监控设备等均接入避灾硐室内</w:t>
            </w:r>
          </w:p>
        </w:tc>
        <w:tc>
          <w:tcPr>
            <w:tcW w:w="530" w:type="pct"/>
            <w:tcBorders>
              <w:left w:val="single" w:color="auto" w:sz="4" w:space="0"/>
              <w:bottom w:val="single" w:color="auto" w:sz="4" w:space="0"/>
              <w:right w:val="single" w:color="auto" w:sz="4" w:space="0"/>
            </w:tcBorders>
            <w:vAlign w:val="center"/>
          </w:tcPr>
          <w:p w14:paraId="393FD141">
            <w:pPr>
              <w:adjustRightInd w:val="0"/>
              <w:snapToGrid w:val="0"/>
              <w:spacing w:line="240" w:lineRule="auto"/>
              <w:ind w:firstLine="0" w:firstLineChars="0"/>
              <w:jc w:val="center"/>
              <w:rPr>
                <w:rFonts w:cs="Times New Roman"/>
                <w:sz w:val="21"/>
                <w:szCs w:val="21"/>
              </w:rPr>
            </w:pPr>
            <w:r>
              <w:rPr>
                <w:rFonts w:hint="eastAsia" w:cs="Times New Roman"/>
                <w:sz w:val="21"/>
                <w:szCs w:val="21"/>
              </w:rPr>
              <w:t>符合</w:t>
            </w:r>
          </w:p>
          <w:p w14:paraId="4D5A8ABC">
            <w:pPr>
              <w:adjustRightInd w:val="0"/>
              <w:snapToGrid w:val="0"/>
              <w:spacing w:line="240" w:lineRule="auto"/>
              <w:ind w:firstLine="0" w:firstLineChars="0"/>
              <w:jc w:val="center"/>
              <w:rPr>
                <w:rFonts w:cs="Times New Roman"/>
                <w:sz w:val="21"/>
                <w:szCs w:val="21"/>
              </w:rPr>
            </w:pPr>
            <w:r>
              <w:rPr>
                <w:rFonts w:hint="eastAsia" w:cs="Times New Roman"/>
                <w:sz w:val="21"/>
                <w:szCs w:val="21"/>
              </w:rPr>
              <w:t>要求</w:t>
            </w:r>
          </w:p>
        </w:tc>
      </w:tr>
      <w:tr w14:paraId="662D0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17D20E2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四</w:t>
            </w:r>
          </w:p>
        </w:tc>
        <w:tc>
          <w:tcPr>
            <w:tcW w:w="1246" w:type="pct"/>
            <w:tcBorders>
              <w:top w:val="single" w:color="auto" w:sz="4" w:space="0"/>
              <w:left w:val="single" w:color="auto" w:sz="4" w:space="0"/>
              <w:bottom w:val="single" w:color="auto" w:sz="4" w:space="0"/>
              <w:right w:val="single" w:color="auto" w:sz="4" w:space="0"/>
            </w:tcBorders>
            <w:vAlign w:val="center"/>
          </w:tcPr>
          <w:p w14:paraId="7075F376">
            <w:pPr>
              <w:spacing w:line="240" w:lineRule="auto"/>
              <w:ind w:firstLine="0" w:firstLineChars="0"/>
              <w:jc w:val="center"/>
              <w:rPr>
                <w:rFonts w:asciiTheme="minorHAnsi" w:hAnsiTheme="minorHAnsi" w:cstheme="minorHAnsi"/>
                <w:kern w:val="0"/>
                <w:sz w:val="21"/>
                <w:szCs w:val="21"/>
              </w:rPr>
            </w:pPr>
            <w:bookmarkStart w:id="342" w:name="_Toc438732682"/>
            <w:bookmarkStart w:id="343" w:name="_Toc6545"/>
            <w:bookmarkStart w:id="344" w:name="_Toc449950256"/>
            <w:bookmarkStart w:id="345" w:name="_Toc452552808"/>
            <w:bookmarkStart w:id="346" w:name="_Toc71789761"/>
            <w:bookmarkStart w:id="347" w:name="_Toc449950434"/>
            <w:bookmarkStart w:id="348" w:name="_Toc435278513"/>
            <w:bookmarkStart w:id="349" w:name="_Toc451426784"/>
            <w:bookmarkStart w:id="350" w:name="_Toc2994"/>
            <w:bookmarkStart w:id="351" w:name="_Toc453588456"/>
            <w:bookmarkStart w:id="352" w:name="_Toc411331217"/>
            <w:r>
              <w:rPr>
                <w:rFonts w:asciiTheme="minorHAnsi" w:hAnsiTheme="minorHAnsi" w:cstheme="minorHAnsi"/>
                <w:kern w:val="0"/>
                <w:sz w:val="21"/>
                <w:szCs w:val="21"/>
              </w:rPr>
              <w:t>压风自救系统</w:t>
            </w:r>
            <w:bookmarkEnd w:id="342"/>
            <w:bookmarkEnd w:id="343"/>
            <w:bookmarkEnd w:id="344"/>
            <w:bookmarkEnd w:id="345"/>
            <w:bookmarkEnd w:id="346"/>
            <w:bookmarkEnd w:id="347"/>
            <w:bookmarkEnd w:id="348"/>
            <w:bookmarkEnd w:id="349"/>
            <w:bookmarkEnd w:id="350"/>
            <w:bookmarkEnd w:id="351"/>
            <w:bookmarkEnd w:id="352"/>
          </w:p>
        </w:tc>
        <w:tc>
          <w:tcPr>
            <w:tcW w:w="956" w:type="pct"/>
            <w:tcBorders>
              <w:top w:val="single" w:color="auto" w:sz="4" w:space="0"/>
              <w:left w:val="single" w:color="auto" w:sz="4" w:space="0"/>
              <w:bottom w:val="single" w:color="auto" w:sz="4" w:space="0"/>
              <w:right w:val="single" w:color="auto" w:sz="4" w:space="0"/>
            </w:tcBorders>
            <w:vAlign w:val="center"/>
          </w:tcPr>
          <w:p w14:paraId="7809FB63">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《金属非金属地下矿山压风自救系统建设规范》(KA/T 2034-2023)</w:t>
            </w:r>
          </w:p>
        </w:tc>
        <w:tc>
          <w:tcPr>
            <w:tcW w:w="1898" w:type="pct"/>
            <w:tcBorders>
              <w:top w:val="single" w:color="auto" w:sz="4" w:space="0"/>
              <w:left w:val="single" w:color="auto" w:sz="4" w:space="0"/>
              <w:bottom w:val="single" w:color="auto" w:sz="4" w:space="0"/>
              <w:right w:val="single" w:color="auto" w:sz="4" w:space="0"/>
            </w:tcBorders>
            <w:vAlign w:val="center"/>
          </w:tcPr>
          <w:p w14:paraId="31FDF92E">
            <w:pPr>
              <w:spacing w:line="240" w:lineRule="auto"/>
              <w:ind w:firstLine="0" w:firstLineChars="0"/>
              <w:rPr>
                <w:rFonts w:asciiTheme="minorHAnsi" w:hAnsiTheme="minorHAnsi" w:cstheme="minorHAnsi"/>
                <w:sz w:val="21"/>
                <w:szCs w:val="28"/>
              </w:rPr>
            </w:pPr>
          </w:p>
        </w:tc>
        <w:tc>
          <w:tcPr>
            <w:tcW w:w="530" w:type="pct"/>
            <w:tcBorders>
              <w:top w:val="single" w:color="auto" w:sz="4" w:space="0"/>
              <w:left w:val="single" w:color="auto" w:sz="4" w:space="0"/>
              <w:bottom w:val="single" w:color="auto" w:sz="4" w:space="0"/>
              <w:right w:val="single" w:color="auto" w:sz="4" w:space="0"/>
            </w:tcBorders>
            <w:vAlign w:val="center"/>
          </w:tcPr>
          <w:p w14:paraId="774D290F">
            <w:pPr>
              <w:spacing w:line="240" w:lineRule="auto"/>
              <w:ind w:firstLine="0" w:firstLineChars="0"/>
              <w:jc w:val="center"/>
              <w:rPr>
                <w:rFonts w:asciiTheme="minorHAnsi" w:hAnsiTheme="minorHAnsi" w:cstheme="minorHAnsi"/>
                <w:sz w:val="21"/>
                <w:szCs w:val="21"/>
              </w:rPr>
            </w:pPr>
          </w:p>
        </w:tc>
      </w:tr>
      <w:tr w14:paraId="3B77F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6932370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467648B5">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4"/>
              </w:rPr>
              <w:t>压风自救系统的空气压缩机应安装在地面，并能在10min内启动。</w:t>
            </w:r>
          </w:p>
        </w:tc>
        <w:tc>
          <w:tcPr>
            <w:tcW w:w="956" w:type="pct"/>
            <w:tcBorders>
              <w:top w:val="single" w:color="auto" w:sz="4" w:space="0"/>
              <w:left w:val="single" w:color="auto" w:sz="4" w:space="0"/>
              <w:bottom w:val="single" w:color="auto" w:sz="4" w:space="0"/>
              <w:right w:val="single" w:color="auto" w:sz="4" w:space="0"/>
            </w:tcBorders>
            <w:vAlign w:val="center"/>
          </w:tcPr>
          <w:p w14:paraId="42D02BEF">
            <w:pPr>
              <w:spacing w:line="240" w:lineRule="auto"/>
              <w:ind w:firstLine="0" w:firstLineChars="0"/>
              <w:jc w:val="center"/>
              <w:rPr>
                <w:rFonts w:asciiTheme="minorHAnsi" w:hAnsiTheme="minorHAnsi" w:cstheme="minorHAnsi"/>
                <w:kern w:val="0"/>
                <w:sz w:val="21"/>
                <w:szCs w:val="21"/>
              </w:rPr>
            </w:pPr>
            <w:bookmarkStart w:id="353" w:name="_Toc22365"/>
            <w:bookmarkStart w:id="354" w:name="_Toc31808"/>
            <w:r>
              <w:rPr>
                <w:rFonts w:asciiTheme="minorHAnsi" w:hAnsiTheme="minorHAnsi" w:cstheme="minorHAnsi"/>
                <w:kern w:val="0"/>
                <w:sz w:val="21"/>
                <w:szCs w:val="21"/>
              </w:rPr>
              <w:t>《金属非金属地下矿山压风自救系统建设规范》(KA/T 2034-2023)4.3</w:t>
            </w:r>
            <w:bookmarkEnd w:id="353"/>
            <w:bookmarkEnd w:id="354"/>
          </w:p>
        </w:tc>
        <w:tc>
          <w:tcPr>
            <w:tcW w:w="1898" w:type="pct"/>
            <w:tcBorders>
              <w:top w:val="single" w:color="auto" w:sz="4" w:space="0"/>
              <w:left w:val="single" w:color="auto" w:sz="4" w:space="0"/>
              <w:bottom w:val="single" w:color="auto" w:sz="4" w:space="0"/>
              <w:right w:val="single" w:color="auto" w:sz="4" w:space="0"/>
            </w:tcBorders>
            <w:vAlign w:val="center"/>
          </w:tcPr>
          <w:p w14:paraId="4732440B">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矿山地表空压机站内设有2台DLGF 40/8-250矿用螺杆式空气压缩机，单台排气量为40Nm</w:t>
            </w:r>
            <w:r>
              <w:rPr>
                <w:rFonts w:hint="eastAsia" w:asciiTheme="minorHAnsi" w:hAnsiTheme="minorHAnsi" w:cstheme="minorHAnsi"/>
                <w:sz w:val="21"/>
                <w:szCs w:val="21"/>
                <w:vertAlign w:val="superscript"/>
              </w:rPr>
              <w:t>3</w:t>
            </w:r>
            <w:r>
              <w:rPr>
                <w:rFonts w:hint="eastAsia" w:asciiTheme="minorHAnsi" w:hAnsiTheme="minorHAnsi" w:cstheme="minorHAnsi"/>
                <w:sz w:val="21"/>
                <w:szCs w:val="21"/>
              </w:rPr>
              <w:t>/min，井下遇险时，2台同时工作，可以满足井下压风自救系统的用气要求。</w:t>
            </w:r>
          </w:p>
        </w:tc>
        <w:tc>
          <w:tcPr>
            <w:tcW w:w="530" w:type="pct"/>
            <w:tcBorders>
              <w:top w:val="single" w:color="auto" w:sz="4" w:space="0"/>
              <w:left w:val="single" w:color="auto" w:sz="4" w:space="0"/>
              <w:bottom w:val="single" w:color="auto" w:sz="4" w:space="0"/>
              <w:right w:val="single" w:color="auto" w:sz="4" w:space="0"/>
            </w:tcBorders>
            <w:vAlign w:val="center"/>
          </w:tcPr>
          <w:p w14:paraId="6E693A2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55E7DF8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9342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052C7F8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17263930">
            <w:pPr>
              <w:adjustRightInd w:val="0"/>
              <w:snapToGrid w:val="0"/>
              <w:spacing w:line="240" w:lineRule="auto"/>
              <w:ind w:firstLine="0" w:firstLineChars="0"/>
              <w:rPr>
                <w:rFonts w:asciiTheme="minorHAnsi" w:hAnsiTheme="minorHAnsi" w:cstheme="minorHAnsi"/>
                <w:sz w:val="21"/>
                <w:szCs w:val="24"/>
              </w:rPr>
            </w:pPr>
            <w:r>
              <w:rPr>
                <w:rFonts w:asciiTheme="minorHAnsi" w:hAnsiTheme="minorHAnsi" w:cstheme="minorHAnsi"/>
                <w:sz w:val="21"/>
                <w:szCs w:val="21"/>
              </w:rPr>
              <w:t>压风管道应采用钢质材料或其他具有同等强度的阻燃材料，并采取防腐蚀措施。</w:t>
            </w:r>
          </w:p>
        </w:tc>
        <w:tc>
          <w:tcPr>
            <w:tcW w:w="956" w:type="pct"/>
            <w:tcBorders>
              <w:top w:val="single" w:color="auto" w:sz="4" w:space="0"/>
              <w:left w:val="single" w:color="auto" w:sz="4" w:space="0"/>
              <w:bottom w:val="single" w:color="auto" w:sz="4" w:space="0"/>
              <w:right w:val="single" w:color="auto" w:sz="4" w:space="0"/>
            </w:tcBorders>
            <w:vAlign w:val="center"/>
          </w:tcPr>
          <w:p w14:paraId="306CAEAB">
            <w:pPr>
              <w:spacing w:line="240" w:lineRule="auto"/>
              <w:ind w:firstLine="0" w:firstLineChars="0"/>
              <w:jc w:val="center"/>
              <w:rPr>
                <w:rFonts w:asciiTheme="minorHAnsi" w:hAnsiTheme="minorHAnsi" w:cstheme="minorHAnsi"/>
                <w:kern w:val="0"/>
                <w:sz w:val="21"/>
                <w:szCs w:val="21"/>
              </w:rPr>
            </w:pPr>
            <w:bookmarkStart w:id="355" w:name="_Toc14164"/>
            <w:bookmarkStart w:id="356" w:name="_Toc5984"/>
            <w:r>
              <w:rPr>
                <w:rFonts w:asciiTheme="minorHAnsi" w:hAnsiTheme="minorHAnsi" w:cstheme="minorHAnsi"/>
                <w:kern w:val="0"/>
                <w:sz w:val="21"/>
                <w:szCs w:val="21"/>
              </w:rPr>
              <w:t>《金属非金属地下矿山压风自救系统建设规范》(KA/T 2034-2023)4.6</w:t>
            </w:r>
            <w:bookmarkEnd w:id="355"/>
            <w:bookmarkEnd w:id="356"/>
          </w:p>
        </w:tc>
        <w:tc>
          <w:tcPr>
            <w:tcW w:w="1898" w:type="pct"/>
            <w:tcBorders>
              <w:top w:val="single" w:color="auto" w:sz="4" w:space="0"/>
              <w:left w:val="single" w:color="auto" w:sz="4" w:space="0"/>
              <w:bottom w:val="single" w:color="auto" w:sz="4" w:space="0"/>
              <w:right w:val="single" w:color="auto" w:sz="4" w:space="0"/>
            </w:tcBorders>
            <w:vAlign w:val="center"/>
          </w:tcPr>
          <w:p w14:paraId="5475B3DB">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压风自救系统与生产压风系统共用，压风主管道为Φ159×7的无缝钢管。</w:t>
            </w:r>
          </w:p>
        </w:tc>
        <w:tc>
          <w:tcPr>
            <w:tcW w:w="530" w:type="pct"/>
            <w:tcBorders>
              <w:top w:val="single" w:color="auto" w:sz="4" w:space="0"/>
              <w:left w:val="single" w:color="auto" w:sz="4" w:space="0"/>
              <w:bottom w:val="single" w:color="auto" w:sz="4" w:space="0"/>
              <w:right w:val="single" w:color="auto" w:sz="4" w:space="0"/>
            </w:tcBorders>
            <w:vAlign w:val="center"/>
          </w:tcPr>
          <w:p w14:paraId="4281BB5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5FBD557">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016D0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0A0AFB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3F821AE2">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压风管道敷设应牢固平直，并延伸到井下采掘作业场所、紧急避险设施、爆破时撤离人员集中地点等主要地点。</w:t>
            </w:r>
          </w:p>
        </w:tc>
        <w:tc>
          <w:tcPr>
            <w:tcW w:w="956" w:type="pct"/>
            <w:tcBorders>
              <w:top w:val="single" w:color="auto" w:sz="4" w:space="0"/>
              <w:left w:val="single" w:color="auto" w:sz="4" w:space="0"/>
              <w:bottom w:val="single" w:color="auto" w:sz="4" w:space="0"/>
              <w:right w:val="single" w:color="auto" w:sz="4" w:space="0"/>
            </w:tcBorders>
            <w:vAlign w:val="center"/>
          </w:tcPr>
          <w:p w14:paraId="7D4E1F4C">
            <w:pPr>
              <w:spacing w:line="240" w:lineRule="auto"/>
              <w:ind w:firstLine="0" w:firstLineChars="0"/>
              <w:jc w:val="center"/>
              <w:rPr>
                <w:rFonts w:asciiTheme="minorHAnsi" w:hAnsiTheme="minorHAnsi" w:cstheme="minorHAnsi"/>
                <w:kern w:val="0"/>
                <w:sz w:val="21"/>
                <w:szCs w:val="21"/>
              </w:rPr>
            </w:pPr>
            <w:bookmarkStart w:id="357" w:name="_Toc7228"/>
            <w:bookmarkStart w:id="358" w:name="_Toc31540"/>
            <w:r>
              <w:rPr>
                <w:rFonts w:asciiTheme="minorHAnsi" w:hAnsiTheme="minorHAnsi" w:cstheme="minorHAnsi"/>
                <w:kern w:val="0"/>
                <w:sz w:val="21"/>
                <w:szCs w:val="21"/>
              </w:rPr>
              <w:t>《金属非金属地下矿山压风自救系统建设规范》(KA/T 2034-2023)4.7</w:t>
            </w:r>
            <w:bookmarkEnd w:id="357"/>
            <w:bookmarkEnd w:id="358"/>
          </w:p>
        </w:tc>
        <w:tc>
          <w:tcPr>
            <w:tcW w:w="1898" w:type="pct"/>
            <w:tcBorders>
              <w:top w:val="single" w:color="auto" w:sz="4" w:space="0"/>
              <w:left w:val="single" w:color="auto" w:sz="4" w:space="0"/>
              <w:bottom w:val="single" w:color="auto" w:sz="4" w:space="0"/>
              <w:right w:val="single" w:color="auto" w:sz="4" w:space="0"/>
            </w:tcBorders>
            <w:vAlign w:val="center"/>
          </w:tcPr>
          <w:p w14:paraId="3913A696">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由空压机站接出，经副井、采区人行回风天井敷设至井下各水平，并延伸至井下采掘作业场所、爆破时人员集中地点、避灾硐室等主要地点。主压风管道上安装油水分离器。</w:t>
            </w:r>
          </w:p>
        </w:tc>
        <w:tc>
          <w:tcPr>
            <w:tcW w:w="530" w:type="pct"/>
            <w:tcBorders>
              <w:top w:val="single" w:color="auto" w:sz="4" w:space="0"/>
              <w:left w:val="single" w:color="auto" w:sz="4" w:space="0"/>
              <w:bottom w:val="single" w:color="auto" w:sz="4" w:space="0"/>
              <w:right w:val="single" w:color="auto" w:sz="4" w:space="0"/>
            </w:tcBorders>
            <w:vAlign w:val="center"/>
          </w:tcPr>
          <w:p w14:paraId="41EAAB9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62C6D883">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C62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4F9AA867">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7B3B5AD8">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各主要生产中段和分段进风巷道的压风管路上设置的供气阀门，中段和分段间隔应不大于200m。</w:t>
            </w:r>
          </w:p>
        </w:tc>
        <w:tc>
          <w:tcPr>
            <w:tcW w:w="956" w:type="pct"/>
            <w:tcBorders>
              <w:top w:val="single" w:color="auto" w:sz="4" w:space="0"/>
              <w:left w:val="single" w:color="auto" w:sz="4" w:space="0"/>
              <w:bottom w:val="single" w:color="auto" w:sz="4" w:space="0"/>
              <w:right w:val="single" w:color="auto" w:sz="4" w:space="0"/>
            </w:tcBorders>
            <w:vAlign w:val="center"/>
          </w:tcPr>
          <w:p w14:paraId="2F191D8F">
            <w:pPr>
              <w:spacing w:line="240" w:lineRule="auto"/>
              <w:ind w:firstLine="0" w:firstLineChars="0"/>
              <w:jc w:val="center"/>
              <w:rPr>
                <w:rFonts w:asciiTheme="minorHAnsi" w:hAnsiTheme="minorHAnsi" w:cstheme="minorHAnsi"/>
                <w:kern w:val="0"/>
                <w:sz w:val="21"/>
                <w:szCs w:val="21"/>
              </w:rPr>
            </w:pPr>
            <w:bookmarkStart w:id="359" w:name="_Toc8429"/>
            <w:bookmarkStart w:id="360" w:name="_Toc14889"/>
            <w:r>
              <w:rPr>
                <w:rFonts w:asciiTheme="minorHAnsi" w:hAnsiTheme="minorHAnsi" w:cstheme="minorHAnsi"/>
                <w:kern w:val="0"/>
                <w:sz w:val="21"/>
                <w:szCs w:val="21"/>
              </w:rPr>
              <w:t>《金属非金属地下矿山压风自救系统建设规范》(KA/T 2034-2023)4.8</w:t>
            </w:r>
            <w:bookmarkEnd w:id="359"/>
            <w:bookmarkEnd w:id="360"/>
          </w:p>
        </w:tc>
        <w:tc>
          <w:tcPr>
            <w:tcW w:w="1898" w:type="pct"/>
            <w:tcBorders>
              <w:top w:val="single" w:color="auto" w:sz="4" w:space="0"/>
              <w:left w:val="single" w:color="auto" w:sz="4" w:space="0"/>
              <w:bottom w:val="single" w:color="auto" w:sz="4" w:space="0"/>
              <w:right w:val="single" w:color="auto" w:sz="4" w:space="0"/>
            </w:tcBorders>
            <w:vAlign w:val="center"/>
          </w:tcPr>
          <w:p w14:paraId="718FD1FC">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各主要生产中段和分段进风巷道的压风管道上每隔不大于200m安设一组供气阀门；在爆破时撤离人员集中地点的压风管道上安设一组供气阀门；在避灾硐室内的压风管道上安设供气阀门，并在接入避灾硐室的压风管路上设置减压、消音、过滤装置和控制阀。</w:t>
            </w:r>
          </w:p>
        </w:tc>
        <w:tc>
          <w:tcPr>
            <w:tcW w:w="530" w:type="pct"/>
            <w:tcBorders>
              <w:top w:val="single" w:color="auto" w:sz="4" w:space="0"/>
              <w:left w:val="single" w:color="auto" w:sz="4" w:space="0"/>
              <w:bottom w:val="single" w:color="auto" w:sz="4" w:space="0"/>
              <w:right w:val="single" w:color="auto" w:sz="4" w:space="0"/>
            </w:tcBorders>
            <w:vAlign w:val="center"/>
          </w:tcPr>
          <w:p w14:paraId="3577A4F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4A013BE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75AF0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6899534C">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5D1D66EB">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独头掘进巷道距掘进工作面不大于100m处的压风管道上应安设一组供气阀门，相邻两组供气阀门安设间距应不大于200m。</w:t>
            </w:r>
          </w:p>
        </w:tc>
        <w:tc>
          <w:tcPr>
            <w:tcW w:w="956" w:type="pct"/>
            <w:tcBorders>
              <w:top w:val="single" w:color="auto" w:sz="4" w:space="0"/>
              <w:left w:val="single" w:color="auto" w:sz="4" w:space="0"/>
              <w:bottom w:val="single" w:color="auto" w:sz="4" w:space="0"/>
              <w:right w:val="single" w:color="auto" w:sz="4" w:space="0"/>
            </w:tcBorders>
            <w:vAlign w:val="center"/>
          </w:tcPr>
          <w:p w14:paraId="4C023D2E">
            <w:pPr>
              <w:spacing w:line="240" w:lineRule="auto"/>
              <w:ind w:firstLine="0" w:firstLineChars="0"/>
              <w:jc w:val="center"/>
              <w:rPr>
                <w:rFonts w:asciiTheme="minorHAnsi" w:hAnsiTheme="minorHAnsi" w:cstheme="minorHAnsi"/>
                <w:kern w:val="0"/>
                <w:sz w:val="21"/>
                <w:szCs w:val="21"/>
              </w:rPr>
            </w:pPr>
            <w:bookmarkStart w:id="361" w:name="_Toc10659"/>
            <w:bookmarkStart w:id="362" w:name="_Toc10577"/>
            <w:r>
              <w:rPr>
                <w:rFonts w:asciiTheme="minorHAnsi" w:hAnsiTheme="minorHAnsi" w:cstheme="minorHAnsi"/>
                <w:kern w:val="0"/>
                <w:sz w:val="21"/>
                <w:szCs w:val="21"/>
              </w:rPr>
              <w:t>《金属非金属地下矿山压风自救系统建设规范》(KA/T 2034-2023)4.9</w:t>
            </w:r>
            <w:bookmarkEnd w:id="361"/>
            <w:bookmarkEnd w:id="362"/>
          </w:p>
        </w:tc>
        <w:tc>
          <w:tcPr>
            <w:tcW w:w="1898" w:type="pct"/>
            <w:tcBorders>
              <w:top w:val="single" w:color="auto" w:sz="4" w:space="0"/>
              <w:left w:val="single" w:color="auto" w:sz="4" w:space="0"/>
              <w:bottom w:val="single" w:color="auto" w:sz="4" w:space="0"/>
              <w:right w:val="single" w:color="auto" w:sz="4" w:space="0"/>
            </w:tcBorders>
            <w:vAlign w:val="center"/>
          </w:tcPr>
          <w:p w14:paraId="0CF1F890">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在独头掘进巷道距掘进工作面不大于100m处的压风管道上安设一组供气阀门，相邻两组供气阀门的安设间距不大于200m。</w:t>
            </w:r>
          </w:p>
        </w:tc>
        <w:tc>
          <w:tcPr>
            <w:tcW w:w="530" w:type="pct"/>
            <w:tcBorders>
              <w:top w:val="single" w:color="auto" w:sz="4" w:space="0"/>
              <w:left w:val="single" w:color="auto" w:sz="4" w:space="0"/>
              <w:bottom w:val="single" w:color="auto" w:sz="4" w:space="0"/>
              <w:right w:val="single" w:color="auto" w:sz="4" w:space="0"/>
            </w:tcBorders>
            <w:vAlign w:val="center"/>
          </w:tcPr>
          <w:p w14:paraId="39D9608A">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635958C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64B2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6BB0C9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6</w:t>
            </w:r>
          </w:p>
        </w:tc>
        <w:tc>
          <w:tcPr>
            <w:tcW w:w="1246" w:type="pct"/>
            <w:tcBorders>
              <w:top w:val="single" w:color="auto" w:sz="4" w:space="0"/>
              <w:left w:val="single" w:color="auto" w:sz="4" w:space="0"/>
              <w:bottom w:val="single" w:color="auto" w:sz="4" w:space="0"/>
              <w:right w:val="single" w:color="auto" w:sz="4" w:space="0"/>
            </w:tcBorders>
            <w:vAlign w:val="center"/>
          </w:tcPr>
          <w:p w14:paraId="60DE3273">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爆破时撤离人员集中地点的压风管道上应安设一组供气阀门。</w:t>
            </w:r>
          </w:p>
        </w:tc>
        <w:tc>
          <w:tcPr>
            <w:tcW w:w="956" w:type="pct"/>
            <w:tcBorders>
              <w:top w:val="single" w:color="auto" w:sz="4" w:space="0"/>
              <w:left w:val="single" w:color="auto" w:sz="4" w:space="0"/>
              <w:bottom w:val="single" w:color="auto" w:sz="4" w:space="0"/>
              <w:right w:val="single" w:color="auto" w:sz="4" w:space="0"/>
            </w:tcBorders>
            <w:vAlign w:val="center"/>
          </w:tcPr>
          <w:p w14:paraId="474257D1">
            <w:pPr>
              <w:spacing w:line="240" w:lineRule="auto"/>
              <w:ind w:firstLine="0" w:firstLineChars="0"/>
              <w:jc w:val="center"/>
              <w:rPr>
                <w:rFonts w:asciiTheme="minorHAnsi" w:hAnsiTheme="minorHAnsi" w:cstheme="minorHAnsi"/>
                <w:kern w:val="0"/>
                <w:sz w:val="21"/>
                <w:szCs w:val="21"/>
              </w:rPr>
            </w:pPr>
            <w:bookmarkStart w:id="363" w:name="_Toc30737"/>
            <w:bookmarkStart w:id="364" w:name="_Toc21954"/>
            <w:r>
              <w:rPr>
                <w:rFonts w:asciiTheme="minorHAnsi" w:hAnsiTheme="minorHAnsi" w:cstheme="minorHAnsi"/>
                <w:kern w:val="0"/>
                <w:sz w:val="21"/>
                <w:szCs w:val="21"/>
              </w:rPr>
              <w:t>《金属非金属地下矿山压风自救系统建设规范》(KA/T 2034-2023)4.10</w:t>
            </w:r>
            <w:bookmarkEnd w:id="363"/>
            <w:bookmarkEnd w:id="364"/>
          </w:p>
        </w:tc>
        <w:tc>
          <w:tcPr>
            <w:tcW w:w="1898" w:type="pct"/>
            <w:tcBorders>
              <w:top w:val="single" w:color="auto" w:sz="4" w:space="0"/>
              <w:left w:val="single" w:color="auto" w:sz="4" w:space="0"/>
              <w:bottom w:val="single" w:color="auto" w:sz="4" w:space="0"/>
              <w:right w:val="single" w:color="auto" w:sz="4" w:space="0"/>
            </w:tcBorders>
            <w:vAlign w:val="center"/>
          </w:tcPr>
          <w:p w14:paraId="572FD84C">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在爆破时撤离人员集中地点的压风管道上安设一组供气阀门；在避灾硐室内的压风管道上安设供气阀门，并在接入避灾硐室的压风管路上设置减压、消音、过滤装置和控制阀。</w:t>
            </w:r>
          </w:p>
        </w:tc>
        <w:tc>
          <w:tcPr>
            <w:tcW w:w="530" w:type="pct"/>
            <w:tcBorders>
              <w:top w:val="single" w:color="auto" w:sz="4" w:space="0"/>
              <w:left w:val="single" w:color="auto" w:sz="4" w:space="0"/>
              <w:bottom w:val="single" w:color="auto" w:sz="4" w:space="0"/>
              <w:right w:val="single" w:color="auto" w:sz="4" w:space="0"/>
            </w:tcBorders>
            <w:vAlign w:val="center"/>
          </w:tcPr>
          <w:p w14:paraId="6189C09C">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7CAF1B2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798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30D34D36">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五</w:t>
            </w:r>
          </w:p>
        </w:tc>
        <w:tc>
          <w:tcPr>
            <w:tcW w:w="1246" w:type="pct"/>
            <w:tcBorders>
              <w:top w:val="single" w:color="auto" w:sz="4" w:space="0"/>
              <w:left w:val="single" w:color="auto" w:sz="4" w:space="0"/>
              <w:bottom w:val="single" w:color="auto" w:sz="4" w:space="0"/>
              <w:right w:val="single" w:color="auto" w:sz="4" w:space="0"/>
            </w:tcBorders>
            <w:vAlign w:val="center"/>
          </w:tcPr>
          <w:p w14:paraId="3545D04F">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sz w:val="21"/>
                <w:szCs w:val="21"/>
              </w:rPr>
              <w:t>供水施救系统</w:t>
            </w:r>
          </w:p>
        </w:tc>
        <w:tc>
          <w:tcPr>
            <w:tcW w:w="956" w:type="pct"/>
            <w:tcBorders>
              <w:top w:val="single" w:color="auto" w:sz="4" w:space="0"/>
              <w:left w:val="single" w:color="auto" w:sz="4" w:space="0"/>
              <w:bottom w:val="single" w:color="auto" w:sz="4" w:space="0"/>
              <w:right w:val="single" w:color="auto" w:sz="4" w:space="0"/>
            </w:tcBorders>
            <w:vAlign w:val="center"/>
          </w:tcPr>
          <w:p w14:paraId="5255294F">
            <w:pPr>
              <w:spacing w:line="240" w:lineRule="auto"/>
              <w:ind w:firstLine="0" w:firstLineChars="0"/>
              <w:jc w:val="center"/>
              <w:rPr>
                <w:rFonts w:asciiTheme="minorHAnsi" w:hAnsiTheme="minorHAnsi" w:cstheme="minorHAnsi"/>
                <w:kern w:val="0"/>
                <w:sz w:val="21"/>
                <w:szCs w:val="21"/>
              </w:rPr>
            </w:pPr>
            <w:r>
              <w:rPr>
                <w:rFonts w:asciiTheme="minorHAnsi" w:hAnsiTheme="minorHAnsi" w:cstheme="minorHAnsi"/>
                <w:kern w:val="0"/>
                <w:sz w:val="21"/>
                <w:szCs w:val="21"/>
              </w:rPr>
              <w:t>《金属非金属地下矿山供水施救系统建设规范》(KA/T 2035-2023)</w:t>
            </w:r>
          </w:p>
        </w:tc>
        <w:tc>
          <w:tcPr>
            <w:tcW w:w="1898" w:type="pct"/>
            <w:tcBorders>
              <w:top w:val="single" w:color="auto" w:sz="4" w:space="0"/>
              <w:left w:val="single" w:color="auto" w:sz="4" w:space="0"/>
              <w:bottom w:val="single" w:color="auto" w:sz="4" w:space="0"/>
              <w:right w:val="single" w:color="auto" w:sz="4" w:space="0"/>
            </w:tcBorders>
            <w:vAlign w:val="center"/>
          </w:tcPr>
          <w:p w14:paraId="281EA7E6">
            <w:pPr>
              <w:spacing w:line="240" w:lineRule="auto"/>
              <w:ind w:firstLine="0" w:firstLineChars="0"/>
              <w:rPr>
                <w:rFonts w:asciiTheme="minorHAnsi" w:hAnsiTheme="minorHAnsi" w:cstheme="minorHAnsi"/>
                <w:sz w:val="21"/>
                <w:szCs w:val="28"/>
              </w:rPr>
            </w:pPr>
          </w:p>
        </w:tc>
        <w:tc>
          <w:tcPr>
            <w:tcW w:w="530" w:type="pct"/>
            <w:tcBorders>
              <w:top w:val="single" w:color="auto" w:sz="4" w:space="0"/>
              <w:left w:val="single" w:color="auto" w:sz="4" w:space="0"/>
              <w:bottom w:val="single" w:color="auto" w:sz="4" w:space="0"/>
              <w:right w:val="single" w:color="auto" w:sz="4" w:space="0"/>
            </w:tcBorders>
            <w:vAlign w:val="center"/>
          </w:tcPr>
          <w:p w14:paraId="3B1BE11F">
            <w:pPr>
              <w:spacing w:line="240" w:lineRule="auto"/>
              <w:ind w:firstLine="0" w:firstLineChars="0"/>
              <w:jc w:val="center"/>
              <w:rPr>
                <w:rFonts w:asciiTheme="minorHAnsi" w:hAnsiTheme="minorHAnsi" w:cstheme="minorHAnsi"/>
                <w:sz w:val="21"/>
                <w:szCs w:val="21"/>
              </w:rPr>
            </w:pPr>
          </w:p>
        </w:tc>
      </w:tr>
      <w:tr w14:paraId="5721F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6460B8F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6DA507C3">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生产用水不符合</w:t>
            </w:r>
            <w:bookmarkStart w:id="365" w:name="_Hlk174364013"/>
            <w:r>
              <w:rPr>
                <w:rFonts w:asciiTheme="minorHAnsi" w:hAnsiTheme="minorHAnsi" w:cstheme="minorHAnsi"/>
                <w:sz w:val="21"/>
                <w:szCs w:val="21"/>
              </w:rPr>
              <w:t>生活饮用水</w:t>
            </w:r>
            <w:bookmarkEnd w:id="365"/>
            <w:r>
              <w:rPr>
                <w:rFonts w:asciiTheme="minorHAnsi" w:hAnsiTheme="minorHAnsi" w:cstheme="minorHAnsi"/>
                <w:sz w:val="21"/>
                <w:szCs w:val="21"/>
              </w:rPr>
              <w:t>要求时，供水施救系统中还应建设辅助水池用于储备生活饮用水，容量应不小于20m³。辅助水池应采取封闭保护措施，防止异物污染，每年应对辅助水池进行一次全面清洗、消毒，并对水质进行检验。</w:t>
            </w:r>
          </w:p>
        </w:tc>
        <w:tc>
          <w:tcPr>
            <w:tcW w:w="956" w:type="pct"/>
            <w:tcBorders>
              <w:top w:val="single" w:color="auto" w:sz="4" w:space="0"/>
              <w:left w:val="single" w:color="auto" w:sz="4" w:space="0"/>
              <w:bottom w:val="single" w:color="auto" w:sz="4" w:space="0"/>
              <w:right w:val="single" w:color="auto" w:sz="4" w:space="0"/>
            </w:tcBorders>
            <w:vAlign w:val="center"/>
          </w:tcPr>
          <w:p w14:paraId="6F27C5D6">
            <w:pPr>
              <w:spacing w:line="240" w:lineRule="auto"/>
              <w:ind w:firstLine="0" w:firstLineChars="0"/>
              <w:jc w:val="center"/>
              <w:rPr>
                <w:rFonts w:asciiTheme="minorHAnsi" w:hAnsiTheme="minorHAnsi" w:cstheme="minorHAnsi"/>
                <w:kern w:val="0"/>
                <w:sz w:val="21"/>
                <w:szCs w:val="21"/>
              </w:rPr>
            </w:pPr>
            <w:bookmarkStart w:id="366" w:name="_Toc17308"/>
            <w:bookmarkStart w:id="367" w:name="_Toc13693"/>
            <w:r>
              <w:rPr>
                <w:rFonts w:asciiTheme="minorHAnsi" w:hAnsiTheme="minorHAnsi" w:cstheme="minorHAnsi"/>
                <w:kern w:val="0"/>
                <w:sz w:val="21"/>
                <w:szCs w:val="21"/>
              </w:rPr>
              <w:t>《金属非金属地下矿山供水施救系统建设规范》(KA/T 2035-2023)4.5</w:t>
            </w:r>
            <w:bookmarkEnd w:id="366"/>
            <w:bookmarkEnd w:id="367"/>
          </w:p>
        </w:tc>
        <w:tc>
          <w:tcPr>
            <w:tcW w:w="1898" w:type="pct"/>
            <w:vMerge w:val="restart"/>
            <w:tcBorders>
              <w:top w:val="single" w:color="auto" w:sz="4" w:space="0"/>
              <w:left w:val="single" w:color="auto" w:sz="4" w:space="0"/>
              <w:right w:val="single" w:color="auto" w:sz="4" w:space="0"/>
            </w:tcBorders>
            <w:vAlign w:val="center"/>
          </w:tcPr>
          <w:p w14:paraId="499B65D5">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供水施救系统供水管道与生产及消防供水管道共用。在地表，生活供水管道与送入井下的生产供水管道相接，设阀门，施救时切换成符合生活饮用水水质卫生要求的生活水。</w:t>
            </w:r>
          </w:p>
        </w:tc>
        <w:tc>
          <w:tcPr>
            <w:tcW w:w="530" w:type="pct"/>
            <w:vMerge w:val="restart"/>
            <w:tcBorders>
              <w:top w:val="single" w:color="auto" w:sz="4" w:space="0"/>
              <w:left w:val="single" w:color="auto" w:sz="4" w:space="0"/>
              <w:right w:val="single" w:color="auto" w:sz="4" w:space="0"/>
            </w:tcBorders>
            <w:vAlign w:val="center"/>
          </w:tcPr>
          <w:p w14:paraId="699E7671">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7F32B3A0">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901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4CAE3B4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5325E086">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供水施救系统管道应采用钢管材料或其他同等强度的阻燃材料，并采取防腐蚀措施。</w:t>
            </w:r>
          </w:p>
        </w:tc>
        <w:tc>
          <w:tcPr>
            <w:tcW w:w="956" w:type="pct"/>
            <w:tcBorders>
              <w:top w:val="single" w:color="auto" w:sz="4" w:space="0"/>
              <w:left w:val="single" w:color="auto" w:sz="4" w:space="0"/>
              <w:bottom w:val="single" w:color="auto" w:sz="4" w:space="0"/>
              <w:right w:val="single" w:color="auto" w:sz="4" w:space="0"/>
            </w:tcBorders>
            <w:vAlign w:val="center"/>
          </w:tcPr>
          <w:p w14:paraId="6F234F91">
            <w:pPr>
              <w:spacing w:line="240" w:lineRule="auto"/>
              <w:ind w:firstLine="0" w:firstLineChars="0"/>
              <w:jc w:val="center"/>
              <w:rPr>
                <w:rFonts w:asciiTheme="minorHAnsi" w:hAnsiTheme="minorHAnsi" w:cstheme="minorHAnsi"/>
                <w:kern w:val="0"/>
                <w:sz w:val="21"/>
                <w:szCs w:val="21"/>
              </w:rPr>
            </w:pPr>
            <w:bookmarkStart w:id="368" w:name="_Toc24042"/>
            <w:bookmarkStart w:id="369" w:name="_Toc23513"/>
            <w:r>
              <w:rPr>
                <w:rFonts w:asciiTheme="minorHAnsi" w:hAnsiTheme="minorHAnsi" w:cstheme="minorHAnsi"/>
                <w:kern w:val="0"/>
                <w:sz w:val="21"/>
                <w:szCs w:val="21"/>
              </w:rPr>
              <w:t>《金属非金属地下矿山供水施救系统建设规范》(KA/T 2035-2023)4.6</w:t>
            </w:r>
            <w:bookmarkEnd w:id="368"/>
            <w:bookmarkEnd w:id="369"/>
          </w:p>
        </w:tc>
        <w:tc>
          <w:tcPr>
            <w:tcW w:w="1898" w:type="pct"/>
            <w:vMerge w:val="continue"/>
            <w:tcBorders>
              <w:left w:val="single" w:color="auto" w:sz="4" w:space="0"/>
              <w:bottom w:val="single" w:color="auto" w:sz="4" w:space="0"/>
              <w:right w:val="single" w:color="auto" w:sz="4" w:space="0"/>
            </w:tcBorders>
            <w:vAlign w:val="center"/>
          </w:tcPr>
          <w:p w14:paraId="38B0542E">
            <w:pPr>
              <w:spacing w:line="240" w:lineRule="auto"/>
              <w:ind w:firstLine="0" w:firstLineChars="0"/>
              <w:rPr>
                <w:rFonts w:asciiTheme="minorHAnsi" w:hAnsiTheme="minorHAnsi" w:cstheme="minorHAnsi"/>
                <w:sz w:val="21"/>
                <w:szCs w:val="24"/>
                <w:lang w:val="zh-CN"/>
              </w:rPr>
            </w:pPr>
          </w:p>
        </w:tc>
        <w:tc>
          <w:tcPr>
            <w:tcW w:w="530" w:type="pct"/>
            <w:vMerge w:val="continue"/>
            <w:tcBorders>
              <w:left w:val="single" w:color="auto" w:sz="4" w:space="0"/>
              <w:bottom w:val="single" w:color="auto" w:sz="4" w:space="0"/>
              <w:right w:val="single" w:color="auto" w:sz="4" w:space="0"/>
            </w:tcBorders>
            <w:vAlign w:val="center"/>
          </w:tcPr>
          <w:p w14:paraId="5F9A2EC4">
            <w:pPr>
              <w:spacing w:line="240" w:lineRule="auto"/>
              <w:ind w:firstLine="0" w:firstLineChars="0"/>
              <w:jc w:val="center"/>
              <w:rPr>
                <w:rFonts w:asciiTheme="minorHAnsi" w:hAnsiTheme="minorHAnsi" w:cstheme="minorHAnsi"/>
                <w:sz w:val="21"/>
                <w:szCs w:val="21"/>
              </w:rPr>
            </w:pPr>
          </w:p>
        </w:tc>
      </w:tr>
      <w:tr w14:paraId="4C6D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78AAB371">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47B2FAD3">
            <w:pPr>
              <w:spacing w:line="240" w:lineRule="auto"/>
              <w:ind w:firstLine="0" w:firstLineChars="0"/>
              <w:rPr>
                <w:rFonts w:asciiTheme="minorHAnsi" w:hAnsiTheme="minorHAnsi" w:cstheme="minorHAnsi"/>
                <w:sz w:val="21"/>
                <w:szCs w:val="21"/>
              </w:rPr>
            </w:pPr>
            <w:r>
              <w:rPr>
                <w:rFonts w:asciiTheme="minorHAnsi" w:hAnsiTheme="minorHAnsi" w:cstheme="minorHAnsi"/>
                <w:spacing w:val="20"/>
                <w:sz w:val="21"/>
                <w:szCs w:val="21"/>
              </w:rPr>
              <w:t>各主要生产中段和分段进风巷道的供水管道上安设的供水阀门，中段和分段间隔应不大于</w:t>
            </w:r>
            <w:r>
              <w:rPr>
                <w:rFonts w:asciiTheme="minorHAnsi" w:hAnsiTheme="minorHAnsi" w:cstheme="minorHAnsi"/>
                <w:spacing w:val="-2"/>
                <w:sz w:val="21"/>
                <w:szCs w:val="21"/>
              </w:rPr>
              <w:t>200m。</w:t>
            </w:r>
          </w:p>
        </w:tc>
        <w:tc>
          <w:tcPr>
            <w:tcW w:w="956" w:type="pct"/>
            <w:tcBorders>
              <w:top w:val="single" w:color="auto" w:sz="4" w:space="0"/>
              <w:left w:val="single" w:color="auto" w:sz="4" w:space="0"/>
              <w:bottom w:val="single" w:color="auto" w:sz="4" w:space="0"/>
              <w:right w:val="single" w:color="auto" w:sz="4" w:space="0"/>
            </w:tcBorders>
            <w:vAlign w:val="center"/>
          </w:tcPr>
          <w:p w14:paraId="384D4566">
            <w:pPr>
              <w:spacing w:line="240" w:lineRule="auto"/>
              <w:ind w:firstLine="0" w:firstLineChars="0"/>
              <w:jc w:val="center"/>
              <w:rPr>
                <w:rFonts w:asciiTheme="minorHAnsi" w:hAnsiTheme="minorHAnsi" w:cstheme="minorHAnsi"/>
                <w:kern w:val="0"/>
                <w:sz w:val="21"/>
                <w:szCs w:val="21"/>
              </w:rPr>
            </w:pPr>
            <w:bookmarkStart w:id="370" w:name="_Toc10712"/>
            <w:bookmarkStart w:id="371" w:name="_Toc14720"/>
            <w:r>
              <w:rPr>
                <w:rFonts w:asciiTheme="minorHAnsi" w:hAnsiTheme="minorHAnsi" w:cstheme="minorHAnsi"/>
                <w:kern w:val="0"/>
                <w:sz w:val="21"/>
                <w:szCs w:val="21"/>
              </w:rPr>
              <w:t>《金属非金属地下矿山供水施救系统建设规范》(KA/T 2035-2023)4.8</w:t>
            </w:r>
            <w:bookmarkEnd w:id="370"/>
            <w:bookmarkEnd w:id="371"/>
          </w:p>
        </w:tc>
        <w:tc>
          <w:tcPr>
            <w:tcW w:w="1898" w:type="pct"/>
            <w:tcBorders>
              <w:left w:val="single" w:color="auto" w:sz="4" w:space="0"/>
              <w:bottom w:val="single" w:color="auto" w:sz="4" w:space="0"/>
              <w:right w:val="single" w:color="auto" w:sz="4" w:space="0"/>
            </w:tcBorders>
            <w:vAlign w:val="center"/>
          </w:tcPr>
          <w:p w14:paraId="076C1E3E">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供水施救系统供水管道延伸至井下采掘作业场所、爆破时撤离人员集中地点、避灾硐室等主要地点。在各主要生产中段和分段进风巷道的供水管道上每隔不大于200m安设一组供水阀门。</w:t>
            </w:r>
          </w:p>
        </w:tc>
        <w:tc>
          <w:tcPr>
            <w:tcW w:w="530" w:type="pct"/>
            <w:tcBorders>
              <w:left w:val="single" w:color="auto" w:sz="4" w:space="0"/>
              <w:bottom w:val="single" w:color="auto" w:sz="4" w:space="0"/>
              <w:right w:val="single" w:color="auto" w:sz="4" w:space="0"/>
            </w:tcBorders>
            <w:vAlign w:val="center"/>
          </w:tcPr>
          <w:p w14:paraId="59D0EF3D">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F76D246">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5F477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2418AE04">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61D8A40C">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独头掘进巷道距掘进工作面不大于100m处的供水管道上应安设一组供水阀门，相邻两组供水阀门安设间距应不大于200m。</w:t>
            </w:r>
          </w:p>
        </w:tc>
        <w:tc>
          <w:tcPr>
            <w:tcW w:w="956" w:type="pct"/>
            <w:tcBorders>
              <w:top w:val="single" w:color="auto" w:sz="4" w:space="0"/>
              <w:left w:val="single" w:color="auto" w:sz="4" w:space="0"/>
              <w:bottom w:val="single" w:color="auto" w:sz="4" w:space="0"/>
              <w:right w:val="single" w:color="auto" w:sz="4" w:space="0"/>
            </w:tcBorders>
            <w:vAlign w:val="center"/>
          </w:tcPr>
          <w:p w14:paraId="4F1A3CF8">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《金属非金属地下矿山供水施救系统建设规范》(KA/T 2035-2023)4.9</w:t>
            </w:r>
          </w:p>
        </w:tc>
        <w:tc>
          <w:tcPr>
            <w:tcW w:w="1898" w:type="pct"/>
            <w:tcBorders>
              <w:top w:val="single" w:color="auto" w:sz="4" w:space="0"/>
              <w:left w:val="single" w:color="auto" w:sz="4" w:space="0"/>
              <w:bottom w:val="single" w:color="auto" w:sz="4" w:space="0"/>
              <w:right w:val="single" w:color="auto" w:sz="4" w:space="0"/>
            </w:tcBorders>
            <w:vAlign w:val="center"/>
          </w:tcPr>
          <w:p w14:paraId="3CA1E36A">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在独头掘进巷道距掘进工作面不大于100m处的供水管道上安设一组供水阀门，相邻两组供水阀门的安设间距不大于200m。</w:t>
            </w:r>
          </w:p>
        </w:tc>
        <w:tc>
          <w:tcPr>
            <w:tcW w:w="530" w:type="pct"/>
            <w:tcBorders>
              <w:top w:val="single" w:color="auto" w:sz="4" w:space="0"/>
              <w:left w:val="single" w:color="auto" w:sz="4" w:space="0"/>
              <w:bottom w:val="single" w:color="auto" w:sz="4" w:space="0"/>
              <w:right w:val="single" w:color="auto" w:sz="4" w:space="0"/>
            </w:tcBorders>
            <w:vAlign w:val="center"/>
          </w:tcPr>
          <w:p w14:paraId="299E33D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538CE19">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726FD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3D2F5C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5F2AECF0">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爆破时撤离人员集中地点的供水管道上应安设一组供水阀门。</w:t>
            </w:r>
          </w:p>
        </w:tc>
        <w:tc>
          <w:tcPr>
            <w:tcW w:w="956" w:type="pct"/>
            <w:tcBorders>
              <w:top w:val="single" w:color="auto" w:sz="4" w:space="0"/>
              <w:left w:val="single" w:color="auto" w:sz="4" w:space="0"/>
              <w:bottom w:val="single" w:color="auto" w:sz="4" w:space="0"/>
              <w:right w:val="single" w:color="auto" w:sz="4" w:space="0"/>
            </w:tcBorders>
            <w:vAlign w:val="center"/>
          </w:tcPr>
          <w:p w14:paraId="0CD0AEBF">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《金属非金属地下矿山供水施救系统建设规范》(KA/T 2035-2023)4.10</w:t>
            </w:r>
          </w:p>
        </w:tc>
        <w:tc>
          <w:tcPr>
            <w:tcW w:w="1898" w:type="pct"/>
            <w:tcBorders>
              <w:top w:val="single" w:color="auto" w:sz="4" w:space="0"/>
              <w:left w:val="single" w:color="auto" w:sz="4" w:space="0"/>
              <w:bottom w:val="single" w:color="auto" w:sz="4" w:space="0"/>
              <w:right w:val="single" w:color="auto" w:sz="4" w:space="0"/>
            </w:tcBorders>
            <w:vAlign w:val="center"/>
          </w:tcPr>
          <w:p w14:paraId="3CCC9D05">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在爆破时撤离人员集中地点的供水管道上安设一组供水阀门；在接入避灾硐室的供水管道上安设阀门及过滤装置</w:t>
            </w:r>
            <w:r>
              <w:rPr>
                <w:rFonts w:asciiTheme="minorHAnsi" w:hAnsiTheme="minorHAnsi" w:cstheme="minorHAnsi"/>
                <w:sz w:val="21"/>
                <w:szCs w:val="21"/>
              </w:rPr>
              <w:t>。</w:t>
            </w:r>
          </w:p>
        </w:tc>
        <w:tc>
          <w:tcPr>
            <w:tcW w:w="530" w:type="pct"/>
            <w:tcBorders>
              <w:top w:val="single" w:color="auto" w:sz="4" w:space="0"/>
              <w:left w:val="single" w:color="auto" w:sz="4" w:space="0"/>
              <w:bottom w:val="single" w:color="auto" w:sz="4" w:space="0"/>
              <w:right w:val="single" w:color="auto" w:sz="4" w:space="0"/>
            </w:tcBorders>
            <w:vAlign w:val="center"/>
          </w:tcPr>
          <w:p w14:paraId="10B0952C">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61576FF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9753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4783446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六</w:t>
            </w:r>
          </w:p>
        </w:tc>
        <w:tc>
          <w:tcPr>
            <w:tcW w:w="1246" w:type="pct"/>
            <w:tcBorders>
              <w:top w:val="single" w:color="auto" w:sz="4" w:space="0"/>
              <w:left w:val="single" w:color="auto" w:sz="4" w:space="0"/>
              <w:bottom w:val="single" w:color="auto" w:sz="4" w:space="0"/>
              <w:right w:val="single" w:color="auto" w:sz="4" w:space="0"/>
            </w:tcBorders>
            <w:vAlign w:val="center"/>
          </w:tcPr>
          <w:p w14:paraId="11E34370">
            <w:pPr>
              <w:spacing w:line="240" w:lineRule="auto"/>
              <w:ind w:firstLine="0" w:firstLineChars="0"/>
              <w:rPr>
                <w:rFonts w:asciiTheme="minorHAnsi" w:hAnsiTheme="minorHAnsi" w:cstheme="minorHAnsi"/>
                <w:kern w:val="0"/>
                <w:sz w:val="21"/>
                <w:szCs w:val="21"/>
              </w:rPr>
            </w:pPr>
            <w:r>
              <w:rPr>
                <w:rFonts w:asciiTheme="minorHAnsi" w:hAnsiTheme="minorHAnsi" w:cstheme="minorHAnsi"/>
                <w:sz w:val="21"/>
                <w:szCs w:val="24"/>
              </w:rPr>
              <w:t>通信联络系统</w:t>
            </w:r>
          </w:p>
        </w:tc>
        <w:tc>
          <w:tcPr>
            <w:tcW w:w="956" w:type="pct"/>
            <w:tcBorders>
              <w:top w:val="single" w:color="auto" w:sz="4" w:space="0"/>
              <w:left w:val="single" w:color="auto" w:sz="4" w:space="0"/>
              <w:bottom w:val="single" w:color="auto" w:sz="4" w:space="0"/>
              <w:right w:val="single" w:color="auto" w:sz="4" w:space="0"/>
            </w:tcBorders>
            <w:vAlign w:val="center"/>
          </w:tcPr>
          <w:p w14:paraId="569EDF60">
            <w:pPr>
              <w:spacing w:line="240" w:lineRule="auto"/>
              <w:ind w:firstLine="0" w:firstLineChars="0"/>
              <w:jc w:val="center"/>
              <w:rPr>
                <w:rFonts w:asciiTheme="minorHAnsi" w:hAnsiTheme="minorHAnsi" w:cstheme="minorHAnsi"/>
                <w:kern w:val="0"/>
                <w:sz w:val="21"/>
                <w:szCs w:val="21"/>
              </w:rPr>
            </w:pPr>
            <w:bookmarkStart w:id="372" w:name="_Toc453588469"/>
            <w:bookmarkStart w:id="373" w:name="_Toc411331233"/>
            <w:bookmarkStart w:id="374" w:name="_Toc451426797"/>
            <w:bookmarkStart w:id="375" w:name="_Toc449950269"/>
            <w:bookmarkStart w:id="376" w:name="_Toc449950447"/>
            <w:bookmarkStart w:id="377" w:name="_Toc438732698"/>
            <w:bookmarkStart w:id="378" w:name="_Toc452552821"/>
            <w:bookmarkStart w:id="379" w:name="_Toc6059"/>
            <w:bookmarkStart w:id="380" w:name="_Toc435278529"/>
            <w:bookmarkStart w:id="381" w:name="_Toc22931"/>
            <w:bookmarkStart w:id="382" w:name="_Toc71789774"/>
            <w:r>
              <w:rPr>
                <w:rFonts w:asciiTheme="minorHAnsi" w:hAnsiTheme="minorHAnsi" w:cstheme="minorHAnsi"/>
                <w:kern w:val="0"/>
                <w:sz w:val="21"/>
                <w:szCs w:val="21"/>
              </w:rPr>
              <w:t>《金属非金属地下矿山通信联络系统建设规范》(AQ2036-2011)</w:t>
            </w:r>
            <w:bookmarkEnd w:id="372"/>
            <w:bookmarkEnd w:id="373"/>
            <w:bookmarkEnd w:id="374"/>
            <w:bookmarkEnd w:id="375"/>
            <w:bookmarkEnd w:id="376"/>
            <w:bookmarkEnd w:id="377"/>
            <w:bookmarkEnd w:id="378"/>
            <w:bookmarkEnd w:id="379"/>
            <w:bookmarkEnd w:id="380"/>
            <w:bookmarkEnd w:id="381"/>
            <w:bookmarkEnd w:id="382"/>
          </w:p>
        </w:tc>
        <w:tc>
          <w:tcPr>
            <w:tcW w:w="1898" w:type="pct"/>
            <w:tcBorders>
              <w:top w:val="single" w:color="auto" w:sz="4" w:space="0"/>
              <w:left w:val="single" w:color="auto" w:sz="4" w:space="0"/>
              <w:bottom w:val="single" w:color="auto" w:sz="4" w:space="0"/>
              <w:right w:val="single" w:color="auto" w:sz="4" w:space="0"/>
            </w:tcBorders>
            <w:vAlign w:val="center"/>
          </w:tcPr>
          <w:p w14:paraId="27EC4EDA">
            <w:pPr>
              <w:spacing w:line="240" w:lineRule="auto"/>
              <w:ind w:firstLine="0" w:firstLineChars="0"/>
              <w:rPr>
                <w:rFonts w:asciiTheme="minorHAnsi" w:hAnsiTheme="minorHAnsi" w:cstheme="minorHAnsi"/>
                <w:sz w:val="21"/>
                <w:szCs w:val="28"/>
              </w:rPr>
            </w:pPr>
          </w:p>
        </w:tc>
        <w:tc>
          <w:tcPr>
            <w:tcW w:w="530" w:type="pct"/>
            <w:tcBorders>
              <w:top w:val="single" w:color="auto" w:sz="4" w:space="0"/>
              <w:left w:val="single" w:color="auto" w:sz="4" w:space="0"/>
              <w:bottom w:val="single" w:color="auto" w:sz="4" w:space="0"/>
              <w:right w:val="single" w:color="auto" w:sz="4" w:space="0"/>
            </w:tcBorders>
            <w:vAlign w:val="center"/>
          </w:tcPr>
          <w:p w14:paraId="2F99C708">
            <w:pPr>
              <w:spacing w:line="240" w:lineRule="auto"/>
              <w:ind w:firstLine="0" w:firstLineChars="0"/>
              <w:jc w:val="center"/>
              <w:rPr>
                <w:rFonts w:asciiTheme="minorHAnsi" w:hAnsiTheme="minorHAnsi" w:cstheme="minorHAnsi"/>
                <w:sz w:val="21"/>
                <w:szCs w:val="21"/>
              </w:rPr>
            </w:pPr>
          </w:p>
        </w:tc>
      </w:tr>
      <w:tr w14:paraId="11333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619DBB2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7B20E4A2">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金属非金属地下矿山应根据安全避险的实际需要，建设完善有线通信联络系统；宜建设无线通信联络系统，作为有线通信联络系统的补充。</w:t>
            </w:r>
          </w:p>
        </w:tc>
        <w:tc>
          <w:tcPr>
            <w:tcW w:w="956" w:type="pct"/>
            <w:tcBorders>
              <w:top w:val="single" w:color="auto" w:sz="4" w:space="0"/>
              <w:left w:val="single" w:color="auto" w:sz="4" w:space="0"/>
              <w:bottom w:val="single" w:color="auto" w:sz="4" w:space="0"/>
              <w:right w:val="single" w:color="auto" w:sz="4" w:space="0"/>
            </w:tcBorders>
            <w:vAlign w:val="center"/>
          </w:tcPr>
          <w:p w14:paraId="37F02086">
            <w:pPr>
              <w:spacing w:line="240" w:lineRule="auto"/>
              <w:ind w:firstLine="0" w:firstLineChars="0"/>
              <w:jc w:val="center"/>
              <w:rPr>
                <w:rFonts w:asciiTheme="minorHAnsi" w:hAnsiTheme="minorHAnsi" w:cstheme="minorHAnsi"/>
                <w:kern w:val="0"/>
                <w:sz w:val="21"/>
                <w:szCs w:val="21"/>
              </w:rPr>
            </w:pPr>
            <w:bookmarkStart w:id="383" w:name="_Toc435278530"/>
            <w:bookmarkStart w:id="384" w:name="_Toc438732699"/>
            <w:bookmarkStart w:id="385" w:name="_Toc453588470"/>
            <w:bookmarkStart w:id="386" w:name="_Toc449950448"/>
            <w:bookmarkStart w:id="387" w:name="_Toc6422"/>
            <w:bookmarkStart w:id="388" w:name="_Toc452552822"/>
            <w:bookmarkStart w:id="389" w:name="_Toc9832"/>
            <w:bookmarkStart w:id="390" w:name="_Toc411331234"/>
            <w:bookmarkStart w:id="391" w:name="_Toc449950270"/>
            <w:bookmarkStart w:id="392" w:name="_Toc451426798"/>
            <w:bookmarkStart w:id="393" w:name="_Toc71789775"/>
            <w:r>
              <w:rPr>
                <w:rFonts w:asciiTheme="minorHAnsi" w:hAnsiTheme="minorHAnsi" w:cstheme="minorHAnsi"/>
                <w:kern w:val="0"/>
                <w:sz w:val="21"/>
                <w:szCs w:val="21"/>
              </w:rPr>
              <w:t>《金属非金属地下矿山通信联络系统建设规范》(AQ2036-2011)4.1</w:t>
            </w:r>
            <w:bookmarkEnd w:id="383"/>
            <w:bookmarkEnd w:id="384"/>
            <w:bookmarkEnd w:id="385"/>
            <w:bookmarkEnd w:id="386"/>
            <w:bookmarkEnd w:id="387"/>
            <w:bookmarkEnd w:id="388"/>
            <w:bookmarkEnd w:id="389"/>
            <w:bookmarkEnd w:id="390"/>
            <w:bookmarkEnd w:id="391"/>
            <w:bookmarkEnd w:id="392"/>
            <w:bookmarkEnd w:id="393"/>
          </w:p>
        </w:tc>
        <w:tc>
          <w:tcPr>
            <w:tcW w:w="1898" w:type="pct"/>
            <w:tcBorders>
              <w:top w:val="single" w:color="auto" w:sz="4" w:space="0"/>
              <w:left w:val="single" w:color="auto" w:sz="4" w:space="0"/>
              <w:bottom w:val="single" w:color="auto" w:sz="4" w:space="0"/>
              <w:right w:val="single" w:color="auto" w:sz="4" w:space="0"/>
            </w:tcBorders>
            <w:vAlign w:val="center"/>
          </w:tcPr>
          <w:p w14:paraId="6CD952E2">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采矿一期的井下各个水平、地表公辅建筑物、生活办公区建筑物设计通信联络系统，通信联络系统包括有线通信联络系统、无线通信联络系统，其中有线通信联络系统分为行政管理电话、生产调度电话、应急广播电话站。通信联络系统与有毒有害及环境监测、通风监测、人员定位系统进行总体设计。</w:t>
            </w:r>
          </w:p>
        </w:tc>
        <w:tc>
          <w:tcPr>
            <w:tcW w:w="530" w:type="pct"/>
            <w:tcBorders>
              <w:top w:val="single" w:color="auto" w:sz="4" w:space="0"/>
              <w:left w:val="single" w:color="auto" w:sz="4" w:space="0"/>
              <w:bottom w:val="single" w:color="auto" w:sz="4" w:space="0"/>
              <w:right w:val="single" w:color="auto" w:sz="4" w:space="0"/>
            </w:tcBorders>
            <w:vAlign w:val="center"/>
          </w:tcPr>
          <w:p w14:paraId="684D91AC">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2DA7125">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30269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75B841C7">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38C06E26">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安装通信联络终端设备的地点应包括：井底车场、马头门、井下运输调度室、主要机电硐室、井下变电所、井下各中段采区、主要泵房、主要通风机房、井下紧急避险设施、爆破时撤离人员集中地点、提升机房、井下爆破器材库、装卸矿点等。</w:t>
            </w:r>
          </w:p>
        </w:tc>
        <w:tc>
          <w:tcPr>
            <w:tcW w:w="956" w:type="pct"/>
            <w:tcBorders>
              <w:top w:val="single" w:color="auto" w:sz="4" w:space="0"/>
              <w:left w:val="single" w:color="auto" w:sz="4" w:space="0"/>
              <w:bottom w:val="single" w:color="auto" w:sz="4" w:space="0"/>
              <w:right w:val="single" w:color="auto" w:sz="4" w:space="0"/>
            </w:tcBorders>
            <w:vAlign w:val="center"/>
          </w:tcPr>
          <w:p w14:paraId="494E6F36">
            <w:pPr>
              <w:spacing w:line="240" w:lineRule="auto"/>
              <w:ind w:firstLine="0" w:firstLineChars="0"/>
              <w:jc w:val="center"/>
              <w:rPr>
                <w:rFonts w:asciiTheme="minorHAnsi" w:hAnsiTheme="minorHAnsi" w:cstheme="minorHAnsi"/>
                <w:kern w:val="0"/>
                <w:sz w:val="21"/>
                <w:szCs w:val="21"/>
              </w:rPr>
            </w:pPr>
            <w:bookmarkStart w:id="394" w:name="_Toc452552823"/>
            <w:bookmarkStart w:id="395" w:name="_Toc449950271"/>
            <w:bookmarkStart w:id="396" w:name="_Toc453588471"/>
            <w:bookmarkStart w:id="397" w:name="_Toc71789776"/>
            <w:bookmarkStart w:id="398" w:name="_Toc411331235"/>
            <w:bookmarkStart w:id="399" w:name="_Toc449950449"/>
            <w:bookmarkStart w:id="400" w:name="_Toc451426799"/>
            <w:bookmarkStart w:id="401" w:name="_Toc435278531"/>
            <w:bookmarkStart w:id="402" w:name="_Toc28743"/>
            <w:bookmarkStart w:id="403" w:name="_Toc438732700"/>
            <w:bookmarkStart w:id="404" w:name="_Toc13569"/>
            <w:r>
              <w:rPr>
                <w:rFonts w:asciiTheme="minorHAnsi" w:hAnsiTheme="minorHAnsi" w:cstheme="minorHAnsi"/>
                <w:kern w:val="0"/>
                <w:sz w:val="21"/>
                <w:szCs w:val="21"/>
              </w:rPr>
              <w:t>《金属非金属地下矿山通信联络系统建设规范》(AQ2036-2011)4.4</w:t>
            </w:r>
            <w:bookmarkEnd w:id="394"/>
            <w:bookmarkEnd w:id="395"/>
            <w:bookmarkEnd w:id="396"/>
            <w:bookmarkEnd w:id="397"/>
            <w:bookmarkEnd w:id="398"/>
            <w:bookmarkEnd w:id="399"/>
            <w:bookmarkEnd w:id="400"/>
            <w:bookmarkEnd w:id="401"/>
            <w:bookmarkEnd w:id="402"/>
            <w:bookmarkEnd w:id="403"/>
            <w:bookmarkEnd w:id="404"/>
          </w:p>
        </w:tc>
        <w:tc>
          <w:tcPr>
            <w:tcW w:w="1898" w:type="pct"/>
            <w:tcBorders>
              <w:top w:val="single" w:color="auto" w:sz="4" w:space="0"/>
              <w:left w:val="single" w:color="auto" w:sz="4" w:space="0"/>
              <w:bottom w:val="single" w:color="auto" w:sz="4" w:space="0"/>
              <w:right w:val="single" w:color="auto" w:sz="4" w:space="0"/>
            </w:tcBorders>
            <w:vAlign w:val="center"/>
          </w:tcPr>
          <w:p w14:paraId="610D486D">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在井下的井底车场、马头门、井下运输调度室、主要机电硐室、井下变电所、井下各中段采区、主要泵房、主要通风机房、井下紧急避险设施、爆破时撤离人员集中地点、提升机房、装卸矿点等处设置生产调度电话；在地表的空压机、充填站等公辅车间及各类库房等处设置生产调度电话。</w:t>
            </w:r>
          </w:p>
        </w:tc>
        <w:tc>
          <w:tcPr>
            <w:tcW w:w="530" w:type="pct"/>
            <w:tcBorders>
              <w:top w:val="single" w:color="auto" w:sz="4" w:space="0"/>
              <w:left w:val="single" w:color="auto" w:sz="4" w:space="0"/>
              <w:bottom w:val="single" w:color="auto" w:sz="4" w:space="0"/>
              <w:right w:val="single" w:color="auto" w:sz="4" w:space="0"/>
            </w:tcBorders>
            <w:vAlign w:val="center"/>
          </w:tcPr>
          <w:p w14:paraId="55A0675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05A899F2">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r w14:paraId="2928D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 w:type="pct"/>
            <w:tcBorders>
              <w:top w:val="single" w:color="auto" w:sz="4" w:space="0"/>
              <w:left w:val="single" w:color="auto" w:sz="4" w:space="0"/>
              <w:bottom w:val="single" w:color="auto" w:sz="4" w:space="0"/>
              <w:right w:val="single" w:color="auto" w:sz="4" w:space="0"/>
            </w:tcBorders>
            <w:vAlign w:val="center"/>
          </w:tcPr>
          <w:p w14:paraId="5320DBC6">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2E9C1B5D">
            <w:pPr>
              <w:adjustRightInd w:val="0"/>
              <w:snapToGrid w:val="0"/>
              <w:spacing w:line="240" w:lineRule="auto"/>
              <w:ind w:firstLine="0" w:firstLineChars="0"/>
              <w:rPr>
                <w:rFonts w:asciiTheme="minorHAnsi" w:hAnsiTheme="minorHAnsi" w:cstheme="minorHAnsi"/>
                <w:sz w:val="21"/>
                <w:szCs w:val="21"/>
              </w:rPr>
            </w:pPr>
            <w:r>
              <w:rPr>
                <w:rFonts w:asciiTheme="minorHAnsi" w:hAnsiTheme="minorHAnsi" w:cstheme="minorHAnsi"/>
                <w:sz w:val="21"/>
                <w:szCs w:val="21"/>
              </w:rPr>
              <w:t>通信线缆应分设两条，从不同的井筒进入井下配线设备，其中任何一条通信线缆发生故障时，另外一条线缆的容量应能担负井下各通信终端的通信能力。</w:t>
            </w:r>
          </w:p>
        </w:tc>
        <w:tc>
          <w:tcPr>
            <w:tcW w:w="956" w:type="pct"/>
            <w:tcBorders>
              <w:top w:val="single" w:color="auto" w:sz="4" w:space="0"/>
              <w:left w:val="single" w:color="auto" w:sz="4" w:space="0"/>
              <w:bottom w:val="single" w:color="auto" w:sz="4" w:space="0"/>
              <w:right w:val="single" w:color="auto" w:sz="4" w:space="0"/>
            </w:tcBorders>
            <w:vAlign w:val="center"/>
          </w:tcPr>
          <w:p w14:paraId="35D28FDC">
            <w:pPr>
              <w:spacing w:line="240" w:lineRule="auto"/>
              <w:ind w:firstLine="0" w:firstLineChars="0"/>
              <w:jc w:val="center"/>
              <w:rPr>
                <w:rFonts w:asciiTheme="minorHAnsi" w:hAnsiTheme="minorHAnsi" w:cstheme="minorHAnsi"/>
                <w:kern w:val="0"/>
                <w:sz w:val="21"/>
                <w:szCs w:val="21"/>
              </w:rPr>
            </w:pPr>
            <w:bookmarkStart w:id="405" w:name="_Toc452552824"/>
            <w:bookmarkStart w:id="406" w:name="_Toc449950272"/>
            <w:bookmarkStart w:id="407" w:name="_Toc451426800"/>
            <w:bookmarkStart w:id="408" w:name="_Toc438732701"/>
            <w:bookmarkStart w:id="409" w:name="_Toc449950450"/>
            <w:bookmarkStart w:id="410" w:name="_Toc453588472"/>
            <w:bookmarkStart w:id="411" w:name="_Toc25837"/>
            <w:bookmarkStart w:id="412" w:name="_Toc435278532"/>
            <w:bookmarkStart w:id="413" w:name="_Toc29764"/>
            <w:bookmarkStart w:id="414" w:name="_Toc71789777"/>
            <w:bookmarkStart w:id="415" w:name="_Toc411331236"/>
            <w:r>
              <w:rPr>
                <w:rFonts w:asciiTheme="minorHAnsi" w:hAnsiTheme="minorHAnsi" w:cstheme="minorHAnsi"/>
                <w:kern w:val="0"/>
                <w:sz w:val="21"/>
                <w:szCs w:val="21"/>
              </w:rPr>
              <w:t>《金属非金属地下矿山通信联络系统建设规范》(AQ2036-2011)4.5</w:t>
            </w:r>
            <w:bookmarkEnd w:id="405"/>
            <w:bookmarkEnd w:id="406"/>
            <w:bookmarkEnd w:id="407"/>
            <w:bookmarkEnd w:id="408"/>
            <w:bookmarkEnd w:id="409"/>
            <w:bookmarkEnd w:id="410"/>
            <w:bookmarkEnd w:id="411"/>
            <w:bookmarkEnd w:id="412"/>
            <w:bookmarkEnd w:id="413"/>
            <w:bookmarkEnd w:id="414"/>
            <w:bookmarkEnd w:id="415"/>
          </w:p>
        </w:tc>
        <w:tc>
          <w:tcPr>
            <w:tcW w:w="1898" w:type="pct"/>
            <w:tcBorders>
              <w:top w:val="single" w:color="auto" w:sz="4" w:space="0"/>
              <w:left w:val="single" w:color="auto" w:sz="4" w:space="0"/>
              <w:bottom w:val="single" w:color="auto" w:sz="4" w:space="0"/>
              <w:right w:val="single" w:color="auto" w:sz="4" w:space="0"/>
            </w:tcBorders>
            <w:vAlign w:val="center"/>
          </w:tcPr>
          <w:p w14:paraId="69E5B2ED">
            <w:pPr>
              <w:adjustRightInd w:val="0"/>
              <w:snapToGrid w:val="0"/>
              <w:spacing w:line="240" w:lineRule="auto"/>
              <w:ind w:firstLine="0" w:firstLineChars="0"/>
              <w:rPr>
                <w:rFonts w:asciiTheme="minorHAnsi" w:hAnsiTheme="minorHAnsi" w:cstheme="minorHAnsi"/>
                <w:sz w:val="21"/>
                <w:szCs w:val="21"/>
              </w:rPr>
            </w:pPr>
            <w:r>
              <w:rPr>
                <w:rFonts w:hint="eastAsia" w:asciiTheme="minorHAnsi" w:hAnsiTheme="minorHAnsi" w:cstheme="minorHAnsi"/>
                <w:sz w:val="21"/>
                <w:szCs w:val="21"/>
              </w:rPr>
              <w:t>通信主干线缆应分设两条（副井和1号回风井），从不同的井筒进入井下配线设备，其中任何一条通信线缆发生故障时，另外一条线缆的容量应能担负井下各通信终端的通信能力。</w:t>
            </w:r>
          </w:p>
        </w:tc>
        <w:tc>
          <w:tcPr>
            <w:tcW w:w="530" w:type="pct"/>
            <w:tcBorders>
              <w:top w:val="single" w:color="auto" w:sz="4" w:space="0"/>
              <w:left w:val="single" w:color="auto" w:sz="4" w:space="0"/>
              <w:bottom w:val="single" w:color="auto" w:sz="4" w:space="0"/>
              <w:right w:val="single" w:color="auto" w:sz="4" w:space="0"/>
            </w:tcBorders>
            <w:vAlign w:val="center"/>
          </w:tcPr>
          <w:p w14:paraId="2C0E1D4B">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符合</w:t>
            </w:r>
          </w:p>
          <w:p w14:paraId="34868F01">
            <w:pPr>
              <w:spacing w:line="240" w:lineRule="auto"/>
              <w:ind w:firstLine="0" w:firstLineChars="0"/>
              <w:jc w:val="center"/>
              <w:rPr>
                <w:rFonts w:asciiTheme="minorHAnsi" w:hAnsiTheme="minorHAnsi" w:cstheme="minorHAnsi"/>
                <w:sz w:val="21"/>
                <w:szCs w:val="21"/>
              </w:rPr>
            </w:pPr>
            <w:r>
              <w:rPr>
                <w:rFonts w:asciiTheme="minorHAnsi" w:hAnsiTheme="minorHAnsi" w:cstheme="minorHAnsi"/>
                <w:sz w:val="21"/>
                <w:szCs w:val="21"/>
              </w:rPr>
              <w:t>要求</w:t>
            </w:r>
          </w:p>
        </w:tc>
      </w:tr>
    </w:tbl>
    <w:p w14:paraId="1F6C2D14">
      <w:pPr>
        <w:snapToGrid w:val="0"/>
        <w:spacing w:line="360" w:lineRule="auto"/>
        <w:ind w:firstLine="560"/>
        <w:rPr>
          <w:rFonts w:asciiTheme="minorHAnsi" w:hAnsiTheme="minorHAnsi" w:cstheme="minorHAnsi"/>
          <w:szCs w:val="24"/>
        </w:rPr>
      </w:pPr>
      <w:bookmarkStart w:id="416" w:name="_Toc313438793"/>
      <w:bookmarkStart w:id="417" w:name="_Toc11121"/>
      <w:bookmarkStart w:id="418" w:name="_Toc312843822"/>
      <w:bookmarkStart w:id="419" w:name="_Toc312845952"/>
      <w:bookmarkStart w:id="420" w:name="_Toc312842810"/>
      <w:r>
        <w:rPr>
          <w:rFonts w:asciiTheme="minorHAnsi" w:hAnsiTheme="minorHAnsi" w:cstheme="minorHAnsi"/>
          <w:szCs w:val="24"/>
        </w:rPr>
        <w:t>下一阶段设计中应完善的问题有：</w:t>
      </w:r>
    </w:p>
    <w:p w14:paraId="140A1DCD">
      <w:pPr>
        <w:adjustRightInd w:val="0"/>
        <w:snapToGrid w:val="0"/>
        <w:spacing w:line="360" w:lineRule="auto"/>
        <w:ind w:firstLine="560"/>
        <w:rPr>
          <w:rFonts w:asciiTheme="minorHAnsi" w:hAnsiTheme="minorHAnsi" w:cstheme="minorHAnsi"/>
          <w:szCs w:val="28"/>
        </w:rPr>
      </w:pPr>
      <w:bookmarkStart w:id="421" w:name="_Hlk174366502"/>
      <w:r>
        <w:rPr>
          <w:rFonts w:hint="eastAsia" w:asciiTheme="minorHAnsi" w:hAnsiTheme="minorHAnsi" w:cstheme="minorHAnsi"/>
          <w:szCs w:val="28"/>
        </w:rPr>
        <w:t>（1）下一步设计阶段应对</w:t>
      </w:r>
      <w:r>
        <w:rPr>
          <w:rFonts w:hint="eastAsia" w:asciiTheme="minorHAnsi" w:hAnsiTheme="minorHAnsi" w:cstheme="minorHAnsi"/>
        </w:rPr>
        <w:t>安全避险“六大系统”系统</w:t>
      </w:r>
      <w:r>
        <w:rPr>
          <w:rFonts w:hint="eastAsia" w:asciiTheme="minorHAnsi" w:hAnsiTheme="minorHAnsi" w:cstheme="minorHAnsi"/>
          <w:szCs w:val="28"/>
        </w:rPr>
        <w:t>进行详细设计。</w:t>
      </w:r>
    </w:p>
    <w:p w14:paraId="63260A8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（2）下一步设计阶段应对监测监控系统进行详细设计说明，</w:t>
      </w:r>
      <w:r>
        <w:rPr>
          <w:rFonts w:asciiTheme="minorHAnsi" w:hAnsiTheme="minorHAnsi" w:cstheme="minorHAnsi"/>
          <w:szCs w:val="28"/>
        </w:rPr>
        <w:t>主机应安装在地面，并双机备份，且应在矿山生产调度室设置显示终端</w:t>
      </w:r>
      <w:r>
        <w:rPr>
          <w:rFonts w:hint="eastAsia" w:asciiTheme="minorHAnsi" w:hAnsiTheme="minorHAnsi" w:cstheme="minorHAnsi"/>
          <w:szCs w:val="28"/>
        </w:rPr>
        <w:t>；配备备用电源，主机和分站的备用电源应能保证连续工作2h以上。</w:t>
      </w:r>
    </w:p>
    <w:p w14:paraId="456EBAB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（3）下一步设计阶段应对主要通风机、辅助通风机、局部通风机设置开停传感器进行详细说明。</w:t>
      </w:r>
    </w:p>
    <w:p w14:paraId="43FD672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（4）下一步设计阶段应对矿山入井人员自救器配备进行详细设计，自救器额定防护时间不少于30min，并按入井总人数的10%配备备用自救器；所有入井人员必须随身携带自救器。</w:t>
      </w:r>
    </w:p>
    <w:p w14:paraId="6B6C16B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（5）下一步设计阶段应对自救器额定防护时间及配备数量要求进行说明。</w:t>
      </w:r>
    </w:p>
    <w:bookmarkEnd w:id="416"/>
    <w:bookmarkEnd w:id="417"/>
    <w:bookmarkEnd w:id="418"/>
    <w:bookmarkEnd w:id="419"/>
    <w:bookmarkEnd w:id="420"/>
    <w:bookmarkEnd w:id="421"/>
    <w:p w14:paraId="2CB1585B">
      <w:pPr>
        <w:pStyle w:val="4"/>
        <w:spacing w:before="190" w:after="190" w:line="360" w:lineRule="exact"/>
        <w:rPr>
          <w:rFonts w:asciiTheme="minorHAnsi" w:hAnsiTheme="minorHAnsi" w:cstheme="minorHAnsi"/>
        </w:rPr>
      </w:pPr>
      <w:bookmarkStart w:id="422" w:name="_Toc312845953"/>
      <w:bookmarkStart w:id="423" w:name="_Toc17581"/>
      <w:bookmarkStart w:id="424" w:name="_Toc313438794"/>
      <w:bookmarkStart w:id="425" w:name="_Toc312842811"/>
      <w:bookmarkStart w:id="426" w:name="_Toc199426946"/>
      <w:bookmarkStart w:id="427" w:name="_Toc312843823"/>
      <w:r>
        <w:rPr>
          <w:rFonts w:asciiTheme="minorHAnsi" w:hAnsiTheme="minorHAnsi" w:cstheme="minorHAnsi"/>
        </w:rPr>
        <w:t>3.10安全管理单元</w:t>
      </w:r>
      <w:bookmarkEnd w:id="422"/>
      <w:bookmarkEnd w:id="423"/>
      <w:bookmarkEnd w:id="424"/>
      <w:bookmarkEnd w:id="425"/>
      <w:bookmarkEnd w:id="426"/>
      <w:bookmarkEnd w:id="427"/>
    </w:p>
    <w:p w14:paraId="5A626672">
      <w:pPr>
        <w:adjustRightInd w:val="0"/>
        <w:snapToGrid w:val="0"/>
        <w:spacing w:line="360" w:lineRule="auto"/>
        <w:ind w:firstLine="0" w:firstLineChars="0"/>
        <w:outlineLvl w:val="2"/>
        <w:rPr>
          <w:rFonts w:asciiTheme="minorHAnsi" w:hAnsiTheme="minorHAnsi" w:cstheme="minorHAnsi"/>
          <w:b/>
          <w:szCs w:val="28"/>
        </w:rPr>
      </w:pPr>
      <w:r>
        <w:rPr>
          <w:rFonts w:hint="eastAsia" w:asciiTheme="minorHAnsi" w:hAnsiTheme="minorHAnsi" w:cstheme="minorHAnsi"/>
          <w:b/>
          <w:szCs w:val="28"/>
        </w:rPr>
        <w:t>3</w:t>
      </w:r>
      <w:r>
        <w:rPr>
          <w:rFonts w:asciiTheme="minorHAnsi" w:hAnsiTheme="minorHAnsi" w:cstheme="minorHAnsi"/>
          <w:b/>
          <w:szCs w:val="28"/>
        </w:rPr>
        <w:t xml:space="preserve">.10.1 </w:t>
      </w:r>
      <w:r>
        <w:rPr>
          <w:rFonts w:hint="eastAsia" w:asciiTheme="minorHAnsi" w:hAnsiTheme="minorHAnsi" w:cstheme="minorHAnsi"/>
          <w:b/>
          <w:szCs w:val="28"/>
        </w:rPr>
        <w:t>危险、有害因素辨识与分析</w:t>
      </w:r>
    </w:p>
    <w:p w14:paraId="0C00FA56">
      <w:pPr>
        <w:adjustRightInd w:val="0"/>
        <w:snapToGrid w:val="0"/>
        <w:spacing w:line="360" w:lineRule="auto"/>
        <w:ind w:firstLine="560"/>
        <w:rPr>
          <w:szCs w:val="28"/>
        </w:rPr>
      </w:pPr>
      <w:r>
        <w:rPr>
          <w:rFonts w:hint="eastAsia"/>
          <w:szCs w:val="28"/>
        </w:rPr>
        <w:t>（1）企业若未设置专门的安全管理机构，可能造成安全管理混乱，监管不力，安全生产责任落实不到位，员工相互推脱安全责任，安全管理规章制度执行不力，对违章、违规操作不能及时进行指正。</w:t>
      </w:r>
    </w:p>
    <w:p w14:paraId="1C905D55">
      <w:pPr>
        <w:adjustRightInd w:val="0"/>
        <w:snapToGrid w:val="0"/>
        <w:spacing w:line="360" w:lineRule="auto"/>
        <w:ind w:firstLine="560"/>
        <w:rPr>
          <w:szCs w:val="28"/>
        </w:rPr>
      </w:pPr>
      <w:r>
        <w:rPr>
          <w:rFonts w:hint="eastAsia"/>
          <w:szCs w:val="28"/>
        </w:rPr>
        <w:t>（2）企业应按员工比例配备一定数量的专职安全管理人员及注册安全工程师，若未配置专职安全管理人员或专职安全管理人员数量不足，可能造成安全管理不到位，出现安全管理漏洞或安全管理间隔时间长，不能及时对违章、违规和安全生产隐患进行检查、整改和落实。</w:t>
      </w:r>
    </w:p>
    <w:p w14:paraId="6959402C">
      <w:pPr>
        <w:adjustRightInd w:val="0"/>
        <w:snapToGrid w:val="0"/>
        <w:spacing w:line="360" w:lineRule="auto"/>
        <w:ind w:firstLine="560"/>
        <w:rPr>
          <w:szCs w:val="28"/>
        </w:rPr>
      </w:pPr>
      <w:r>
        <w:rPr>
          <w:rFonts w:hint="eastAsia"/>
          <w:szCs w:val="28"/>
        </w:rPr>
        <w:t>（3）若配置的安全管理人员未经专门的培训，专业技术能力不足，可能造成对安全生产隐患查找不出，对作业人员的违规、违章行为不能辨别，不能起到安全监管的作用。</w:t>
      </w:r>
    </w:p>
    <w:p w14:paraId="1FFFBDF7">
      <w:pPr>
        <w:adjustRightInd w:val="0"/>
        <w:snapToGrid w:val="0"/>
        <w:spacing w:line="360" w:lineRule="auto"/>
        <w:ind w:firstLine="560"/>
        <w:rPr>
          <w:szCs w:val="28"/>
        </w:rPr>
      </w:pPr>
      <w:r>
        <w:rPr>
          <w:rFonts w:hint="eastAsia"/>
          <w:szCs w:val="28"/>
        </w:rPr>
        <w:t>（4）员工是企业安全生产规章制度、安全操作规程和生产作业的直接实施人，若员工的安全意识不强，安全知识缺乏，法律法规、标准规范和企业的安全管理规章制度、操作规程等不熟悉、不了解，在生产过程中，易出现违章、违规活动，导致安全事故的发生。</w:t>
      </w:r>
    </w:p>
    <w:p w14:paraId="31276860">
      <w:pPr>
        <w:adjustRightInd w:val="0"/>
        <w:snapToGrid w:val="0"/>
        <w:spacing w:line="360" w:lineRule="auto"/>
        <w:ind w:firstLine="560"/>
        <w:rPr>
          <w:szCs w:val="28"/>
        </w:rPr>
      </w:pPr>
      <w:r>
        <w:rPr>
          <w:rFonts w:hint="eastAsia"/>
          <w:szCs w:val="28"/>
        </w:rPr>
        <w:t>（5）安全管理规章制度是对企业员工安全生产行为的规范、管理，若安全管理规章制度不健全，将出现安全管理漏洞，无章可循，从而可能导致安全生产事故发生。</w:t>
      </w:r>
    </w:p>
    <w:p w14:paraId="4FDBF4D4">
      <w:pPr>
        <w:adjustRightInd w:val="0"/>
        <w:snapToGrid w:val="0"/>
        <w:spacing w:line="360" w:lineRule="auto"/>
        <w:ind w:firstLine="560"/>
        <w:rPr>
          <w:szCs w:val="28"/>
        </w:rPr>
      </w:pPr>
      <w:r>
        <w:rPr>
          <w:rFonts w:hint="eastAsia"/>
          <w:szCs w:val="28"/>
        </w:rPr>
        <w:t>（6）安全生产责任是对企业各部门、人员的安全生产职责进行规定，明确其应承担的安全生产职责，要求“横向到边、纵向到底”，若安全生产责任制不明确，未分配到个人，部门和人员对其职责不明确，一旦发生事故，将出现责任推诿现象。</w:t>
      </w:r>
    </w:p>
    <w:p w14:paraId="444C4D92">
      <w:pPr>
        <w:adjustRightInd w:val="0"/>
        <w:snapToGrid w:val="0"/>
        <w:spacing w:line="360" w:lineRule="auto"/>
        <w:ind w:firstLine="560"/>
        <w:rPr>
          <w:szCs w:val="28"/>
        </w:rPr>
      </w:pPr>
      <w:r>
        <w:rPr>
          <w:rFonts w:hint="eastAsia"/>
          <w:szCs w:val="28"/>
        </w:rPr>
        <w:t>（7）安全操作规程规定了作业的安全注意事项，按照合理的安全操作规程进行作业，可避免安全事故的发生。若安全操作规程不健全，内容规定不合理，执行不到位，易导致安全事故的发生。</w:t>
      </w:r>
    </w:p>
    <w:p w14:paraId="3E48AABD">
      <w:pPr>
        <w:adjustRightInd w:val="0"/>
        <w:snapToGrid w:val="0"/>
        <w:spacing w:line="360" w:lineRule="auto"/>
        <w:ind w:firstLine="560"/>
        <w:rPr>
          <w:szCs w:val="28"/>
        </w:rPr>
      </w:pPr>
      <w:r>
        <w:rPr>
          <w:rFonts w:hint="eastAsia"/>
          <w:szCs w:val="28"/>
        </w:rPr>
        <w:t>（8）劳动防护用品是保障从业人员劳动卫生安全。若劳动防护用品质量不符合标准要求，选择的劳动防护用品不当，未按规定佩戴劳动防护用品，可能造成从业人员伤害。</w:t>
      </w:r>
    </w:p>
    <w:p w14:paraId="04CAE031">
      <w:pPr>
        <w:adjustRightInd w:val="0"/>
        <w:snapToGrid w:val="0"/>
        <w:spacing w:line="360" w:lineRule="auto"/>
        <w:ind w:firstLine="560"/>
        <w:rPr>
          <w:szCs w:val="28"/>
        </w:rPr>
      </w:pPr>
      <w:r>
        <w:rPr>
          <w:rFonts w:hint="eastAsia"/>
          <w:szCs w:val="28"/>
        </w:rPr>
        <w:t>（9）特种设备是企业生产过程中危险性较大的设备，若特种设备使用不当、未定期进行检维修、设备存在缺陷、安全附件失效等因素，易导致安全事故的发生。</w:t>
      </w:r>
    </w:p>
    <w:p w14:paraId="16354E43">
      <w:pPr>
        <w:adjustRightInd w:val="0"/>
        <w:snapToGrid w:val="0"/>
        <w:spacing w:line="360" w:lineRule="auto"/>
        <w:ind w:firstLine="560"/>
        <w:rPr>
          <w:szCs w:val="28"/>
        </w:rPr>
      </w:pPr>
      <w:r>
        <w:rPr>
          <w:rFonts w:hint="eastAsia"/>
          <w:szCs w:val="28"/>
        </w:rPr>
        <w:t>（1</w:t>
      </w:r>
      <w:r>
        <w:rPr>
          <w:szCs w:val="28"/>
        </w:rPr>
        <w:t>0</w:t>
      </w:r>
      <w:r>
        <w:rPr>
          <w:rFonts w:hint="eastAsia"/>
          <w:szCs w:val="28"/>
        </w:rPr>
        <w:t>）生产安全检查包括例行检查、季节检查、节日检查、综合检查、专业检查、巡回检查等。企业若未做好相应的生产安全检查工作，对生产现场存在的安全隐患不能及时采取措施进行处理，可能造成安全事故发生；对作业人员存在的违章、违规作业没有及时指出和纠正，也可能造成安全事故发生。</w:t>
      </w:r>
    </w:p>
    <w:p w14:paraId="16080D86">
      <w:pPr>
        <w:adjustRightInd w:val="0"/>
        <w:snapToGrid w:val="0"/>
        <w:spacing w:line="360" w:lineRule="auto"/>
        <w:ind w:firstLine="560"/>
        <w:rPr>
          <w:szCs w:val="28"/>
        </w:rPr>
      </w:pPr>
      <w:r>
        <w:rPr>
          <w:rFonts w:hint="eastAsia"/>
          <w:szCs w:val="28"/>
        </w:rPr>
        <w:t>（1</w:t>
      </w:r>
      <w:r>
        <w:rPr>
          <w:szCs w:val="28"/>
        </w:rPr>
        <w:t>1</w:t>
      </w:r>
      <w:r>
        <w:rPr>
          <w:rFonts w:hint="eastAsia"/>
          <w:szCs w:val="28"/>
        </w:rPr>
        <w:t>）工伤保险和商业保险一方面是降低企业的经营风险，另一方面也使从业人员发生事故后可以得到经济上的赔偿。若企业没有给从业人员购买工伤保险，一旦发生事故后，企业将自己承担从业人员的经济赔偿，对企业造成严重的经济负担，若企业不负责任，躲逃惩罚，从业人员的经济赔偿也不能得到保障。</w:t>
      </w:r>
    </w:p>
    <w:p w14:paraId="4DFB9576">
      <w:pPr>
        <w:adjustRightInd w:val="0"/>
        <w:snapToGrid w:val="0"/>
        <w:spacing w:line="360" w:lineRule="auto"/>
        <w:ind w:firstLine="560"/>
        <w:rPr>
          <w:szCs w:val="28"/>
        </w:rPr>
      </w:pPr>
      <w:r>
        <w:rPr>
          <w:rFonts w:hint="eastAsia"/>
          <w:szCs w:val="28"/>
        </w:rPr>
        <w:t>（1</w:t>
      </w:r>
      <w:r>
        <w:rPr>
          <w:szCs w:val="28"/>
        </w:rPr>
        <w:t>2</w:t>
      </w:r>
      <w:r>
        <w:rPr>
          <w:rFonts w:hint="eastAsia"/>
          <w:szCs w:val="28"/>
        </w:rPr>
        <w:t>）企业若配备的应急救援人员不具备相应的专业知识和应急救援能力，将可能造成事故救援迟缓、救援混乱、或救援处置不当，导致事故扩大。如未根据矿山状况完善事故应急救援预案，事故发生后将不能及时有效的组织应急救援活动。若未配置合适和足量的应急救援物资，可能造成救援迟缓。若参加救援的人员未进行相应的培训，可能造成救援不力，甚至造成救援人员自身发生安全事故；若未对预案涉及到的当地部门和居民做好宣传教育和告知工作，事故发生时，由于当地部门未配合好救援工作，或当地居民由于恐慌，撤离路线不正确，可能造成事故扩大或救援不力。若未定期进行应急预案的演练，对应急预案是否符合，是否存在问题不清楚，不能及时改进应急预案，将造成应急预案不具有可操作性。事故应急救援预案如没有进行备案，将不利于事故应急救援，如未签订矿山救护协议，将影响事故救援。</w:t>
      </w:r>
    </w:p>
    <w:p w14:paraId="670C5F4F">
      <w:pPr>
        <w:widowControl/>
        <w:spacing w:line="240" w:lineRule="auto"/>
        <w:ind w:firstLine="0" w:firstLineChars="0"/>
        <w:jc w:val="left"/>
        <w:rPr>
          <w:rFonts w:asciiTheme="minorHAnsi" w:hAnsiTheme="minorHAnsi" w:cstheme="minorHAnsi"/>
          <w:b/>
          <w:szCs w:val="28"/>
        </w:rPr>
      </w:pPr>
      <w:r>
        <w:rPr>
          <w:rFonts w:asciiTheme="minorHAnsi" w:hAnsiTheme="minorHAnsi" w:cstheme="minorHAnsi"/>
          <w:b/>
          <w:szCs w:val="28"/>
        </w:rPr>
        <w:br w:type="page"/>
      </w:r>
    </w:p>
    <w:p w14:paraId="158F2CE9">
      <w:pPr>
        <w:adjustRightInd w:val="0"/>
        <w:snapToGrid w:val="0"/>
        <w:spacing w:line="360" w:lineRule="auto"/>
        <w:ind w:firstLine="0" w:firstLineChars="0"/>
        <w:outlineLvl w:val="2"/>
        <w:rPr>
          <w:rFonts w:asciiTheme="minorHAnsi" w:hAnsiTheme="minorHAnsi" w:cstheme="minorHAnsi"/>
          <w:b/>
          <w:szCs w:val="28"/>
        </w:rPr>
      </w:pPr>
      <w:r>
        <w:rPr>
          <w:rFonts w:hint="eastAsia" w:asciiTheme="minorHAnsi" w:hAnsiTheme="minorHAnsi" w:cstheme="minorHAnsi"/>
          <w:b/>
          <w:szCs w:val="28"/>
        </w:rPr>
        <w:t>3</w:t>
      </w:r>
      <w:r>
        <w:rPr>
          <w:rFonts w:asciiTheme="minorHAnsi" w:hAnsiTheme="minorHAnsi" w:cstheme="minorHAnsi"/>
          <w:b/>
          <w:szCs w:val="28"/>
        </w:rPr>
        <w:t>.10.2</w:t>
      </w:r>
      <w:r>
        <w:rPr>
          <w:rFonts w:hint="eastAsia" w:asciiTheme="minorHAnsi" w:hAnsiTheme="minorHAnsi" w:cstheme="minorHAnsi"/>
          <w:b/>
          <w:szCs w:val="28"/>
        </w:rPr>
        <w:t>安全管理安全检查表</w:t>
      </w:r>
    </w:p>
    <w:p w14:paraId="30BA9B78">
      <w:pPr>
        <w:snapToGrid w:val="0"/>
        <w:spacing w:line="360" w:lineRule="auto"/>
        <w:ind w:firstLine="560"/>
        <w:rPr>
          <w:rFonts w:cs="Times New Roman"/>
        </w:rPr>
      </w:pPr>
      <w:r>
        <w:rPr>
          <w:rFonts w:hint="eastAsia" w:cs="Times New Roman"/>
        </w:rPr>
        <w:t>根据《中华人民共和国安全生产法》、《非煤矿矿山企业安全生产许可证实施办法》、《应急管理部关于修改〈生产安全事故应急预案管理办法〉的决定》、《非煤矿山外包工程安全管理暂行办法》等法律法规的相关规定，采用安全检查表法对安全管理进行了分析评价，详见表</w:t>
      </w:r>
      <w:r>
        <w:rPr>
          <w:rFonts w:cs="Times New Roman"/>
        </w:rPr>
        <w:t>3.10-1</w:t>
      </w:r>
      <w:r>
        <w:rPr>
          <w:rFonts w:hint="eastAsia" w:cs="Times New Roman"/>
        </w:rPr>
        <w:t>。</w:t>
      </w:r>
    </w:p>
    <w:p w14:paraId="01EB269C">
      <w:pPr>
        <w:snapToGrid w:val="0"/>
        <w:spacing w:line="360" w:lineRule="auto"/>
        <w:ind w:firstLine="0" w:firstLineChars="0"/>
        <w:jc w:val="center"/>
        <w:rPr>
          <w:rFonts w:cs="Times New Roman"/>
          <w:bCs/>
          <w:szCs w:val="24"/>
        </w:rPr>
      </w:pPr>
      <w:r>
        <w:rPr>
          <w:rFonts w:hint="eastAsia" w:cs="Times New Roman"/>
          <w:bCs/>
          <w:szCs w:val="24"/>
        </w:rPr>
        <w:t>表</w:t>
      </w:r>
      <w:r>
        <w:rPr>
          <w:rFonts w:cs="Times New Roman"/>
          <w:bCs/>
          <w:szCs w:val="24"/>
        </w:rPr>
        <w:t>3.10-1安全管理单元安全检查表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3769"/>
        <w:gridCol w:w="2356"/>
        <w:gridCol w:w="2356"/>
        <w:gridCol w:w="559"/>
      </w:tblGrid>
      <w:tr w14:paraId="30ECB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49" w:type="pct"/>
            <w:vAlign w:val="center"/>
          </w:tcPr>
          <w:p w14:paraId="3534E43F">
            <w:pPr>
              <w:spacing w:line="360" w:lineRule="exact"/>
              <w:ind w:left="-56" w:leftChars="-20" w:right="-56" w:rightChars="-20" w:firstLine="0" w:firstLineChars="0"/>
              <w:jc w:val="center"/>
              <w:rPr>
                <w:rFonts w:cs="Times New Roman"/>
                <w:sz w:val="21"/>
              </w:rPr>
            </w:pPr>
            <w:r>
              <w:rPr>
                <w:rFonts w:hint="eastAsia" w:cs="Times New Roman"/>
                <w:sz w:val="21"/>
              </w:rPr>
              <w:t>序号</w:t>
            </w:r>
          </w:p>
        </w:tc>
        <w:tc>
          <w:tcPr>
            <w:tcW w:w="1981" w:type="pct"/>
            <w:vAlign w:val="center"/>
          </w:tcPr>
          <w:p w14:paraId="492519DC">
            <w:pPr>
              <w:spacing w:line="360" w:lineRule="exact"/>
              <w:ind w:left="-56" w:leftChars="-20" w:right="-56" w:rightChars="-20" w:firstLine="0" w:firstLineChars="0"/>
              <w:jc w:val="center"/>
              <w:rPr>
                <w:rFonts w:cs="Times New Roman"/>
                <w:sz w:val="21"/>
              </w:rPr>
            </w:pPr>
            <w:r>
              <w:rPr>
                <w:rFonts w:hint="eastAsia" w:cs="Times New Roman"/>
                <w:sz w:val="21"/>
              </w:rPr>
              <w:t>检查要求</w:t>
            </w:r>
          </w:p>
        </w:tc>
        <w:tc>
          <w:tcPr>
            <w:tcW w:w="1238" w:type="pct"/>
            <w:vAlign w:val="center"/>
          </w:tcPr>
          <w:p w14:paraId="2F5DD6A7">
            <w:pPr>
              <w:spacing w:line="360" w:lineRule="exact"/>
              <w:ind w:left="-56" w:leftChars="-20" w:right="-56" w:rightChars="-20" w:firstLine="0" w:firstLineChars="0"/>
              <w:jc w:val="center"/>
              <w:rPr>
                <w:rFonts w:cs="Times New Roman"/>
                <w:sz w:val="21"/>
              </w:rPr>
            </w:pPr>
            <w:r>
              <w:rPr>
                <w:rFonts w:hint="eastAsia" w:cs="Times New Roman"/>
                <w:sz w:val="21"/>
              </w:rPr>
              <w:t>检查依据</w:t>
            </w:r>
          </w:p>
        </w:tc>
        <w:tc>
          <w:tcPr>
            <w:tcW w:w="1238" w:type="pct"/>
            <w:vAlign w:val="center"/>
          </w:tcPr>
          <w:p w14:paraId="3E009451">
            <w:pPr>
              <w:spacing w:line="360" w:lineRule="exact"/>
              <w:ind w:left="-56" w:leftChars="-20" w:right="-56" w:rightChars="-20" w:firstLine="0" w:firstLineChars="0"/>
              <w:jc w:val="center"/>
              <w:rPr>
                <w:rFonts w:cs="Times New Roman"/>
                <w:sz w:val="21"/>
              </w:rPr>
            </w:pPr>
            <w:r>
              <w:rPr>
                <w:rFonts w:hint="eastAsia" w:cs="Times New Roman"/>
                <w:sz w:val="21"/>
              </w:rPr>
              <w:t>检查情况</w:t>
            </w:r>
          </w:p>
        </w:tc>
        <w:tc>
          <w:tcPr>
            <w:tcW w:w="294" w:type="pct"/>
            <w:vAlign w:val="center"/>
          </w:tcPr>
          <w:p w14:paraId="3746C47D">
            <w:pPr>
              <w:spacing w:line="360" w:lineRule="exact"/>
              <w:ind w:left="-56" w:leftChars="-20" w:right="-56" w:rightChars="-20" w:firstLine="0" w:firstLineChars="0"/>
              <w:jc w:val="center"/>
              <w:rPr>
                <w:rFonts w:cs="Times New Roman"/>
                <w:sz w:val="21"/>
              </w:rPr>
            </w:pPr>
            <w:r>
              <w:rPr>
                <w:rFonts w:hint="eastAsia" w:cs="Times New Roman"/>
                <w:sz w:val="21"/>
              </w:rPr>
              <w:t>检查结果</w:t>
            </w:r>
          </w:p>
        </w:tc>
      </w:tr>
      <w:tr w14:paraId="5A041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04A14891">
            <w:pPr>
              <w:spacing w:line="360" w:lineRule="exact"/>
              <w:ind w:left="-56" w:leftChars="-20" w:right="-56" w:rightChars="-20" w:firstLine="0" w:firstLineChars="0"/>
              <w:jc w:val="center"/>
              <w:rPr>
                <w:rFonts w:cs="Times New Roman"/>
                <w:sz w:val="21"/>
              </w:rPr>
            </w:pPr>
            <w:r>
              <w:rPr>
                <w:rFonts w:hint="eastAsia" w:cs="Times New Roman"/>
                <w:sz w:val="21"/>
              </w:rPr>
              <w:t>1</w:t>
            </w:r>
          </w:p>
        </w:tc>
        <w:tc>
          <w:tcPr>
            <w:tcW w:w="1981" w:type="pct"/>
            <w:vAlign w:val="center"/>
          </w:tcPr>
          <w:p w14:paraId="3A699AA6">
            <w:pPr>
              <w:spacing w:line="360" w:lineRule="exact"/>
              <w:ind w:left="-56" w:leftChars="-20" w:right="-56" w:rightChars="-20" w:firstLine="0" w:firstLineChars="0"/>
              <w:rPr>
                <w:rFonts w:cs="Times New Roman"/>
                <w:sz w:val="21"/>
              </w:rPr>
            </w:pPr>
            <w:r>
              <w:rPr>
                <w:rFonts w:hint="eastAsia" w:cs="Times New Roman"/>
                <w:sz w:val="21"/>
              </w:rPr>
              <w:t>矿山企业应设置安全生产管理机构或配备专职安全生产管理人员；从业人员超过一百人的应当设置安全生产管理机构或配备专职安全生产管理人员。</w:t>
            </w:r>
          </w:p>
        </w:tc>
        <w:tc>
          <w:tcPr>
            <w:tcW w:w="1238" w:type="pct"/>
            <w:vAlign w:val="center"/>
          </w:tcPr>
          <w:p w14:paraId="005EA016">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《中华人民共和国安全生产法》第二十四条</w:t>
            </w:r>
          </w:p>
        </w:tc>
        <w:tc>
          <w:tcPr>
            <w:tcW w:w="1238" w:type="pct"/>
            <w:vAlign w:val="center"/>
          </w:tcPr>
          <w:p w14:paraId="49300DEF">
            <w:pPr>
              <w:spacing w:line="360" w:lineRule="exact"/>
              <w:ind w:left="-56" w:leftChars="-20" w:right="-56" w:rightChars="-20" w:firstLine="0" w:firstLineChars="0"/>
              <w:rPr>
                <w:rFonts w:cs="Times New Roman"/>
                <w:sz w:val="21"/>
              </w:rPr>
            </w:pPr>
            <w:r>
              <w:rPr>
                <w:rFonts w:hint="eastAsia" w:cs="Times New Roman"/>
                <w:sz w:val="21"/>
              </w:rPr>
              <w:t>设计要求安全领导小组，成立安全管理机构，</w:t>
            </w:r>
            <w:r>
              <w:rPr>
                <w:rFonts w:cs="Times New Roman"/>
                <w:sz w:val="21"/>
              </w:rPr>
              <w:t>负责矿山日常安全生产管理工作</w:t>
            </w:r>
            <w:r>
              <w:rPr>
                <w:rFonts w:hint="eastAsia" w:cs="Times New Roman"/>
                <w:sz w:val="21"/>
              </w:rPr>
              <w:t>；配备有专职安全生产管理人员。</w:t>
            </w:r>
          </w:p>
        </w:tc>
        <w:tc>
          <w:tcPr>
            <w:tcW w:w="294" w:type="pct"/>
            <w:vAlign w:val="center"/>
          </w:tcPr>
          <w:p w14:paraId="53936E87">
            <w:pPr>
              <w:spacing w:line="360" w:lineRule="exact"/>
              <w:ind w:left="-56" w:leftChars="-20" w:right="-56" w:rightChars="-20" w:firstLine="0" w:firstLineChars="0"/>
              <w:jc w:val="center"/>
              <w:rPr>
                <w:rFonts w:cs="Times New Roman"/>
                <w:sz w:val="21"/>
              </w:rPr>
            </w:pPr>
            <w:r>
              <w:rPr>
                <w:rFonts w:hint="eastAsia" w:cs="Times New Roman"/>
                <w:sz w:val="21"/>
              </w:rPr>
              <w:t>符合要求</w:t>
            </w:r>
          </w:p>
        </w:tc>
      </w:tr>
      <w:tr w14:paraId="16863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6B0230AA">
            <w:pPr>
              <w:spacing w:line="360" w:lineRule="exact"/>
              <w:ind w:left="-56" w:leftChars="-20" w:right="-56" w:rightChars="-20" w:firstLine="0" w:firstLineChars="0"/>
              <w:jc w:val="center"/>
              <w:rPr>
                <w:rFonts w:cs="Times New Roman"/>
                <w:sz w:val="21"/>
              </w:rPr>
            </w:pPr>
            <w:r>
              <w:rPr>
                <w:rFonts w:hint="eastAsia" w:cs="Times New Roman"/>
                <w:sz w:val="21"/>
              </w:rPr>
              <w:t>2</w:t>
            </w:r>
          </w:p>
        </w:tc>
        <w:tc>
          <w:tcPr>
            <w:tcW w:w="1981" w:type="pct"/>
            <w:vAlign w:val="center"/>
          </w:tcPr>
          <w:p w14:paraId="4E11D654">
            <w:pPr>
              <w:spacing w:line="360" w:lineRule="exact"/>
              <w:ind w:left="-56" w:leftChars="-20" w:right="-56" w:rightChars="-20" w:firstLine="0" w:firstLineChars="0"/>
              <w:rPr>
                <w:rFonts w:cs="Times New Roman"/>
                <w:sz w:val="21"/>
              </w:rPr>
            </w:pPr>
            <w:r>
              <w:rPr>
                <w:rFonts w:hint="eastAsia" w:cs="Times New Roman"/>
                <w:sz w:val="21"/>
              </w:rPr>
              <w:t>矿山企业要建立健全以法定代表人负责制为核心的各级安全生产责任制。在此基础上，要健全完善安全目标管理、安全例会、安全检查、安全教育培训、生产技术管理、机电设备管理、劳动管理、安全费用提取与使用、重大危险源监控、安全生产隐患排查治理、安全技术措施审批、劳动防护用品管理、职业危害预防、生产安全事故报告和应急管理、安全生产奖惩、安全生产档案管理等制度，以及各类安全技术规程、操作规程等。</w:t>
            </w:r>
          </w:p>
        </w:tc>
        <w:tc>
          <w:tcPr>
            <w:tcW w:w="1238" w:type="pct"/>
            <w:vAlign w:val="center"/>
          </w:tcPr>
          <w:p w14:paraId="1D583600">
            <w:pPr>
              <w:spacing w:line="360" w:lineRule="exact"/>
              <w:ind w:left="-56" w:leftChars="-20" w:right="-56" w:rightChars="-20" w:firstLine="0" w:firstLineChars="0"/>
              <w:jc w:val="center"/>
              <w:rPr>
                <w:rFonts w:cs="Times New Roman"/>
                <w:sz w:val="21"/>
              </w:rPr>
            </w:pPr>
            <w:r>
              <w:rPr>
                <w:rFonts w:hint="eastAsia" w:cs="Times New Roman"/>
                <w:sz w:val="21"/>
              </w:rPr>
              <w:t>《非煤矿矿山企业安全生产许可证实施办法》第六条</w:t>
            </w:r>
          </w:p>
        </w:tc>
        <w:tc>
          <w:tcPr>
            <w:tcW w:w="1238" w:type="pct"/>
            <w:vAlign w:val="center"/>
          </w:tcPr>
          <w:p w14:paraId="5C1C5D8A">
            <w:pPr>
              <w:spacing w:line="360" w:lineRule="exact"/>
              <w:ind w:left="-56" w:leftChars="-20" w:right="-56" w:rightChars="-20" w:firstLine="0" w:firstLineChars="0"/>
              <w:rPr>
                <w:rFonts w:cs="Times New Roman"/>
                <w:sz w:val="21"/>
              </w:rPr>
            </w:pPr>
            <w:r>
              <w:rPr>
                <w:rFonts w:hint="eastAsia" w:cs="Times New Roman"/>
                <w:bCs/>
                <w:sz w:val="21"/>
              </w:rPr>
              <w:t>根据可研要求，企业应按照要求制定全员安全生产责任制，并根据矿山各工种的要求，制定岗位安全生产责任制以及各岗位安全操作规程，对相关技术操作人员进行规范。安全管理制度应包括安全目标管理制度、安全例会制度、安全生产检查制度、安全教育培训制度、设备安全管理制度、危险源管理制度、隐患排查与整改制度、安全技术措施审批制度、劳动防护用品管理制度、生产安全事故管理制度、应急管理制度、安全生产奖惩制度、安全生产档案管理制度等规章制度。</w:t>
            </w:r>
          </w:p>
        </w:tc>
        <w:tc>
          <w:tcPr>
            <w:tcW w:w="294" w:type="pct"/>
            <w:vAlign w:val="center"/>
          </w:tcPr>
          <w:p w14:paraId="473D522C">
            <w:pPr>
              <w:spacing w:line="360" w:lineRule="exact"/>
              <w:ind w:left="-56" w:leftChars="-20" w:right="-56" w:rightChars="-20" w:firstLine="0" w:firstLineChars="0"/>
              <w:jc w:val="center"/>
              <w:rPr>
                <w:rFonts w:cs="Times New Roman"/>
                <w:sz w:val="21"/>
              </w:rPr>
            </w:pPr>
            <w:r>
              <w:rPr>
                <w:rFonts w:hint="eastAsia" w:cs="Times New Roman"/>
                <w:sz w:val="21"/>
              </w:rPr>
              <w:t>符合要求</w:t>
            </w:r>
          </w:p>
        </w:tc>
      </w:tr>
      <w:tr w14:paraId="2C6F7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34EE93A1">
            <w:pPr>
              <w:spacing w:line="360" w:lineRule="exact"/>
              <w:ind w:left="-56" w:leftChars="-20" w:right="-56" w:rightChars="-20" w:firstLine="0" w:firstLineChars="0"/>
              <w:jc w:val="center"/>
              <w:rPr>
                <w:rFonts w:cs="Times New Roman"/>
                <w:sz w:val="21"/>
              </w:rPr>
            </w:pPr>
            <w:r>
              <w:rPr>
                <w:rFonts w:hint="eastAsia" w:cs="Times New Roman"/>
                <w:sz w:val="21"/>
              </w:rPr>
              <w:t>3</w:t>
            </w:r>
          </w:p>
        </w:tc>
        <w:tc>
          <w:tcPr>
            <w:tcW w:w="1981" w:type="pct"/>
            <w:vAlign w:val="center"/>
          </w:tcPr>
          <w:p w14:paraId="3FA25BB5">
            <w:pPr>
              <w:spacing w:line="360" w:lineRule="exact"/>
              <w:ind w:left="-56" w:leftChars="-20" w:right="-56" w:rightChars="-20" w:firstLine="0" w:firstLineChars="0"/>
              <w:rPr>
                <w:rFonts w:cs="Times New Roman"/>
                <w:sz w:val="21"/>
              </w:rPr>
            </w:pPr>
            <w:r>
              <w:rPr>
                <w:rFonts w:hint="eastAsia" w:cs="Times New Roman"/>
                <w:sz w:val="21"/>
              </w:rPr>
              <w:t>矿山企业应对职工进行安全生产教育和培训，未经安全生产教育和培训合格的不应上岗作业。</w:t>
            </w:r>
          </w:p>
        </w:tc>
        <w:tc>
          <w:tcPr>
            <w:tcW w:w="1238" w:type="pct"/>
            <w:vAlign w:val="center"/>
          </w:tcPr>
          <w:p w14:paraId="52A50EE3">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《中华人民共和国安全生产法》第二十八条</w:t>
            </w:r>
          </w:p>
        </w:tc>
        <w:tc>
          <w:tcPr>
            <w:tcW w:w="1238" w:type="pct"/>
            <w:vAlign w:val="center"/>
          </w:tcPr>
          <w:p w14:paraId="2138F608">
            <w:pPr>
              <w:spacing w:line="360" w:lineRule="exact"/>
              <w:ind w:left="-56" w:leftChars="-20" w:right="-56" w:rightChars="-20" w:firstLine="0" w:firstLineChars="0"/>
              <w:rPr>
                <w:rFonts w:cs="Times New Roman"/>
                <w:sz w:val="21"/>
              </w:rPr>
            </w:pPr>
            <w:r>
              <w:rPr>
                <w:rFonts w:hint="eastAsia" w:cs="Times New Roman"/>
                <w:bCs/>
                <w:sz w:val="21"/>
              </w:rPr>
              <w:t>根据可研要求，企业应经常对全体员工进行劳动安全与工业卫生教育。</w:t>
            </w:r>
          </w:p>
        </w:tc>
        <w:tc>
          <w:tcPr>
            <w:tcW w:w="294" w:type="pct"/>
            <w:vAlign w:val="center"/>
          </w:tcPr>
          <w:p w14:paraId="21434309">
            <w:pPr>
              <w:spacing w:line="360" w:lineRule="exact"/>
              <w:ind w:left="-56" w:leftChars="-20" w:right="-56" w:rightChars="-20" w:firstLine="0" w:firstLineChars="0"/>
              <w:jc w:val="center"/>
              <w:rPr>
                <w:rFonts w:cs="Times New Roman"/>
                <w:sz w:val="21"/>
              </w:rPr>
            </w:pPr>
            <w:r>
              <w:rPr>
                <w:rFonts w:hint="eastAsia" w:cs="Times New Roman"/>
                <w:sz w:val="21"/>
              </w:rPr>
              <w:t>符合要求</w:t>
            </w:r>
          </w:p>
        </w:tc>
      </w:tr>
      <w:tr w14:paraId="7274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4B4C25C9">
            <w:pPr>
              <w:spacing w:line="360" w:lineRule="exact"/>
              <w:ind w:left="-56" w:leftChars="-20" w:right="-56" w:rightChars="-20" w:firstLine="0" w:firstLineChars="0"/>
              <w:jc w:val="center"/>
              <w:rPr>
                <w:rFonts w:cs="Times New Roman"/>
                <w:sz w:val="21"/>
              </w:rPr>
            </w:pPr>
            <w:r>
              <w:rPr>
                <w:rFonts w:hint="eastAsia" w:cs="Times New Roman"/>
                <w:sz w:val="21"/>
              </w:rPr>
              <w:t>4</w:t>
            </w:r>
          </w:p>
        </w:tc>
        <w:tc>
          <w:tcPr>
            <w:tcW w:w="1981" w:type="pct"/>
            <w:vAlign w:val="center"/>
          </w:tcPr>
          <w:p w14:paraId="43527DDD">
            <w:pPr>
              <w:spacing w:line="360" w:lineRule="exact"/>
              <w:ind w:left="-56" w:leftChars="-20" w:right="-56" w:rightChars="-20" w:firstLine="0" w:firstLineChars="0"/>
              <w:rPr>
                <w:rFonts w:cs="Times New Roman"/>
                <w:sz w:val="21"/>
              </w:rPr>
            </w:pPr>
            <w:r>
              <w:rPr>
                <w:rFonts w:hint="eastAsia" w:cs="Times New Roman"/>
                <w:sz w:val="21"/>
              </w:rPr>
              <w:t>矿山企业必须为从业人员提供符合国家标准或者行业标准的劳动防护用品，并监督、教育从业人员按照使用规则佩戴、使用。</w:t>
            </w:r>
          </w:p>
        </w:tc>
        <w:tc>
          <w:tcPr>
            <w:tcW w:w="1238" w:type="pct"/>
            <w:vAlign w:val="center"/>
          </w:tcPr>
          <w:p w14:paraId="4EB36C10">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《中华人民共和国安全生产法》第四十五条</w:t>
            </w:r>
          </w:p>
        </w:tc>
        <w:tc>
          <w:tcPr>
            <w:tcW w:w="1238" w:type="pct"/>
            <w:vAlign w:val="center"/>
          </w:tcPr>
          <w:p w14:paraId="5445876A">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0A68D30A">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3BBB3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08954DB3">
            <w:pPr>
              <w:spacing w:line="360" w:lineRule="exact"/>
              <w:ind w:left="-56" w:leftChars="-20" w:right="-56" w:rightChars="-20" w:firstLine="0" w:firstLineChars="0"/>
              <w:jc w:val="center"/>
              <w:rPr>
                <w:rFonts w:cs="Times New Roman"/>
                <w:sz w:val="21"/>
              </w:rPr>
            </w:pPr>
            <w:r>
              <w:rPr>
                <w:rFonts w:hint="eastAsia" w:cs="Times New Roman"/>
                <w:sz w:val="21"/>
              </w:rPr>
              <w:t>5</w:t>
            </w:r>
          </w:p>
        </w:tc>
        <w:tc>
          <w:tcPr>
            <w:tcW w:w="1981" w:type="pct"/>
            <w:vAlign w:val="center"/>
          </w:tcPr>
          <w:p w14:paraId="62D2880B">
            <w:pPr>
              <w:spacing w:line="360" w:lineRule="exact"/>
              <w:ind w:left="-56" w:leftChars="-20" w:right="-56" w:rightChars="-20" w:firstLine="0" w:firstLineChars="0"/>
              <w:rPr>
                <w:rFonts w:cs="Times New Roman"/>
                <w:sz w:val="21"/>
              </w:rPr>
            </w:pPr>
            <w:r>
              <w:rPr>
                <w:rFonts w:hint="eastAsia" w:cs="Times New Roman"/>
                <w:sz w:val="21"/>
              </w:rPr>
              <w:t>矿山企业应为从业人员办理工伤保险，因特殊情况不能办理工伤保险的，可以办理安全生产责任保险或者雇主责任保险。</w:t>
            </w:r>
          </w:p>
        </w:tc>
        <w:tc>
          <w:tcPr>
            <w:tcW w:w="1238" w:type="pct"/>
            <w:vAlign w:val="center"/>
          </w:tcPr>
          <w:p w14:paraId="41B9FACB">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《中华人民共和国安全生产法》第五十一条</w:t>
            </w:r>
          </w:p>
        </w:tc>
        <w:tc>
          <w:tcPr>
            <w:tcW w:w="1238" w:type="pct"/>
            <w:vAlign w:val="center"/>
          </w:tcPr>
          <w:p w14:paraId="16D70DB3">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5335383C">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1476A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181686C4">
            <w:pPr>
              <w:spacing w:line="360" w:lineRule="exact"/>
              <w:ind w:left="-56" w:leftChars="-20" w:right="-56" w:rightChars="-20" w:firstLine="0" w:firstLineChars="0"/>
              <w:jc w:val="center"/>
              <w:rPr>
                <w:rFonts w:cs="Times New Roman"/>
                <w:sz w:val="21"/>
              </w:rPr>
            </w:pPr>
            <w:r>
              <w:rPr>
                <w:rFonts w:hint="eastAsia" w:cs="Times New Roman"/>
                <w:sz w:val="21"/>
              </w:rPr>
              <w:t>6</w:t>
            </w:r>
          </w:p>
        </w:tc>
        <w:tc>
          <w:tcPr>
            <w:tcW w:w="1981" w:type="pct"/>
            <w:vAlign w:val="center"/>
          </w:tcPr>
          <w:p w14:paraId="333CDD74">
            <w:pPr>
              <w:spacing w:line="360" w:lineRule="exact"/>
              <w:ind w:left="-56" w:leftChars="-20" w:right="-56" w:rightChars="-20" w:firstLine="0" w:firstLineChars="0"/>
              <w:rPr>
                <w:rFonts w:cs="Times New Roman"/>
                <w:sz w:val="21"/>
              </w:rPr>
            </w:pPr>
            <w:r>
              <w:rPr>
                <w:rFonts w:hint="eastAsia" w:cs="Times New Roman"/>
                <w:sz w:val="21"/>
              </w:rPr>
              <w:t>矿山企业应根据存在风险的种类、事故类型和重大危险源的情况制定综合应急预案和相应的专项应急预案，风险性较大的重点岗位应制定现场处置方案。应急预案应经过评审，并按照隶属关系向当地县级以上安全生产监督管理部门备案。</w:t>
            </w:r>
          </w:p>
        </w:tc>
        <w:tc>
          <w:tcPr>
            <w:tcW w:w="1238" w:type="pct"/>
            <w:vAlign w:val="center"/>
          </w:tcPr>
          <w:p w14:paraId="41087339">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《中华人民共和国安全生产法》第四十条</w:t>
            </w:r>
          </w:p>
        </w:tc>
        <w:tc>
          <w:tcPr>
            <w:tcW w:w="1238" w:type="pct"/>
            <w:vAlign w:val="center"/>
          </w:tcPr>
          <w:p w14:paraId="7C392181">
            <w:pPr>
              <w:spacing w:line="360" w:lineRule="exact"/>
              <w:ind w:left="-56" w:leftChars="-20" w:right="-56" w:rightChars="-20" w:firstLine="0" w:firstLineChars="0"/>
              <w:rPr>
                <w:rFonts w:cs="Times New Roman"/>
                <w:sz w:val="21"/>
              </w:rPr>
            </w:pPr>
            <w:r>
              <w:rPr>
                <w:rFonts w:hint="eastAsia" w:cs="Times New Roman"/>
                <w:sz w:val="21"/>
              </w:rPr>
              <w:t>根据可研，矿山应组织编写应急预案，应急预案编写后要报当地应急部门备案，</w:t>
            </w:r>
            <w:r>
              <w:rPr>
                <w:rFonts w:hint="eastAsia" w:cs="Times New Roman"/>
                <w:bCs/>
                <w:sz w:val="21"/>
              </w:rPr>
              <w:t>矿山应编制应急救护方案，可与市医疗组织签订协议。</w:t>
            </w:r>
          </w:p>
        </w:tc>
        <w:tc>
          <w:tcPr>
            <w:tcW w:w="294" w:type="pct"/>
            <w:vAlign w:val="center"/>
          </w:tcPr>
          <w:p w14:paraId="36C73CDD">
            <w:pPr>
              <w:spacing w:line="360" w:lineRule="exact"/>
              <w:ind w:left="-56" w:leftChars="-20" w:right="-56" w:rightChars="-20" w:firstLine="0" w:firstLineChars="0"/>
              <w:jc w:val="center"/>
              <w:rPr>
                <w:rFonts w:cs="Times New Roman"/>
                <w:sz w:val="21"/>
              </w:rPr>
            </w:pPr>
            <w:r>
              <w:rPr>
                <w:rFonts w:hint="eastAsia" w:cs="Times New Roman"/>
                <w:sz w:val="21"/>
              </w:rPr>
              <w:t>符合要求</w:t>
            </w:r>
          </w:p>
        </w:tc>
      </w:tr>
      <w:tr w14:paraId="21C8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27C27A2A">
            <w:pPr>
              <w:spacing w:line="360" w:lineRule="exact"/>
              <w:ind w:left="-56" w:leftChars="-20" w:right="-56" w:rightChars="-20" w:firstLine="0" w:firstLineChars="0"/>
              <w:jc w:val="center"/>
              <w:rPr>
                <w:rFonts w:cs="Times New Roman"/>
                <w:sz w:val="21"/>
              </w:rPr>
            </w:pPr>
            <w:r>
              <w:rPr>
                <w:rFonts w:hint="eastAsia" w:cs="Times New Roman"/>
                <w:sz w:val="21"/>
              </w:rPr>
              <w:t>7</w:t>
            </w:r>
          </w:p>
        </w:tc>
        <w:tc>
          <w:tcPr>
            <w:tcW w:w="1981" w:type="pct"/>
            <w:vAlign w:val="center"/>
          </w:tcPr>
          <w:p w14:paraId="6AD5748C">
            <w:pPr>
              <w:spacing w:line="360" w:lineRule="exact"/>
              <w:ind w:left="-56" w:leftChars="-20" w:right="-56" w:rightChars="-20" w:firstLine="0" w:firstLineChars="0"/>
              <w:rPr>
                <w:rFonts w:cs="Times New Roman"/>
                <w:sz w:val="21"/>
              </w:rPr>
            </w:pPr>
            <w:r>
              <w:rPr>
                <w:rFonts w:hint="eastAsia" w:cs="Times New Roman"/>
                <w:sz w:val="21"/>
              </w:rPr>
              <w:t>矿山企业应建立由专职或兼职人员组成的事故应急救援组织</w:t>
            </w:r>
            <w:r>
              <w:rPr>
                <w:rFonts w:cs="Times New Roman"/>
                <w:sz w:val="21"/>
              </w:rPr>
              <w:t>，</w:t>
            </w:r>
            <w:r>
              <w:rPr>
                <w:rFonts w:hint="eastAsia" w:cs="Times New Roman"/>
                <w:sz w:val="21"/>
              </w:rPr>
              <w:t>配备必要的应急救援器材和设备。生产规模较小不必建立事故应急救援组织的，应指定兼职的应急救援人员，并与临近的事故救援组织签订救援协议。</w:t>
            </w:r>
          </w:p>
        </w:tc>
        <w:tc>
          <w:tcPr>
            <w:tcW w:w="1238" w:type="pct"/>
            <w:vAlign w:val="center"/>
          </w:tcPr>
          <w:p w14:paraId="19E51027">
            <w:pPr>
              <w:spacing w:line="360" w:lineRule="exact"/>
              <w:ind w:left="-56" w:leftChars="-20" w:right="-56" w:rightChars="-20" w:firstLine="0" w:firstLineChars="0"/>
              <w:jc w:val="center"/>
              <w:rPr>
                <w:rFonts w:cs="Times New Roman"/>
                <w:sz w:val="21"/>
              </w:rPr>
            </w:pPr>
            <w:r>
              <w:rPr>
                <w:rFonts w:hint="eastAsia" w:cs="Times New Roman"/>
                <w:sz w:val="21"/>
              </w:rPr>
              <w:t>《非煤矿矿山企业安全生产许可证实施办法》第六条</w:t>
            </w:r>
          </w:p>
        </w:tc>
        <w:tc>
          <w:tcPr>
            <w:tcW w:w="1238" w:type="pct"/>
            <w:vAlign w:val="center"/>
          </w:tcPr>
          <w:p w14:paraId="03A97439">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16DC7032">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0BD0E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36DAB055">
            <w:pPr>
              <w:spacing w:line="360" w:lineRule="exact"/>
              <w:ind w:left="-56" w:leftChars="-20" w:right="-56" w:rightChars="-20" w:firstLine="0" w:firstLineChars="0"/>
              <w:jc w:val="center"/>
              <w:rPr>
                <w:rFonts w:cs="Times New Roman"/>
                <w:sz w:val="21"/>
              </w:rPr>
            </w:pPr>
            <w:r>
              <w:rPr>
                <w:rFonts w:hint="eastAsia" w:cs="Times New Roman"/>
                <w:sz w:val="21"/>
              </w:rPr>
              <w:t>8</w:t>
            </w:r>
          </w:p>
        </w:tc>
        <w:tc>
          <w:tcPr>
            <w:tcW w:w="1981" w:type="pct"/>
            <w:vAlign w:val="center"/>
          </w:tcPr>
          <w:p w14:paraId="7EAB746F">
            <w:pPr>
              <w:spacing w:line="360" w:lineRule="exact"/>
              <w:ind w:left="-56" w:leftChars="-20" w:right="-56" w:rightChars="-20" w:firstLine="0" w:firstLineChars="0"/>
              <w:rPr>
                <w:rFonts w:cs="Times New Roman"/>
                <w:sz w:val="21"/>
              </w:rPr>
            </w:pPr>
            <w:r>
              <w:rPr>
                <w:rFonts w:hint="eastAsia" w:cs="Times New Roman"/>
                <w:sz w:val="21"/>
              </w:rPr>
              <w:t>矿山企业应制定应急预案演练计划，每年至少组织一次综合应急预案演练或者专项应急预案演练，每半年至少组织一次现场处置方案演练。</w:t>
            </w:r>
          </w:p>
        </w:tc>
        <w:tc>
          <w:tcPr>
            <w:tcW w:w="1238" w:type="pct"/>
            <w:vAlign w:val="center"/>
          </w:tcPr>
          <w:p w14:paraId="129EB213">
            <w:pPr>
              <w:spacing w:line="360" w:lineRule="exact"/>
              <w:ind w:left="-56" w:leftChars="-20" w:right="-56" w:rightChars="-20" w:firstLine="0" w:firstLineChars="0"/>
              <w:jc w:val="center"/>
              <w:rPr>
                <w:rFonts w:cs="Times New Roman"/>
                <w:sz w:val="21"/>
              </w:rPr>
            </w:pPr>
            <w:r>
              <w:rPr>
                <w:rFonts w:hint="eastAsia" w:cs="Times New Roman"/>
                <w:sz w:val="21"/>
              </w:rPr>
              <w:t>《生产安全事故应急预案管理办法》第三十三条</w:t>
            </w:r>
          </w:p>
        </w:tc>
        <w:tc>
          <w:tcPr>
            <w:tcW w:w="1238" w:type="pct"/>
            <w:vAlign w:val="center"/>
          </w:tcPr>
          <w:p w14:paraId="6D223E2B">
            <w:pPr>
              <w:spacing w:line="360" w:lineRule="exact"/>
              <w:ind w:left="-56" w:leftChars="-20" w:right="-56" w:rightChars="-20" w:firstLine="0" w:firstLineChars="0"/>
              <w:rPr>
                <w:rFonts w:cs="Times New Roman"/>
                <w:sz w:val="21"/>
              </w:rPr>
            </w:pPr>
            <w:r>
              <w:rPr>
                <w:rFonts w:hint="eastAsia" w:cs="Times New Roman"/>
                <w:sz w:val="21"/>
              </w:rPr>
              <w:t>根据可研，矿山应组织编写应急预案，并按着规定定期更新和组织演练。</w:t>
            </w:r>
          </w:p>
        </w:tc>
        <w:tc>
          <w:tcPr>
            <w:tcW w:w="294" w:type="pct"/>
            <w:vAlign w:val="center"/>
          </w:tcPr>
          <w:p w14:paraId="55B7EB76">
            <w:pPr>
              <w:spacing w:line="360" w:lineRule="exact"/>
              <w:ind w:left="-56" w:leftChars="-20" w:right="-56" w:rightChars="-20" w:firstLine="0" w:firstLineChars="0"/>
              <w:jc w:val="center"/>
              <w:rPr>
                <w:rFonts w:cs="Times New Roman"/>
                <w:sz w:val="21"/>
              </w:rPr>
            </w:pPr>
            <w:r>
              <w:rPr>
                <w:rFonts w:hint="eastAsia" w:cs="Times New Roman"/>
                <w:sz w:val="21"/>
              </w:rPr>
              <w:t>符合要求</w:t>
            </w:r>
          </w:p>
        </w:tc>
      </w:tr>
      <w:tr w14:paraId="7110A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674D6852">
            <w:pPr>
              <w:spacing w:line="360" w:lineRule="exact"/>
              <w:ind w:left="-56" w:leftChars="-20" w:right="-56" w:rightChars="-20" w:firstLine="0" w:firstLineChars="0"/>
              <w:jc w:val="center"/>
              <w:rPr>
                <w:rFonts w:cs="Times New Roman"/>
                <w:sz w:val="21"/>
              </w:rPr>
            </w:pPr>
            <w:r>
              <w:rPr>
                <w:rFonts w:hint="eastAsia" w:cs="Times New Roman"/>
                <w:sz w:val="21"/>
              </w:rPr>
              <w:t>9</w:t>
            </w:r>
          </w:p>
        </w:tc>
        <w:tc>
          <w:tcPr>
            <w:tcW w:w="1981" w:type="pct"/>
            <w:vAlign w:val="center"/>
          </w:tcPr>
          <w:p w14:paraId="1FA80D0C">
            <w:pPr>
              <w:spacing w:line="360" w:lineRule="exact"/>
              <w:ind w:left="-56" w:leftChars="-20" w:right="-56" w:rightChars="-20" w:firstLine="0" w:firstLineChars="0"/>
              <w:rPr>
                <w:rFonts w:cs="Times New Roman"/>
                <w:sz w:val="21"/>
              </w:rPr>
            </w:pPr>
            <w:r>
              <w:rPr>
                <w:rFonts w:cs="Times New Roman"/>
                <w:sz w:val="21"/>
              </w:rPr>
              <w:t>特种从业人员经有关业务主管部门考核合格，取得特种作业操作资格证书</w:t>
            </w:r>
            <w:r>
              <w:rPr>
                <w:rFonts w:hint="eastAsia" w:cs="Times New Roman"/>
                <w:sz w:val="21"/>
              </w:rPr>
              <w:t>。</w:t>
            </w:r>
          </w:p>
        </w:tc>
        <w:tc>
          <w:tcPr>
            <w:tcW w:w="1238" w:type="pct"/>
            <w:vAlign w:val="center"/>
          </w:tcPr>
          <w:p w14:paraId="0D09577C">
            <w:pPr>
              <w:spacing w:line="360" w:lineRule="exact"/>
              <w:ind w:left="-56" w:leftChars="-20" w:right="-56" w:rightChars="-20" w:firstLine="0" w:firstLineChars="0"/>
              <w:jc w:val="center"/>
              <w:rPr>
                <w:rFonts w:cs="Times New Roman"/>
                <w:sz w:val="21"/>
              </w:rPr>
            </w:pPr>
            <w:r>
              <w:rPr>
                <w:rFonts w:hint="eastAsia" w:cs="Times New Roman"/>
                <w:sz w:val="21"/>
              </w:rPr>
              <w:t>《中华人民共和国安全生产法》第三十条</w:t>
            </w:r>
          </w:p>
        </w:tc>
        <w:tc>
          <w:tcPr>
            <w:tcW w:w="1238" w:type="pct"/>
            <w:vAlign w:val="center"/>
          </w:tcPr>
          <w:p w14:paraId="3A6DE685">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2531582E">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0739D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2771E554">
            <w:pPr>
              <w:spacing w:line="360" w:lineRule="exact"/>
              <w:ind w:left="-56" w:leftChars="-20" w:right="-56" w:rightChars="-20" w:firstLine="0" w:firstLineChars="0"/>
              <w:jc w:val="center"/>
              <w:rPr>
                <w:rFonts w:cs="Times New Roman"/>
                <w:sz w:val="21"/>
              </w:rPr>
            </w:pPr>
            <w:r>
              <w:rPr>
                <w:rFonts w:hint="eastAsia" w:cs="Times New Roman"/>
                <w:sz w:val="21"/>
              </w:rPr>
              <w:t>10</w:t>
            </w:r>
          </w:p>
        </w:tc>
        <w:tc>
          <w:tcPr>
            <w:tcW w:w="1981" w:type="pct"/>
            <w:vAlign w:val="center"/>
          </w:tcPr>
          <w:p w14:paraId="57779FDB">
            <w:pPr>
              <w:spacing w:line="360" w:lineRule="exact"/>
              <w:ind w:left="-56" w:leftChars="-20" w:right="-56" w:rightChars="-20" w:firstLine="0" w:firstLineChars="0"/>
              <w:rPr>
                <w:rFonts w:cs="Times New Roman"/>
                <w:sz w:val="21"/>
              </w:rPr>
            </w:pPr>
            <w:r>
              <w:rPr>
                <w:rFonts w:hint="eastAsia" w:cs="Times New Roman"/>
                <w:sz w:val="21"/>
              </w:rPr>
              <w:t>加强对外包施工队伍的安全管理。从事非煤矿山采掘施工的外包施工单位必须具备矿山工程施工资质并取得安全生产许可证。非煤矿山企业要与外包施工单位签订安全生产管理协议，明确非煤矿山企业是安全生产的责任主体，外包施工单位对承接工程负直接安全生产责任。</w:t>
            </w:r>
          </w:p>
        </w:tc>
        <w:tc>
          <w:tcPr>
            <w:tcW w:w="1238" w:type="pct"/>
            <w:vAlign w:val="center"/>
          </w:tcPr>
          <w:p w14:paraId="233C7452">
            <w:pPr>
              <w:spacing w:line="360" w:lineRule="exact"/>
              <w:ind w:left="-56" w:leftChars="-20" w:right="-56" w:rightChars="-20" w:firstLine="0" w:firstLineChars="0"/>
              <w:jc w:val="center"/>
              <w:rPr>
                <w:rFonts w:cs="Times New Roman"/>
                <w:sz w:val="21"/>
              </w:rPr>
            </w:pPr>
            <w:r>
              <w:rPr>
                <w:rFonts w:hint="eastAsia" w:cs="Times New Roman"/>
                <w:sz w:val="21"/>
              </w:rPr>
              <w:t>《非煤矿山外包工程安全管理暂行办法》第三、六、七条</w:t>
            </w:r>
          </w:p>
        </w:tc>
        <w:tc>
          <w:tcPr>
            <w:tcW w:w="1238" w:type="pct"/>
            <w:vAlign w:val="center"/>
          </w:tcPr>
          <w:p w14:paraId="61472682">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019D3654">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50FA3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5077F01F">
            <w:pPr>
              <w:spacing w:line="360" w:lineRule="exact"/>
              <w:ind w:left="-56" w:leftChars="-20" w:right="-56" w:rightChars="-20" w:firstLine="0" w:firstLineChars="0"/>
              <w:jc w:val="center"/>
              <w:rPr>
                <w:rFonts w:cs="Times New Roman"/>
                <w:sz w:val="21"/>
              </w:rPr>
            </w:pPr>
            <w:r>
              <w:rPr>
                <w:rFonts w:hint="eastAsia" w:cs="Times New Roman"/>
                <w:sz w:val="21"/>
              </w:rPr>
              <w:t>11</w:t>
            </w:r>
          </w:p>
        </w:tc>
        <w:tc>
          <w:tcPr>
            <w:tcW w:w="1981" w:type="pct"/>
            <w:vAlign w:val="center"/>
          </w:tcPr>
          <w:p w14:paraId="2443C28C">
            <w:pPr>
              <w:spacing w:line="360" w:lineRule="exact"/>
              <w:ind w:left="-56" w:leftChars="-20" w:right="-56" w:rightChars="-20" w:firstLine="0" w:firstLineChars="0"/>
              <w:rPr>
                <w:rFonts w:cs="Times New Roman"/>
                <w:sz w:val="21"/>
              </w:rPr>
            </w:pPr>
            <w:r>
              <w:rPr>
                <w:rFonts w:hint="eastAsia" w:cs="Times New Roman"/>
                <w:sz w:val="21"/>
              </w:rPr>
              <w:t>非煤矿山企业必须依法设立安全管理机构或者配备专职安全生产管理人员，应当有注册安全工程师从事安全生产管理工作。专职安全生产管理人员应当从事矿山工作5年及以上、具有相应的非煤矿山安全生产专业知识和工作经验并熟悉本矿生产系统。专职安全生产管理人员数量按不少于从业人数的百分之一配备，每个金属非金属地下矿山独立生产系统（不含外包施工单位）应当不少于3人。</w:t>
            </w:r>
          </w:p>
        </w:tc>
        <w:tc>
          <w:tcPr>
            <w:tcW w:w="1238" w:type="pct"/>
            <w:vAlign w:val="center"/>
          </w:tcPr>
          <w:p w14:paraId="568B3898">
            <w:pPr>
              <w:spacing w:line="360" w:lineRule="exact"/>
              <w:ind w:left="-56" w:leftChars="-20" w:right="-56" w:rightChars="-20" w:firstLine="0" w:firstLineChars="0"/>
              <w:jc w:val="center"/>
              <w:rPr>
                <w:rFonts w:cs="Times New Roman"/>
                <w:sz w:val="21"/>
              </w:rPr>
            </w:pPr>
            <w:bookmarkStart w:id="428" w:name="_Hlk103352293"/>
            <w:r>
              <w:rPr>
                <w:rFonts w:hint="eastAsia" w:cs="Times New Roman"/>
                <w:sz w:val="21"/>
              </w:rPr>
              <w:t>《国家矿山安全监察局关于印发&lt;关于加强非煤矿山安全生产工作的指导意见&gt;的通知》（矿安〔20</w:t>
            </w:r>
            <w:r>
              <w:rPr>
                <w:rFonts w:cs="Times New Roman"/>
                <w:sz w:val="21"/>
              </w:rPr>
              <w:t>22</w:t>
            </w:r>
            <w:r>
              <w:rPr>
                <w:rFonts w:hint="eastAsia" w:cs="Times New Roman"/>
                <w:sz w:val="21"/>
              </w:rPr>
              <w:t>〕4号）</w:t>
            </w:r>
            <w:bookmarkEnd w:id="428"/>
          </w:p>
        </w:tc>
        <w:tc>
          <w:tcPr>
            <w:tcW w:w="1238" w:type="pct"/>
            <w:vAlign w:val="center"/>
          </w:tcPr>
          <w:p w14:paraId="360700DA">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45B878AC">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r w14:paraId="17867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Align w:val="center"/>
          </w:tcPr>
          <w:p w14:paraId="294165FC">
            <w:pPr>
              <w:spacing w:line="360" w:lineRule="exact"/>
              <w:ind w:left="-56" w:leftChars="-20" w:right="-56" w:rightChars="-20" w:firstLine="0" w:firstLineChars="0"/>
              <w:jc w:val="center"/>
              <w:rPr>
                <w:rFonts w:cs="Times New Roman"/>
                <w:sz w:val="21"/>
              </w:rPr>
            </w:pPr>
            <w:r>
              <w:rPr>
                <w:rFonts w:hint="eastAsia" w:cs="Times New Roman"/>
                <w:sz w:val="21"/>
              </w:rPr>
              <w:t>12</w:t>
            </w:r>
          </w:p>
        </w:tc>
        <w:tc>
          <w:tcPr>
            <w:tcW w:w="1981" w:type="pct"/>
            <w:vAlign w:val="center"/>
          </w:tcPr>
          <w:p w14:paraId="4CF22B52">
            <w:pPr>
              <w:spacing w:line="360" w:lineRule="exact"/>
              <w:ind w:left="-56" w:leftChars="-20" w:right="-56" w:rightChars="-20" w:firstLine="0" w:firstLineChars="0"/>
              <w:rPr>
                <w:rFonts w:cs="Times New Roman"/>
                <w:sz w:val="21"/>
              </w:rPr>
            </w:pPr>
            <w:r>
              <w:rPr>
                <w:rFonts w:hint="eastAsia" w:cs="Times New Roman"/>
                <w:sz w:val="21"/>
              </w:rPr>
              <w:t>金属非金属地下矿山每个独立生产系统应当配备专职的矿长、总工程师和分管安全、生产、机电的副矿长，以上人员应当具有采矿、地质、矿建（井建）、通风、测量、机电、安全等矿山相关专业大专及以上学历或者中级及以上技术职称。金属非金属地下矿山应当设立技术管理机构，建立健全技术管理制度，配备具有采矿、地质、测量、机电等矿山相关专业中专及以上学历或者中级及以上技术职称的专职技术人员，每个专业至少配备1人。</w:t>
            </w:r>
          </w:p>
        </w:tc>
        <w:tc>
          <w:tcPr>
            <w:tcW w:w="1238" w:type="pct"/>
            <w:vAlign w:val="center"/>
          </w:tcPr>
          <w:p w14:paraId="0174BA2A">
            <w:pPr>
              <w:spacing w:line="360" w:lineRule="exact"/>
              <w:ind w:left="-56" w:leftChars="-20" w:right="-56" w:rightChars="-20" w:firstLine="0" w:firstLineChars="0"/>
              <w:jc w:val="center"/>
              <w:rPr>
                <w:rFonts w:cs="Times New Roman"/>
                <w:sz w:val="21"/>
              </w:rPr>
            </w:pPr>
            <w:r>
              <w:rPr>
                <w:rFonts w:hint="eastAsia" w:cs="Times New Roman"/>
                <w:sz w:val="21"/>
              </w:rPr>
              <w:t>《国家矿山安全监察局关于印发&lt;关于加强非煤矿山安全生产工作的指导意见&gt;的通知》（矿安〔20</w:t>
            </w:r>
            <w:r>
              <w:rPr>
                <w:rFonts w:cs="Times New Roman"/>
                <w:sz w:val="21"/>
              </w:rPr>
              <w:t>22</w:t>
            </w:r>
            <w:r>
              <w:rPr>
                <w:rFonts w:hint="eastAsia" w:cs="Times New Roman"/>
                <w:sz w:val="21"/>
              </w:rPr>
              <w:t>〕4号）</w:t>
            </w:r>
          </w:p>
        </w:tc>
        <w:tc>
          <w:tcPr>
            <w:tcW w:w="1238" w:type="pct"/>
            <w:vAlign w:val="center"/>
          </w:tcPr>
          <w:p w14:paraId="76169AC5">
            <w:pPr>
              <w:spacing w:line="360" w:lineRule="exact"/>
              <w:ind w:left="-56" w:leftChars="-20" w:right="-56" w:rightChars="-20" w:firstLine="0" w:firstLineChars="0"/>
              <w:rPr>
                <w:rFonts w:cs="Times New Roman"/>
                <w:sz w:val="21"/>
              </w:rPr>
            </w:pPr>
            <w:r>
              <w:rPr>
                <w:rFonts w:hint="eastAsia" w:cs="Times New Roman"/>
                <w:sz w:val="21"/>
              </w:rPr>
              <w:t>可研未明确。</w:t>
            </w:r>
          </w:p>
        </w:tc>
        <w:tc>
          <w:tcPr>
            <w:tcW w:w="294" w:type="pct"/>
            <w:vAlign w:val="center"/>
          </w:tcPr>
          <w:p w14:paraId="5C3C7CA4">
            <w:pPr>
              <w:spacing w:line="360" w:lineRule="exact"/>
              <w:ind w:left="-56" w:leftChars="-20" w:right="-56" w:rightChars="-20" w:firstLine="0" w:firstLineChars="0"/>
              <w:jc w:val="center"/>
              <w:rPr>
                <w:rFonts w:cs="Times New Roman"/>
                <w:sz w:val="21"/>
              </w:rPr>
            </w:pPr>
            <w:r>
              <w:rPr>
                <w:rFonts w:hint="eastAsia" w:cs="Times New Roman"/>
                <w:sz w:val="21"/>
              </w:rPr>
              <w:t>下一阶段设计中需完善</w:t>
            </w:r>
          </w:p>
        </w:tc>
      </w:tr>
    </w:tbl>
    <w:p w14:paraId="1F53F351">
      <w:pPr>
        <w:adjustRightInd w:val="0"/>
        <w:snapToGrid w:val="0"/>
        <w:spacing w:line="360" w:lineRule="auto"/>
        <w:ind w:firstLine="0" w:firstLineChars="0"/>
        <w:outlineLvl w:val="2"/>
        <w:rPr>
          <w:rFonts w:asciiTheme="minorHAnsi" w:hAnsiTheme="minorHAnsi" w:cstheme="minorHAnsi"/>
          <w:b/>
          <w:szCs w:val="28"/>
        </w:rPr>
      </w:pPr>
      <w:r>
        <w:rPr>
          <w:rFonts w:hint="eastAsia" w:asciiTheme="minorHAnsi" w:hAnsiTheme="minorHAnsi" w:cstheme="minorHAnsi"/>
          <w:b/>
          <w:szCs w:val="28"/>
        </w:rPr>
        <w:t>3</w:t>
      </w:r>
      <w:r>
        <w:rPr>
          <w:rFonts w:asciiTheme="minorHAnsi" w:hAnsiTheme="minorHAnsi" w:cstheme="minorHAnsi"/>
          <w:b/>
          <w:szCs w:val="28"/>
        </w:rPr>
        <w:t>.10.3</w:t>
      </w:r>
      <w:r>
        <w:rPr>
          <w:rFonts w:hint="eastAsia" w:asciiTheme="minorHAnsi" w:hAnsiTheme="minorHAnsi" w:cstheme="minorHAnsi"/>
          <w:b/>
          <w:szCs w:val="28"/>
        </w:rPr>
        <w:t>单元小结</w:t>
      </w:r>
    </w:p>
    <w:p w14:paraId="72AA2E15">
      <w:pPr>
        <w:snapToGrid w:val="0"/>
        <w:spacing w:line="360" w:lineRule="auto"/>
        <w:ind w:firstLine="560"/>
        <w:rPr>
          <w:rFonts w:cs="Times New Roman"/>
        </w:rPr>
      </w:pPr>
      <w:r>
        <w:rPr>
          <w:rFonts w:hint="eastAsia" w:cs="Times New Roman"/>
        </w:rPr>
        <w:t>可研中已对安全管理机构、安全管理人员、安全管理制度、安全生产责任制及操作规程、应急管理及安全教育进行了规定，总体符合《中华人民共和国安全生产法》、《非煤矿矿山企业安全生产许可证实施办法》等相关法律法规的要求。</w:t>
      </w:r>
    </w:p>
    <w:p w14:paraId="05B6DCA9">
      <w:pPr>
        <w:snapToGrid w:val="0"/>
        <w:spacing w:line="360" w:lineRule="auto"/>
        <w:ind w:firstLine="562"/>
        <w:rPr>
          <w:rFonts w:cs="Times New Roman"/>
          <w:b/>
        </w:rPr>
      </w:pPr>
      <w:r>
        <w:rPr>
          <w:rFonts w:hint="eastAsia" w:cs="Times New Roman"/>
          <w:b/>
        </w:rPr>
        <w:t>本单元应注意以下问题：</w:t>
      </w:r>
    </w:p>
    <w:p w14:paraId="533BEAC7">
      <w:pPr>
        <w:snapToGrid w:val="0"/>
        <w:spacing w:line="360" w:lineRule="auto"/>
        <w:ind w:firstLine="560"/>
        <w:rPr>
          <w:rFonts w:cs="Times New Roman"/>
        </w:rPr>
      </w:pPr>
      <w:bookmarkStart w:id="429" w:name="_Hlk145860683"/>
      <w:r>
        <w:rPr>
          <w:rFonts w:hint="eastAsia" w:cs="Times New Roman"/>
        </w:rPr>
        <w:t>（1）下一阶段设计应明确新进地下矿山的生产作业人员应接受不少于72h的安全培训；经考试合格后，由从事地下矿山作业2年以上的老工人带领工作至少4个月，熟悉本工种操作技术并经考核合格方可独立工作。</w:t>
      </w:r>
    </w:p>
    <w:p w14:paraId="7BE134C5">
      <w:pPr>
        <w:snapToGrid w:val="0"/>
        <w:spacing w:line="360" w:lineRule="auto"/>
        <w:ind w:firstLine="560"/>
        <w:rPr>
          <w:rFonts w:cs="Times New Roman"/>
        </w:rPr>
      </w:pPr>
      <w:r>
        <w:rPr>
          <w:rFonts w:hint="eastAsia" w:cs="Times New Roman"/>
        </w:rPr>
        <w:t>（2）下一阶段设计应明确矿山企业必须为从业人员提供符合国家标准或者行业标准的劳动防护用品，并监督、教育从业人员按照使用规则佩戴、使用。</w:t>
      </w:r>
    </w:p>
    <w:p w14:paraId="09B25C0F">
      <w:pPr>
        <w:snapToGrid w:val="0"/>
        <w:spacing w:line="360" w:lineRule="auto"/>
        <w:ind w:firstLine="560"/>
        <w:rPr>
          <w:rFonts w:cs="Times New Roman"/>
        </w:rPr>
      </w:pPr>
      <w:r>
        <w:rPr>
          <w:rFonts w:hint="eastAsia" w:cs="Times New Roman"/>
        </w:rPr>
        <w:t>（</w:t>
      </w:r>
      <w:r>
        <w:rPr>
          <w:rFonts w:cs="Times New Roman"/>
        </w:rPr>
        <w:t>3</w:t>
      </w:r>
      <w:r>
        <w:rPr>
          <w:rFonts w:hint="eastAsia" w:cs="Times New Roman"/>
        </w:rPr>
        <w:t>）下一阶段设计应明确矿山企业应为从业人员办理工伤保险，因特殊情况不能办理工伤保险的，可以办理安全生产责任保险或者雇主责任保险。</w:t>
      </w:r>
    </w:p>
    <w:p w14:paraId="1A8273E8">
      <w:pPr>
        <w:snapToGrid w:val="0"/>
        <w:spacing w:line="360" w:lineRule="auto"/>
        <w:ind w:firstLine="560"/>
        <w:rPr>
          <w:rFonts w:cs="Times New Roman"/>
        </w:rPr>
      </w:pPr>
      <w:r>
        <w:rPr>
          <w:rFonts w:hint="eastAsia" w:cs="Times New Roman"/>
        </w:rPr>
        <w:t>（</w:t>
      </w:r>
      <w:r>
        <w:rPr>
          <w:rFonts w:cs="Times New Roman"/>
        </w:rPr>
        <w:t>4</w:t>
      </w:r>
      <w:r>
        <w:rPr>
          <w:rFonts w:hint="eastAsia" w:cs="Times New Roman"/>
        </w:rPr>
        <w:t>）下一阶段设计应明确矿山企业应建立由专职或兼职人员组成的事故应急救援组织，配备必要的应急救援器材和设备。与临近的事故救援组织签订救援协议。</w:t>
      </w:r>
    </w:p>
    <w:p w14:paraId="771CDF57">
      <w:pPr>
        <w:snapToGrid w:val="0"/>
        <w:spacing w:line="360" w:lineRule="auto"/>
        <w:ind w:firstLine="560"/>
        <w:rPr>
          <w:rFonts w:cs="Times New Roman"/>
        </w:rPr>
      </w:pPr>
      <w:r>
        <w:rPr>
          <w:rFonts w:hint="eastAsia" w:cs="Times New Roman"/>
        </w:rPr>
        <w:t>（</w:t>
      </w:r>
      <w:r>
        <w:rPr>
          <w:rFonts w:cs="Times New Roman"/>
        </w:rPr>
        <w:t>5</w:t>
      </w:r>
      <w:r>
        <w:rPr>
          <w:rFonts w:hint="eastAsia" w:cs="Times New Roman"/>
        </w:rPr>
        <w:t>）下一阶段设计应明确特种从业人员经有关业务主管部门考核合格，取得特种作业操作资格证书。</w:t>
      </w:r>
    </w:p>
    <w:p w14:paraId="29B0F701">
      <w:pPr>
        <w:snapToGrid w:val="0"/>
        <w:spacing w:line="360" w:lineRule="auto"/>
        <w:ind w:firstLine="560"/>
        <w:rPr>
          <w:rFonts w:cs="Times New Roman"/>
        </w:rPr>
      </w:pPr>
      <w:r>
        <w:rPr>
          <w:rFonts w:hint="eastAsia" w:cs="Times New Roman"/>
        </w:rPr>
        <w:t>（</w:t>
      </w:r>
      <w:r>
        <w:rPr>
          <w:rFonts w:cs="Times New Roman"/>
        </w:rPr>
        <w:t>6</w:t>
      </w:r>
      <w:r>
        <w:rPr>
          <w:rFonts w:hint="eastAsia" w:cs="Times New Roman"/>
        </w:rPr>
        <w:t>）下一阶段设计应明确企业加强对外包施工队伍的安全管理。从事非煤矿山采掘施工的外包施工单位必须具备矿山工程施工资质并取得安全生产许可证。非煤矿山企业要与外包施工单位签订安全生产管理协议，明确非煤矿山企业是安全生产的责任主体，外包施工单位对承接工程负直接安全生产责任。</w:t>
      </w:r>
    </w:p>
    <w:p w14:paraId="0500B882">
      <w:pPr>
        <w:snapToGrid w:val="0"/>
        <w:spacing w:line="360" w:lineRule="auto"/>
        <w:ind w:firstLine="560"/>
        <w:rPr>
          <w:rFonts w:cs="Times New Roman"/>
        </w:rPr>
      </w:pPr>
      <w:r>
        <w:rPr>
          <w:rFonts w:hint="eastAsia" w:cs="Times New Roman"/>
        </w:rPr>
        <w:t>（</w:t>
      </w:r>
      <w:r>
        <w:rPr>
          <w:rFonts w:cs="Times New Roman"/>
        </w:rPr>
        <w:t>7</w:t>
      </w:r>
      <w:r>
        <w:rPr>
          <w:rFonts w:hint="eastAsia" w:cs="Times New Roman"/>
        </w:rPr>
        <w:t>）下一阶段设计应明确危险性较大的矿用产品，企业应根据国家有关规定取得矿用产品安全标志。</w:t>
      </w:r>
    </w:p>
    <w:p w14:paraId="07B31039">
      <w:pPr>
        <w:snapToGrid w:val="0"/>
        <w:spacing w:line="360" w:lineRule="auto"/>
        <w:ind w:firstLine="560"/>
        <w:rPr>
          <w:rFonts w:cs="Times New Roman"/>
        </w:rPr>
      </w:pPr>
      <w:r>
        <w:rPr>
          <w:rFonts w:hint="eastAsia" w:cs="Times New Roman"/>
        </w:rPr>
        <w:t>（</w:t>
      </w:r>
      <w:r>
        <w:rPr>
          <w:rFonts w:cs="Times New Roman"/>
        </w:rPr>
        <w:t>8</w:t>
      </w:r>
      <w:r>
        <w:rPr>
          <w:rFonts w:hint="eastAsia" w:cs="Times New Roman"/>
        </w:rPr>
        <w:t>）下一阶段设计应明确企业需</w:t>
      </w:r>
      <w:r>
        <w:rPr>
          <w:rFonts w:cs="Times New Roman"/>
        </w:rPr>
        <w:t>依照</w:t>
      </w:r>
      <w:r>
        <w:rPr>
          <w:rFonts w:hint="eastAsia" w:cs="Times New Roman"/>
        </w:rPr>
        <w:t>《企业安全生产费用提取和使用管理办法》（财资〔2022〕136号）</w:t>
      </w:r>
      <w:r>
        <w:rPr>
          <w:rFonts w:cs="Times New Roman"/>
        </w:rPr>
        <w:t>有关规定足额提取安全生产费用。</w:t>
      </w:r>
    </w:p>
    <w:p w14:paraId="7B8208A3">
      <w:pPr>
        <w:snapToGrid w:val="0"/>
        <w:spacing w:line="360" w:lineRule="auto"/>
        <w:ind w:firstLine="560"/>
        <w:rPr>
          <w:rFonts w:cs="Times New Roman"/>
        </w:rPr>
      </w:pPr>
      <w:r>
        <w:rPr>
          <w:rFonts w:hint="eastAsia" w:cs="Times New Roman"/>
        </w:rPr>
        <w:t>（</w:t>
      </w:r>
      <w:r>
        <w:rPr>
          <w:rFonts w:cs="Times New Roman"/>
        </w:rPr>
        <w:t>9</w:t>
      </w:r>
      <w:r>
        <w:rPr>
          <w:rFonts w:hint="eastAsia" w:cs="Times New Roman"/>
        </w:rPr>
        <w:t>）企业应定期对安全管理制度、安全责任制及操作规程等进行补充完善。</w:t>
      </w:r>
    </w:p>
    <w:p w14:paraId="46923C51">
      <w:pPr>
        <w:snapToGrid w:val="0"/>
        <w:spacing w:line="360" w:lineRule="auto"/>
        <w:ind w:firstLine="560"/>
        <w:rPr>
          <w:rFonts w:cs="Times New Roman"/>
        </w:rPr>
      </w:pPr>
      <w:r>
        <w:rPr>
          <w:rFonts w:hint="eastAsia" w:cs="Times New Roman"/>
        </w:rPr>
        <w:t>（1</w:t>
      </w:r>
      <w:r>
        <w:rPr>
          <w:rFonts w:cs="Times New Roman"/>
        </w:rPr>
        <w:t>0</w:t>
      </w:r>
      <w:r>
        <w:rPr>
          <w:rFonts w:hint="eastAsia" w:cs="Times New Roman"/>
        </w:rPr>
        <w:t>）矿山应有注册安全工程师从事安全生产管理工作。配备的专职安全生产管理人员应当从事矿山工作5年及以上、具有相应的非煤矿山安全生产专业知识和工作经验并熟悉本矿生产系统。专职安全生产管理人员数量按不少于从业人数的百分之一配备，并不少于</w:t>
      </w:r>
      <w:r>
        <w:rPr>
          <w:rFonts w:cs="Times New Roman"/>
        </w:rPr>
        <w:t>3</w:t>
      </w:r>
      <w:r>
        <w:rPr>
          <w:rFonts w:hint="eastAsia" w:cs="Times New Roman"/>
        </w:rPr>
        <w:t>人。</w:t>
      </w:r>
    </w:p>
    <w:p w14:paraId="7320C6DD">
      <w:pPr>
        <w:snapToGrid w:val="0"/>
        <w:spacing w:line="360" w:lineRule="auto"/>
        <w:ind w:firstLine="560"/>
        <w:rPr>
          <w:rFonts w:cs="Times New Roman"/>
        </w:rPr>
      </w:pPr>
      <w:r>
        <w:rPr>
          <w:rFonts w:hint="eastAsia" w:cs="Times New Roman"/>
        </w:rPr>
        <w:t>（1</w:t>
      </w:r>
      <w:r>
        <w:rPr>
          <w:rFonts w:cs="Times New Roman"/>
        </w:rPr>
        <w:t>1</w:t>
      </w:r>
      <w:r>
        <w:rPr>
          <w:rFonts w:hint="eastAsia" w:cs="Times New Roman"/>
        </w:rPr>
        <w:t>）金属非金属地下矿山每个独立生产系统应当配备专职的矿长、总工程师和分管安全、生产、机电的副矿长，以上人员应当具有采矿、地质、矿建（井建）、通风、测量、机电、安全等矿山相关专业大专及以上学历或者中级及以上技术职称。金属非金属地下矿山应当设立技术管理机构，建立健全技术管理制度，配备具有采矿、地质、测量、机电等矿山相关专业中专及以上学历或者中级及以上技术职称的专职技术人员，每个专业至少配备1人。</w:t>
      </w:r>
    </w:p>
    <w:p w14:paraId="4F1D7E92">
      <w:pPr>
        <w:snapToGrid w:val="0"/>
        <w:spacing w:line="360" w:lineRule="auto"/>
        <w:ind w:firstLine="560"/>
        <w:rPr>
          <w:rFonts w:cs="Times New Roman"/>
        </w:rPr>
      </w:pPr>
      <w:r>
        <w:rPr>
          <w:rFonts w:hint="eastAsia" w:cs="Times New Roman"/>
        </w:rPr>
        <w:t>（1</w:t>
      </w:r>
      <w:r>
        <w:rPr>
          <w:rFonts w:cs="Times New Roman"/>
        </w:rPr>
        <w:t>2</w:t>
      </w:r>
      <w:r>
        <w:rPr>
          <w:rFonts w:hint="eastAsia" w:cs="Times New Roman"/>
        </w:rPr>
        <w:t>）下一步设计阶段应对二期基建工程与一期生产系统之间的相互影响进行论证，并提出安全措施与建议。</w:t>
      </w:r>
    </w:p>
    <w:bookmarkEnd w:id="429"/>
    <w:p w14:paraId="075A2A05">
      <w:pPr>
        <w:pStyle w:val="4"/>
        <w:spacing w:before="190" w:after="190" w:line="360" w:lineRule="exact"/>
        <w:rPr>
          <w:rFonts w:asciiTheme="minorHAnsi" w:hAnsiTheme="minorHAnsi" w:cstheme="minorHAnsi"/>
        </w:rPr>
      </w:pPr>
      <w:bookmarkStart w:id="430" w:name="_Toc25633"/>
      <w:bookmarkStart w:id="431" w:name="_Toc199426947"/>
      <w:r>
        <w:rPr>
          <w:rFonts w:asciiTheme="minorHAnsi" w:hAnsiTheme="minorHAnsi" w:cstheme="minorHAnsi"/>
        </w:rPr>
        <w:t>3.11重大危险源辨识单元</w:t>
      </w:r>
      <w:bookmarkEnd w:id="430"/>
      <w:bookmarkEnd w:id="431"/>
    </w:p>
    <w:p w14:paraId="290AB226">
      <w:pPr>
        <w:snapToGrid w:val="0"/>
        <w:spacing w:line="360" w:lineRule="auto"/>
        <w:ind w:firstLine="560"/>
        <w:rPr>
          <w:rFonts w:asciiTheme="minorHAnsi" w:hAnsiTheme="minorHAnsi" w:cstheme="minorHAnsi"/>
          <w:snapToGrid w:val="0"/>
          <w:kern w:val="0"/>
          <w:szCs w:val="24"/>
        </w:rPr>
      </w:pPr>
      <w:r>
        <w:rPr>
          <w:rFonts w:asciiTheme="minorHAnsi" w:hAnsiTheme="minorHAnsi" w:cstheme="minorHAnsi"/>
          <w:snapToGrid w:val="0"/>
          <w:kern w:val="0"/>
          <w:szCs w:val="24"/>
        </w:rPr>
        <w:t>根据《危险化学品重大危险源辨识》</w:t>
      </w:r>
      <w:r>
        <w:rPr>
          <w:rFonts w:hint="eastAsia" w:asciiTheme="minorHAnsi" w:hAnsiTheme="minorHAnsi" w:cstheme="minorHAnsi"/>
          <w:snapToGrid w:val="0"/>
          <w:kern w:val="0"/>
          <w:szCs w:val="24"/>
        </w:rPr>
        <w:t>（</w:t>
      </w:r>
      <w:r>
        <w:rPr>
          <w:rFonts w:asciiTheme="minorHAnsi" w:hAnsiTheme="minorHAnsi" w:cstheme="minorHAnsi"/>
          <w:snapToGrid w:val="0"/>
          <w:kern w:val="0"/>
          <w:szCs w:val="24"/>
        </w:rPr>
        <w:t>GB18218-2018</w:t>
      </w:r>
      <w:r>
        <w:rPr>
          <w:rFonts w:hint="eastAsia" w:asciiTheme="minorHAnsi" w:hAnsiTheme="minorHAnsi" w:cstheme="minorHAnsi"/>
          <w:snapToGrid w:val="0"/>
          <w:kern w:val="0"/>
          <w:szCs w:val="24"/>
        </w:rPr>
        <w:t>）</w:t>
      </w:r>
      <w:r>
        <w:rPr>
          <w:rFonts w:hint="eastAsia" w:cs="Times New Roman"/>
          <w:szCs w:val="28"/>
        </w:rPr>
        <w:t>、《民用爆炸物品重大危险源辨识》（</w:t>
      </w:r>
      <w:r>
        <w:rPr>
          <w:rFonts w:cs="Times New Roman"/>
          <w:szCs w:val="28"/>
        </w:rPr>
        <w:t>WJ/T 9093-2018</w:t>
      </w:r>
      <w:r>
        <w:rPr>
          <w:rFonts w:hint="eastAsia" w:cs="Times New Roman"/>
          <w:szCs w:val="28"/>
        </w:rPr>
        <w:t>）</w:t>
      </w:r>
      <w:r>
        <w:rPr>
          <w:rFonts w:asciiTheme="minorHAnsi" w:hAnsiTheme="minorHAnsi" w:cstheme="minorHAnsi"/>
          <w:snapToGrid w:val="0"/>
          <w:kern w:val="0"/>
          <w:szCs w:val="24"/>
        </w:rPr>
        <w:t>对本项目进行重大危险源辨识，根据《危险化学品重大危险源辨识》</w:t>
      </w:r>
      <w:r>
        <w:rPr>
          <w:rFonts w:hint="eastAsia" w:asciiTheme="minorHAnsi" w:hAnsiTheme="minorHAnsi" w:cstheme="minorHAnsi"/>
          <w:snapToGrid w:val="0"/>
          <w:kern w:val="0"/>
          <w:szCs w:val="24"/>
        </w:rPr>
        <w:t>（</w:t>
      </w:r>
      <w:r>
        <w:rPr>
          <w:rFonts w:asciiTheme="minorHAnsi" w:hAnsiTheme="minorHAnsi" w:cstheme="minorHAnsi"/>
          <w:snapToGrid w:val="0"/>
          <w:kern w:val="0"/>
          <w:szCs w:val="24"/>
        </w:rPr>
        <w:t>GB18218-2018</w:t>
      </w:r>
      <w:r>
        <w:rPr>
          <w:rFonts w:hint="eastAsia" w:asciiTheme="minorHAnsi" w:hAnsiTheme="minorHAnsi" w:cstheme="minorHAnsi"/>
          <w:snapToGrid w:val="0"/>
          <w:kern w:val="0"/>
          <w:szCs w:val="24"/>
        </w:rPr>
        <w:t>）</w:t>
      </w:r>
      <w:r>
        <w:rPr>
          <w:rFonts w:asciiTheme="minorHAnsi" w:hAnsiTheme="minorHAnsi" w:cstheme="minorHAnsi"/>
          <w:snapToGrid w:val="0"/>
          <w:kern w:val="0"/>
          <w:szCs w:val="24"/>
        </w:rPr>
        <w:t>表2规定，1.5 项爆炸物(E型或B型引爆器、铵油、铵沥蜡炸药等)临界量为10t。</w:t>
      </w:r>
    </w:p>
    <w:p w14:paraId="1A61155A">
      <w:pPr>
        <w:snapToGrid w:val="0"/>
        <w:spacing w:line="360" w:lineRule="auto"/>
        <w:ind w:firstLine="560"/>
        <w:rPr>
          <w:rFonts w:asciiTheme="minorHAnsi" w:hAnsiTheme="minorHAnsi" w:cstheme="minorHAnsi"/>
          <w:snapToGrid w:val="0"/>
          <w:kern w:val="0"/>
          <w:szCs w:val="24"/>
        </w:rPr>
      </w:pPr>
      <w:r>
        <w:rPr>
          <w:rFonts w:hint="eastAsia" w:asciiTheme="minorHAnsi" w:hAnsiTheme="minorHAnsi" w:cstheme="minorHAnsi"/>
          <w:snapToGrid w:val="0"/>
          <w:kern w:val="0"/>
          <w:szCs w:val="24"/>
        </w:rPr>
        <w:t>设计</w:t>
      </w:r>
      <w:r>
        <w:rPr>
          <w:rFonts w:hint="eastAsia"/>
          <w:szCs w:val="28"/>
        </w:rPr>
        <w:t>在井下</w:t>
      </w:r>
      <w:r>
        <w:rPr>
          <w:szCs w:val="28"/>
        </w:rPr>
        <w:t>-400m水平设1座</w:t>
      </w:r>
      <w:r>
        <w:rPr>
          <w:rFonts w:hint="eastAsia"/>
          <w:szCs w:val="28"/>
        </w:rPr>
        <w:t>20</w:t>
      </w:r>
      <w:r>
        <w:rPr>
          <w:szCs w:val="28"/>
        </w:rPr>
        <w:t>t井下</w:t>
      </w:r>
      <w:r>
        <w:rPr>
          <w:rFonts w:hint="eastAsia"/>
          <w:szCs w:val="28"/>
        </w:rPr>
        <w:t>爆破器材分库，-730m水平设1座9t井下爆破器材分库，在冯家庄矿段-400m水平设1座3t井下爆破器材分库，主要用于储存炸药、电子雷管、导爆管等起爆器材。</w:t>
      </w:r>
    </w:p>
    <w:p w14:paraId="6751358C">
      <w:pPr>
        <w:snapToGrid w:val="0"/>
        <w:spacing w:line="360" w:lineRule="auto"/>
        <w:ind w:firstLine="560"/>
        <w:rPr>
          <w:rFonts w:asciiTheme="minorHAnsi" w:hAnsiTheme="minorHAnsi" w:cstheme="minorHAnsi"/>
          <w:snapToGrid w:val="0"/>
          <w:kern w:val="0"/>
          <w:szCs w:val="24"/>
        </w:rPr>
      </w:pPr>
      <w:r>
        <w:rPr>
          <w:rFonts w:hint="eastAsia" w:asciiTheme="minorHAnsi" w:hAnsiTheme="minorHAnsi" w:cstheme="minorHAnsi"/>
          <w:snapToGrid w:val="0"/>
          <w:kern w:val="0"/>
          <w:szCs w:val="24"/>
        </w:rPr>
        <w:t>井下爆破器材库设计最大爆破器材存储量大于其临界量， 因此构成重大危险源。</w:t>
      </w:r>
    </w:p>
    <w:p w14:paraId="3180286F">
      <w:pPr>
        <w:widowControl/>
        <w:spacing w:line="240" w:lineRule="auto"/>
        <w:ind w:firstLine="0" w:firstLineChars="0"/>
        <w:jc w:val="left"/>
        <w:rPr>
          <w:rFonts w:asciiTheme="minorHAnsi" w:hAnsiTheme="minorHAnsi" w:cstheme="minorHAnsi"/>
          <w:b/>
          <w:bCs/>
          <w:kern w:val="44"/>
          <w:sz w:val="32"/>
          <w:szCs w:val="32"/>
        </w:rPr>
      </w:pPr>
      <w:r>
        <w:rPr>
          <w:rFonts w:asciiTheme="minorHAnsi" w:hAnsiTheme="minorHAnsi" w:cstheme="minorHAnsi"/>
        </w:rPr>
        <w:br w:type="page"/>
      </w:r>
    </w:p>
    <w:p w14:paraId="1C9BE55F">
      <w:pPr>
        <w:pStyle w:val="3"/>
        <w:spacing w:before="190" w:after="190"/>
        <w:rPr>
          <w:rFonts w:asciiTheme="minorHAnsi" w:hAnsiTheme="minorHAnsi" w:cstheme="minorHAnsi"/>
        </w:rPr>
      </w:pPr>
      <w:bookmarkStart w:id="432" w:name="_Toc199426948"/>
      <w:r>
        <w:rPr>
          <w:rFonts w:asciiTheme="minorHAnsi" w:hAnsiTheme="minorHAnsi" w:cstheme="minorHAnsi"/>
        </w:rPr>
        <w:t>4安全对策措施及建议</w:t>
      </w:r>
      <w:bookmarkEnd w:id="432"/>
    </w:p>
    <w:p w14:paraId="23BB2616">
      <w:pPr>
        <w:pStyle w:val="4"/>
        <w:spacing w:before="190" w:after="190" w:line="360" w:lineRule="exact"/>
        <w:rPr>
          <w:rFonts w:asciiTheme="minorHAnsi" w:hAnsiTheme="minorHAnsi" w:cstheme="minorHAnsi"/>
        </w:rPr>
      </w:pPr>
      <w:bookmarkStart w:id="433" w:name="_Toc199426949"/>
      <w:r>
        <w:rPr>
          <w:rFonts w:asciiTheme="minorHAnsi" w:hAnsiTheme="minorHAnsi" w:cstheme="minorHAnsi"/>
        </w:rPr>
        <w:t>4.1总平面布置</w:t>
      </w:r>
      <w:bookmarkEnd w:id="433"/>
    </w:p>
    <w:p w14:paraId="118A509F">
      <w:pPr>
        <w:widowControl/>
        <w:snapToGrid w:val="0"/>
        <w:spacing w:line="360" w:lineRule="auto"/>
        <w:ind w:firstLine="560"/>
        <w:rPr>
          <w:rFonts w:asciiTheme="minorHAnsi" w:hAnsiTheme="minorHAnsi" w:cstheme="minorHAnsi"/>
          <w:kern w:val="0"/>
          <w:szCs w:val="28"/>
        </w:rPr>
      </w:pPr>
      <w:bookmarkStart w:id="434" w:name="_Hlk177967762"/>
      <w:r>
        <w:rPr>
          <w:rFonts w:hint="eastAsia" w:asciiTheme="minorHAnsi" w:hAnsiTheme="minorHAnsi" w:cstheme="minorHAnsi"/>
          <w:kern w:val="0"/>
          <w:szCs w:val="28"/>
        </w:rPr>
        <w:t>（1）安全设施设计在总平面布置图中补全该矿岩石移动界线涉及的全部范围及周边环境的标注，并将重要地点在文本中列出与岩石移动界线之间的安全距离。</w:t>
      </w:r>
    </w:p>
    <w:p w14:paraId="0243A87A">
      <w:pPr>
        <w:widowControl/>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（2）建议安全设施设计地下开采对岩石移动范围内涉及的所有建构筑物可能造成的影响程度进行详细论证，并就是否需要搬迁给出结论。</w:t>
      </w:r>
    </w:p>
    <w:p w14:paraId="78A2F315">
      <w:pPr>
        <w:widowControl/>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（3）岩石移动界线范围内有部分小汶河的河段，建议安全设施设计对地下开采是否可能连通小汶河，并造成井下涌水量增加进行专门论述。</w:t>
      </w:r>
    </w:p>
    <w:p w14:paraId="1E5477A0">
      <w:pPr>
        <w:widowControl/>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（4）对高速公路、105国道等位置的留设保安矿柱安全性开展必要的论证工作。</w:t>
      </w:r>
    </w:p>
    <w:p w14:paraId="41F310DE">
      <w:pPr>
        <w:widowControl/>
        <w:snapToGrid w:val="0"/>
        <w:spacing w:line="360" w:lineRule="auto"/>
        <w:ind w:firstLine="560"/>
        <w:rPr>
          <w:rFonts w:asciiTheme="minorHAnsi" w:hAnsiTheme="minorHAnsi" w:cstheme="minorHAnsi"/>
          <w:kern w:val="0"/>
          <w:szCs w:val="28"/>
        </w:rPr>
      </w:pPr>
      <w:r>
        <w:rPr>
          <w:rFonts w:hint="eastAsia" w:asciiTheme="minorHAnsi" w:hAnsiTheme="minorHAnsi" w:cstheme="minorHAnsi"/>
          <w:kern w:val="0"/>
          <w:szCs w:val="28"/>
        </w:rPr>
        <w:t>（5）矿区地表有需要保护的农田、村庄、高压线路、高速公路和105国道，应开展地下开采对地表建构筑物的安全影响研究，矿山应加强日常生产过程中地表建构筑物的安全稳定监测工作，加强地表变形研究，根据地表变形范围研究结论，及时调整监测点布置。</w:t>
      </w:r>
    </w:p>
    <w:p w14:paraId="24DADB75">
      <w:pPr>
        <w:pStyle w:val="4"/>
        <w:spacing w:before="190" w:after="190" w:line="360" w:lineRule="exact"/>
        <w:rPr>
          <w:rFonts w:asciiTheme="minorHAnsi" w:hAnsiTheme="minorHAnsi" w:cstheme="minorHAnsi"/>
        </w:rPr>
      </w:pPr>
      <w:bookmarkStart w:id="435" w:name="_Toc199426950"/>
      <w:r>
        <w:rPr>
          <w:rFonts w:asciiTheme="minorHAnsi" w:hAnsiTheme="minorHAnsi" w:cstheme="minorHAnsi"/>
        </w:rPr>
        <w:t>4.2开拓运输</w:t>
      </w:r>
      <w:bookmarkEnd w:id="435"/>
    </w:p>
    <w:p w14:paraId="0401FEC4">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建议矿方委托具备资质的第三方机构开展地下开采工程对高压线安全稳定影响的专项分析工作，依据分析结果与相关规定的安全指标校对，再判定是否应对高压线塔基留设保安矿柱，在下阶段设计中，对高压线塔基与地下开采的相互影响做详细论证，保证地下开采活动合法、安全的进行。</w:t>
      </w:r>
    </w:p>
    <w:p w14:paraId="6534C0EC">
      <w:pPr>
        <w:pStyle w:val="19"/>
        <w:snapToGrid w:val="0"/>
        <w:spacing w:line="360" w:lineRule="auto"/>
        <w:ind w:firstLine="560"/>
        <w:rPr>
          <w:rFonts w:asciiTheme="minorHAnsi" w:hAnsiTheme="minorHAnsi" w:cstheme="minorHAnsi"/>
          <w:szCs w:val="28"/>
        </w:rPr>
      </w:pPr>
      <w:r>
        <w:rPr>
          <w:rFonts w:hint="eastAsia" w:asciiTheme="minorHAnsi" w:hAnsiTheme="minorHAnsi" w:cstheme="minorHAnsi"/>
        </w:rPr>
        <w:t>（2）</w:t>
      </w:r>
      <w:r>
        <w:rPr>
          <w:rFonts w:hint="eastAsia" w:asciiTheme="minorHAnsi" w:hAnsiTheme="minorHAnsi" w:cstheme="minorHAnsi"/>
          <w:szCs w:val="28"/>
        </w:rPr>
        <w:t>区内经物探和钻孔资料发现3条主要断裂，</w:t>
      </w:r>
      <w:r>
        <w:rPr>
          <w:rFonts w:hint="eastAsia"/>
        </w:rPr>
        <w:t>除F3断层（断层规模较小）位于矿床南部（5线南侧）外，其他两个断层远离开采范围内的矿体，目前勘探资料尚未发现断层具有导水性，</w:t>
      </w:r>
      <w:r>
        <w:rPr>
          <w:rFonts w:hint="eastAsia" w:asciiTheme="minorHAnsi" w:hAnsiTheme="minorHAnsi" w:cstheme="minorHAnsi"/>
          <w:szCs w:val="28"/>
        </w:rPr>
        <w:t>下阶段设计针对这3条主要断裂进行采矿影响分析。</w:t>
      </w:r>
    </w:p>
    <w:p w14:paraId="58EF9459">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3）由于矿体附近涉及董梁高速以及105国道，可研留设了保安矿柱。建议下阶段设计对高速公路等位置的留设保安矿柱安全性开展必要的论证工作，并对这两处保安矿柱的具体位置、形状尺寸参数做详细说明，用于指导企业生产。</w:t>
      </w:r>
    </w:p>
    <w:p w14:paraId="7A1AF046">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4）区内第四系及风化层较厚，风化层底部标高一般在-80m以上，该范围内岩体松散，稳固性较差，且富水性强，透水性较强。在当前开采技术条件下，开采该部分矿石安全性较差，为保护地表和井下开采安全，设计在风化带以下按照完整基岩留设护顶矿柱，以及多阶段同时开采时预留了阶段隔离矿柱，应针对护顶矿柱合理厚度、安全性以及阶段间隔离矿柱的安全可靠性进行分析。</w:t>
      </w:r>
    </w:p>
    <w:p w14:paraId="3DC93D42">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（5）下阶段设计应绘制井上下对照图，并明确爆破器材分库的准确位置及详细结构参数。</w:t>
      </w:r>
    </w:p>
    <w:p w14:paraId="6C3FD5BB">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6）下一步设计阶段应对无轨运输巷道的人行通道进行详细设计，行人的有轨运输巷道应设高度不小于1.9m的人行道，人行道宽度不小于0.8m；机车、车辆高度超过1.7m时，人行道宽度不小于1.0m。调车场、人员乘车场、井底车场矿车摘挂钩处两侧应各设一条人行道，有效净高不小于1.9m，人行道宽度不小于1.0m。</w:t>
      </w:r>
    </w:p>
    <w:p w14:paraId="67F74F15">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7</w:t>
      </w:r>
      <w:r>
        <w:rPr>
          <w:rFonts w:hint="eastAsia" w:asciiTheme="minorHAnsi" w:hAnsiTheme="minorHAnsi" w:cstheme="minorHAnsi"/>
        </w:rPr>
        <w:t>）下阶段设计应明确在水平巷道和斜坡道中，有轨运输设备之间以及运输设备与支护之间的间隙、无轨运输设备与支护之间的间隙。</w:t>
      </w:r>
    </w:p>
    <w:p w14:paraId="15A1C50E">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8</w:t>
      </w:r>
      <w:r>
        <w:rPr>
          <w:rFonts w:hint="eastAsia" w:asciiTheme="minorHAnsi" w:hAnsiTheme="minorHAnsi" w:cstheme="minorHAnsi"/>
        </w:rPr>
        <w:t>）下阶段设计应完善人行巷道的水沟的盖板设计内容。</w:t>
      </w:r>
    </w:p>
    <w:p w14:paraId="064AD9FB">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9</w:t>
      </w:r>
      <w:r>
        <w:rPr>
          <w:rFonts w:hint="eastAsia" w:asciiTheme="minorHAnsi" w:hAnsiTheme="minorHAnsi" w:cstheme="minorHAnsi"/>
        </w:rPr>
        <w:t>）应补充一定的工程地质勘察工作以及必要的岩石力学试验，确定岩体参数，开展采场结构参数三维数值分析，校核采场结构参数和采场布置方式的合理性。</w:t>
      </w:r>
    </w:p>
    <w:p w14:paraId="00992A4F">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0</w:t>
      </w:r>
      <w:r>
        <w:rPr>
          <w:rFonts w:hint="eastAsia" w:asciiTheme="minorHAnsi" w:hAnsiTheme="minorHAnsi" w:cstheme="minorHAnsi"/>
        </w:rPr>
        <w:t>）废弃井巷和硐室的入口应及时封闭，封闭时应留有泄水条件。封闭墙上应标明编号、封闭时间、责任人、井巷原名称。封闭前入口处应设明显警示标志，禁止人员进入。封闭墙在相应图纸上标出，并归档永久保存。报废井巷的地面入口周围应设高度不低于1.5m的栅栏。可研中未明确，下一阶段设计中需说明。</w:t>
      </w:r>
    </w:p>
    <w:p w14:paraId="2CC5F7FD">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1</w:t>
      </w:r>
      <w:r>
        <w:rPr>
          <w:rFonts w:hint="eastAsia" w:asciiTheme="minorHAnsi" w:hAnsiTheme="minorHAnsi" w:cstheme="minorHAnsi"/>
        </w:rPr>
        <w:t>）在竖井、天井、溜井和漏斗口上方，或在坠落基准面2m以上作业，有发生坠落危险的，应设安全网等防护设施，作业人员应佩戴安全带。作业时，不应抛掷物件，不应上下层同时作业，并应设专人监护。</w:t>
      </w:r>
    </w:p>
    <w:p w14:paraId="004F8A90">
      <w:pPr>
        <w:adjustRightInd w:val="0"/>
        <w:snapToGrid w:val="0"/>
        <w:spacing w:line="360" w:lineRule="auto"/>
        <w:ind w:firstLine="560"/>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2</w:t>
      </w:r>
      <w:r>
        <w:rPr>
          <w:rFonts w:hint="eastAsia" w:asciiTheme="minorHAnsi" w:hAnsiTheme="minorHAnsi" w:cstheme="minorHAnsi"/>
        </w:rPr>
        <w:t>）彭集铁矿二期开采深度已经超过800m，可能会面临高温热害问题，下一步设计阶段应对井下制冷降温系统进行设计或采取局部降温措施或考虑采用隔热措施。</w:t>
      </w:r>
    </w:p>
    <w:p w14:paraId="41C77C47">
      <w:pPr>
        <w:pStyle w:val="4"/>
        <w:spacing w:before="190" w:after="190" w:line="360" w:lineRule="exact"/>
        <w:rPr>
          <w:rFonts w:asciiTheme="minorHAnsi" w:hAnsiTheme="minorHAnsi" w:cstheme="minorHAnsi"/>
        </w:rPr>
      </w:pPr>
      <w:bookmarkStart w:id="436" w:name="_Toc199426951"/>
      <w:r>
        <w:rPr>
          <w:rFonts w:asciiTheme="minorHAnsi" w:hAnsiTheme="minorHAnsi" w:cstheme="minorHAnsi"/>
        </w:rPr>
        <w:t>4.3提升和运输单元</w:t>
      </w:r>
      <w:bookmarkEnd w:id="436"/>
    </w:p>
    <w:p w14:paraId="2D3EA83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（1）应对提升竖井的井塔或者井架内和竖井井底过卷段和过卷装置进行详细设计。</w:t>
      </w:r>
    </w:p>
    <w:p w14:paraId="57C79DE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过卷段高度应符合下列规定：</w:t>
      </w:r>
    </w:p>
    <w:p w14:paraId="20012D3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——提升速度大于6m/s时，不小于最高提升速度下运行1s的距离或者10m；</w:t>
      </w:r>
    </w:p>
    <w:p w14:paraId="6830545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——提升速度为3m/s～6m/s时，不小于6m；</w:t>
      </w:r>
    </w:p>
    <w:p w14:paraId="2120AB1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——提升速度小于3m/s时，不小于4m；</w:t>
      </w:r>
    </w:p>
    <w:p w14:paraId="7D50FD4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——凿井期间用吊桶提升时，不小于4m。</w:t>
      </w:r>
    </w:p>
    <w:p w14:paraId="271272A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过卷段终端应设置过卷挡梁；发生过卷事故后过卷挡梁应能正常使用。</w:t>
      </w:r>
    </w:p>
    <w:p w14:paraId="09C537E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竖井提升系统应符合下列规定：</w:t>
      </w:r>
    </w:p>
    <w:p w14:paraId="6DFF4EF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——过卷段应设过卷缓冲装置或者楔形罐道，使过卷容器能够平稳地在过卷段内停住；</w:t>
      </w:r>
    </w:p>
    <w:p w14:paraId="7685720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——深度大于800m的竖井应设过卷缓冲装置，使过卷容器在缓冲装置内平稳停住，并不再反向下滑或反弹。</w:t>
      </w:r>
    </w:p>
    <w:p w14:paraId="78758DE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w:t>
      </w:r>
      <w:r>
        <w:rPr>
          <w:rFonts w:hint="eastAsia"/>
          <w:szCs w:val="28"/>
        </w:rPr>
        <w:t>明确电机车滑触线分段开关的详细设计；</w:t>
      </w:r>
      <w:r>
        <w:rPr>
          <w:rFonts w:hint="eastAsia" w:asciiTheme="minorHAnsi" w:hAnsiTheme="minorHAnsi" w:cstheme="minorHAnsi"/>
          <w:szCs w:val="28"/>
        </w:rPr>
        <w:t>电机车滑触线应设分段开关，分段距离不超过500m。每一条支线也应设分段开关。上下班时间，距井筒50m以内的滑触线应切断电源。</w:t>
      </w:r>
    </w:p>
    <w:p w14:paraId="50D2AD4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（3）明确矿车连接装置设置情况；车辆的连接装置不得自行脱钩，车辆两端的碰头或缓冲器的伸出长度不小于100mm。</w:t>
      </w:r>
    </w:p>
    <w:p w14:paraId="3D4DE06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（4）下一步设计阶段应对无轨设备发动机类型、尾气净化装置、刹车装置、灭火装置等进行详细设计。</w:t>
      </w:r>
    </w:p>
    <w:p w14:paraId="6FA6629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w:t>
      </w:r>
      <w:r>
        <w:rPr>
          <w:rFonts w:asciiTheme="minorHAnsi" w:hAnsiTheme="minorHAnsi" w:cstheme="minorHAnsi"/>
          <w:szCs w:val="28"/>
        </w:rPr>
        <w:t>采用无轨设备运输应遵守下列规定：应采用地下矿山专用无轨设备；行驶速度不超过25km/h；通过斜坡道运输人员时，应采用井下专用运人车，每辆车乘员数量不超过25人；油料运输车辆在井下的行驶速度不超过15km/h，与其他同向运行车辆距离不小于100m；自动化作业采区应设置门禁系统；按照设备要求定期进行检查和维护保养。</w:t>
      </w:r>
    </w:p>
    <w:p w14:paraId="5D21749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）地下人车、井下运矿卡车都应取得矿用产品安全标志，并定期进行检验。</w:t>
      </w:r>
    </w:p>
    <w:p w14:paraId="77F65B6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（7）下一步设计阶段应对井下有轨人车进行说明，专用人车应有坚固的金属顶棚和确保人员安全的车辆结构，车辆的顶棚、车厢和车架应有良好的连接，通过钢轨实现电气接地。</w:t>
      </w:r>
    </w:p>
    <w:p w14:paraId="411D6F2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（8）专用人车运送人员应遵守下列规定：</w:t>
      </w:r>
    </w:p>
    <w:p w14:paraId="213F462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——人员上、下车地点应有良好的照明和声光信号装置；</w:t>
      </w:r>
    </w:p>
    <w:p w14:paraId="1373051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——人员上、下车时，其他车辆不应进入乘车区域；</w:t>
      </w:r>
    </w:p>
    <w:p w14:paraId="3E97CCD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——不应超员；</w:t>
      </w:r>
    </w:p>
    <w:p w14:paraId="6099A9B2">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——列车行驶前应挂好安全门链；</w:t>
      </w:r>
    </w:p>
    <w:p w14:paraId="020FF2DA">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——列车行驶速度不超过3m/s；</w:t>
      </w:r>
    </w:p>
    <w:p w14:paraId="38E438D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——架线式电机车的滑触线应设分段开关，人员上、下车时应切断电源；</w:t>
      </w:r>
    </w:p>
    <w:p w14:paraId="26663B7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——不应用人车运送具有爆炸性、易燃性、腐蚀性等危险特性的物品；</w:t>
      </w:r>
    </w:p>
    <w:p w14:paraId="3B0367F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——除了处理事故外，不应附挂材料车。</w:t>
      </w:r>
    </w:p>
    <w:p w14:paraId="319D95B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9）下一步设计阶段应明确无人驾驶电机车运行控制系统的安全功能及性能参数，地面操控系统的人机功效学与安全措施，井下电机车自动识别与自动避障的措施，井下运输线路和主溜井卸载站的安全保障措施（如人、机物理隔离、自动控制信号系统等）。</w:t>
      </w:r>
    </w:p>
    <w:p w14:paraId="6B5DF75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0</w:t>
      </w:r>
      <w:r>
        <w:rPr>
          <w:rFonts w:hint="eastAsia" w:asciiTheme="minorHAnsi" w:hAnsiTheme="minorHAnsi" w:cstheme="minorHAnsi"/>
          <w:szCs w:val="28"/>
        </w:rPr>
        <w:t>）下一步设计阶段应对带式输送机运行安全提出详细措施：</w:t>
      </w:r>
    </w:p>
    <w:p w14:paraId="0EE7488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——任何人员均不应搭乘非载人带式输送机；</w:t>
      </w:r>
    </w:p>
    <w:p w14:paraId="59D6679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——跨越输送机的地点应设置带有安全栏杆的跨越桥；</w:t>
      </w:r>
    </w:p>
    <w:p w14:paraId="1150F21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——清除附着在输送带、滚筒和托辊上的物料，应停车进行；</w:t>
      </w:r>
    </w:p>
    <w:p w14:paraId="6962F9F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——不应在运行的输送带下清理物料；</w:t>
      </w:r>
    </w:p>
    <w:p w14:paraId="151D8F98">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——输送机运转时不应进行注油、检查和修理等工作；</w:t>
      </w:r>
    </w:p>
    <w:p w14:paraId="2A1A798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——维修或者更换备件时，应停车并切断电源，并由专人监护不许送电。</w:t>
      </w:r>
    </w:p>
    <w:p w14:paraId="54B542E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带式输送机应有下列安全保护装置：</w:t>
      </w:r>
    </w:p>
    <w:p w14:paraId="48D4725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——装料点和卸料点设空仓、满仓等保护和报警装置，并与输送机联锁；</w:t>
      </w:r>
    </w:p>
    <w:p w14:paraId="1933F01E">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——输送带清扫装置以及防大块冲击、防输送带跑偏等的保护装置；</w:t>
      </w:r>
    </w:p>
    <w:p w14:paraId="788F675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——紧急停车装置；</w:t>
      </w:r>
    </w:p>
    <w:p w14:paraId="307B860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——制动装置。</w:t>
      </w:r>
    </w:p>
    <w:p w14:paraId="0DD0F70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1</w:t>
      </w:r>
      <w:r>
        <w:rPr>
          <w:rFonts w:hint="eastAsia" w:asciiTheme="minorHAnsi" w:hAnsiTheme="minorHAnsi" w:cstheme="minorHAnsi"/>
          <w:szCs w:val="28"/>
        </w:rPr>
        <w:t>）K</w:t>
      </w:r>
      <w:r>
        <w:rPr>
          <w:rFonts w:asciiTheme="minorHAnsi" w:hAnsiTheme="minorHAnsi" w:cstheme="minorHAnsi"/>
          <w:szCs w:val="28"/>
        </w:rPr>
        <w:t>1</w:t>
      </w:r>
      <w:r>
        <w:rPr>
          <w:rFonts w:hint="eastAsia" w:asciiTheme="minorHAnsi" w:hAnsiTheme="minorHAnsi" w:cstheme="minorHAnsi"/>
          <w:szCs w:val="28"/>
        </w:rPr>
        <w:t>、K</w:t>
      </w:r>
      <w:r>
        <w:rPr>
          <w:rFonts w:asciiTheme="minorHAnsi" w:hAnsiTheme="minorHAnsi" w:cstheme="minorHAnsi"/>
          <w:szCs w:val="28"/>
        </w:rPr>
        <w:t>2</w:t>
      </w:r>
      <w:r>
        <w:rPr>
          <w:rFonts w:hint="eastAsia" w:asciiTheme="minorHAnsi" w:hAnsiTheme="minorHAnsi" w:cstheme="minorHAnsi"/>
          <w:szCs w:val="28"/>
        </w:rPr>
        <w:t>胶带均超过400m，带式输送机应设下列保护装置：</w:t>
      </w:r>
    </w:p>
    <w:p w14:paraId="24A1D4D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——防输送带撕裂、断带等保护装置；</w:t>
      </w:r>
    </w:p>
    <w:p w14:paraId="6F6FC56D">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——防止过速、过载、打滑等的保护装置；</w:t>
      </w:r>
    </w:p>
    <w:p w14:paraId="2DF5C7B5">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——线路上的信号、电气联锁和紧急停车装置。</w:t>
      </w:r>
    </w:p>
    <w:p w14:paraId="48FB2DD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2</w:t>
      </w:r>
      <w:r>
        <w:rPr>
          <w:rFonts w:hint="eastAsia" w:asciiTheme="minorHAnsi" w:hAnsiTheme="minorHAnsi" w:cstheme="minorHAnsi"/>
          <w:szCs w:val="28"/>
        </w:rPr>
        <w:t>）上行带式输送机应有防止输送带逆转的措施。</w:t>
      </w:r>
    </w:p>
    <w:p w14:paraId="42686890">
      <w:pPr>
        <w:pStyle w:val="4"/>
        <w:spacing w:before="190" w:after="190" w:line="360" w:lineRule="exact"/>
        <w:rPr>
          <w:rFonts w:asciiTheme="minorHAnsi" w:hAnsiTheme="minorHAnsi" w:cstheme="minorHAnsi"/>
        </w:rPr>
      </w:pPr>
      <w:bookmarkStart w:id="437" w:name="_Toc199426952"/>
      <w:r>
        <w:rPr>
          <w:rFonts w:asciiTheme="minorHAnsi" w:hAnsiTheme="minorHAnsi" w:cstheme="minorHAnsi"/>
        </w:rPr>
        <w:t>4.4采掘单元</w:t>
      </w:r>
      <w:bookmarkEnd w:id="437"/>
    </w:p>
    <w:p w14:paraId="291C9AB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目前进行的采场结构参数分析主要是采用理论图表法进行，相关岩体条件按照地质报告并结合经验进行评估。应补充一定的工程地质勘察工作以及必要的岩石力学试验，确定岩体参数，开展采场结构参数三维数值分析，校核采场结构参数和采场布置方式的合理性。</w:t>
      </w:r>
    </w:p>
    <w:p w14:paraId="4968A796">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（2）矿山最终开采深度大于800m，应开展地应力测试工作，如存在高地压情况，应对深部矿体开采岩爆倾向性论证及防治措施建议。</w:t>
      </w:r>
    </w:p>
    <w:p w14:paraId="4EF21369">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（3）下一步设计阶段应开展一、二期过渡的安全影响问题专题研究。</w:t>
      </w:r>
    </w:p>
    <w:p w14:paraId="37DF8EE4">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4</w:t>
      </w:r>
      <w:r>
        <w:rPr>
          <w:rFonts w:hint="eastAsia" w:asciiTheme="minorHAnsi" w:hAnsiTheme="minorHAnsi" w:cstheme="minorHAnsi"/>
          <w:szCs w:val="28"/>
        </w:rPr>
        <w:t>）下一步设计阶段应明确井下爆破参数及炸药单耗，并对井下爆破对地表工业场地及上部开拓工程的影响进行分析。</w:t>
      </w:r>
    </w:p>
    <w:p w14:paraId="1679A250">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5</w:t>
      </w:r>
      <w:r>
        <w:rPr>
          <w:rFonts w:hint="eastAsia" w:asciiTheme="minorHAnsi" w:hAnsiTheme="minorHAnsi" w:cstheme="minorHAnsi"/>
          <w:szCs w:val="28"/>
        </w:rPr>
        <w:t>）下一步设计阶段应对井下充填挡墙构建、充填顺序、泄水设施、充填体强度等进行详细设计。</w:t>
      </w:r>
    </w:p>
    <w:p w14:paraId="5354969A">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w:t>
      </w:r>
      <w:r>
        <w:rPr>
          <w:rFonts w:asciiTheme="minorHAnsi" w:hAnsiTheme="minorHAnsi" w:cstheme="minorHAnsi"/>
          <w:szCs w:val="28"/>
        </w:rPr>
        <w:t>加强巷道施工地质超前预报专题研究，重点调查断裂、冲击地压、突水和地面沉降的地质调查和超前灾害防治方案研究。</w:t>
      </w:r>
    </w:p>
    <w:p w14:paraId="6F226CFB">
      <w:pPr>
        <w:tabs>
          <w:tab w:val="left" w:pos="993"/>
        </w:tabs>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7</w:t>
      </w:r>
      <w:r>
        <w:rPr>
          <w:rFonts w:hint="eastAsia" w:asciiTheme="minorHAnsi" w:hAnsiTheme="minorHAnsi" w:cstheme="minorHAnsi"/>
          <w:szCs w:val="28"/>
        </w:rPr>
        <w:t>）</w:t>
      </w:r>
      <w:r>
        <w:rPr>
          <w:rFonts w:asciiTheme="minorHAnsi" w:hAnsiTheme="minorHAnsi" w:cstheme="minorHAnsi"/>
          <w:szCs w:val="28"/>
        </w:rPr>
        <w:t>实际生产过程中应重视井巷支护问题，应对支护强度、支护方式与支护参数的合理性重点考虑。</w:t>
      </w:r>
    </w:p>
    <w:p w14:paraId="16BBCDA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8</w:t>
      </w:r>
      <w:r>
        <w:rPr>
          <w:rFonts w:hint="eastAsia" w:asciiTheme="minorHAnsi" w:hAnsiTheme="minorHAnsi" w:cstheme="minorHAnsi"/>
          <w:szCs w:val="28"/>
        </w:rPr>
        <w:t>）</w:t>
      </w:r>
      <w:r>
        <w:rPr>
          <w:rFonts w:asciiTheme="minorHAnsi" w:hAnsiTheme="minorHAnsi" w:cstheme="minorHAnsi"/>
          <w:szCs w:val="28"/>
        </w:rPr>
        <w:t>长期监测开采过程中地表沉降，将观测数据进行统计、整理，并进行分析研究，得出地表沉降的空间时间移动规律，为矿区正常生产提供参考依据。</w:t>
      </w:r>
    </w:p>
    <w:p w14:paraId="3DCC3117">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9</w:t>
      </w:r>
      <w:r>
        <w:rPr>
          <w:rFonts w:hint="eastAsia" w:asciiTheme="minorHAnsi" w:hAnsiTheme="minorHAnsi" w:cstheme="minorHAnsi"/>
          <w:szCs w:val="28"/>
        </w:rPr>
        <w:t>）</w:t>
      </w:r>
      <w:r>
        <w:rPr>
          <w:rFonts w:asciiTheme="minorHAnsi" w:hAnsiTheme="minorHAnsi" w:cstheme="minorHAnsi"/>
          <w:szCs w:val="28"/>
        </w:rPr>
        <w:t>研究深部地压活动规律，通过在线实时监测，分析深部开采岩体应力集中区和应力场变化特点，开展地压活动和岩爆先兆评估，进而预测、预报地压危害和岩爆发生。</w:t>
      </w:r>
    </w:p>
    <w:p w14:paraId="161B550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0</w:t>
      </w:r>
      <w:r>
        <w:rPr>
          <w:rFonts w:hint="eastAsia" w:asciiTheme="minorHAnsi" w:hAnsiTheme="minorHAnsi" w:cstheme="minorHAnsi"/>
          <w:szCs w:val="28"/>
        </w:rPr>
        <w:t>）下步设计完善支护设计内容，包括顶板分级、支护方式选择、支护参数确定、支护质量控制要求等。</w:t>
      </w:r>
    </w:p>
    <w:p w14:paraId="0667279D">
      <w:pPr>
        <w:pStyle w:val="4"/>
        <w:spacing w:before="190" w:after="190" w:line="360" w:lineRule="exact"/>
        <w:rPr>
          <w:rFonts w:asciiTheme="minorHAnsi" w:hAnsiTheme="minorHAnsi" w:cstheme="minorHAnsi"/>
        </w:rPr>
      </w:pPr>
      <w:bookmarkStart w:id="438" w:name="_Toc199426953"/>
      <w:r>
        <w:rPr>
          <w:rFonts w:asciiTheme="minorHAnsi" w:hAnsiTheme="minorHAnsi" w:cstheme="minorHAnsi"/>
        </w:rPr>
        <w:t>4.5充填单元</w:t>
      </w:r>
      <w:bookmarkEnd w:id="438"/>
    </w:p>
    <w:p w14:paraId="12B91B8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（1）下一步设计前应开展充填材料试验研究，结合配比及强度试验结果对充填浓度进行适当调整。</w:t>
      </w:r>
    </w:p>
    <w:p w14:paraId="62625F83">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（2）为确保充填质量，防止爆管、堵管等危害，建议对充填料配比和浓度合理性进行验证。</w:t>
      </w:r>
    </w:p>
    <w:p w14:paraId="72F71162">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（3）为防止压力太大导致爆管危害，建议在充填时管道系统设置压力调控和减压控制措施，建立对管道压力动态检测系统。</w:t>
      </w:r>
    </w:p>
    <w:p w14:paraId="7080D71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（4）采场应按要求设置充填挡墙。</w:t>
      </w:r>
    </w:p>
    <w:p w14:paraId="19C92DFB">
      <w:pPr>
        <w:pStyle w:val="4"/>
        <w:spacing w:before="190" w:after="190" w:line="360" w:lineRule="exact"/>
        <w:rPr>
          <w:rFonts w:asciiTheme="minorHAnsi" w:hAnsiTheme="minorHAnsi" w:cstheme="minorHAnsi"/>
        </w:rPr>
      </w:pPr>
      <w:bookmarkStart w:id="439" w:name="_Hlk173246859"/>
      <w:bookmarkStart w:id="440" w:name="_Toc199426954"/>
      <w:r>
        <w:rPr>
          <w:rFonts w:asciiTheme="minorHAnsi" w:hAnsiTheme="minorHAnsi" w:cstheme="minorHAnsi"/>
        </w:rPr>
        <w:t>4.</w:t>
      </w:r>
      <w:bookmarkEnd w:id="439"/>
      <w:r>
        <w:rPr>
          <w:rFonts w:asciiTheme="minorHAnsi" w:hAnsiTheme="minorHAnsi" w:cstheme="minorHAnsi"/>
        </w:rPr>
        <w:t>6通风单元</w:t>
      </w:r>
      <w:bookmarkEnd w:id="440"/>
    </w:p>
    <w:p w14:paraId="17F9E94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（1）下阶段设计风量计算应加入对机电硐室供给新鲜风流的计算内容。</w:t>
      </w:r>
    </w:p>
    <w:p w14:paraId="6975FC5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由于通风线路较长，且为多级机站通风，为了防止风流短路、漏风现象，要增设好通风构筑物（风窗、风门、风墙等），对废弃巷道及时封闭；为防止风量分配不合理，应对风量定期进行检测，并及时对风量进行调整。</w:t>
      </w:r>
    </w:p>
    <w:p w14:paraId="6E5D6E83">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（3）为防止风量分配不合理，应对风量定期进行检测，并及时对风量进行调整。</w:t>
      </w:r>
    </w:p>
    <w:p w14:paraId="1165958C">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建议在主要采掘工作面和通风机房设置风速风压传感器，实现对全矿井风量、风速、风压的动态监测。通过自动化监测系统，可以实时掌握通风状况，及时发现和处理通风异常，确保通风系统的安全和有效运行。</w:t>
      </w:r>
    </w:p>
    <w:p w14:paraId="0126DC60">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（5）制定详细的通风设施维护计划，包括定期检查和维修主通风机、局部通风设备、风门和调节风门等。及时发现和处理设备故障，保证通风系统的持续稳定运行。</w:t>
      </w:r>
    </w:p>
    <w:p w14:paraId="4AE1116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（6）在需要控制风流的地方合理设置风门和调节风门，确保风流路径畅通，避免因风门位置不当导致的风流短路或风流不均匀现象。</w:t>
      </w:r>
    </w:p>
    <w:p w14:paraId="55BD513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（7）随着矿山开采工作的推进，通风需求可能会发生变化。建议定期评估和调整通风系统，根据实际需要增加或调整通风设备，确保每个工作面都有足够的新鲜空气供应。</w:t>
      </w:r>
    </w:p>
    <w:p w14:paraId="327FAC71">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（8）下一步设计阶段应对井下各通风基站位置及主扇安装位置、风速、风量进行明确。</w:t>
      </w:r>
    </w:p>
    <w:p w14:paraId="1B801F5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9）彭集铁矿二期开采深度已经超过800m，依据勘探报告预测矿床最低开采深度-1000m的地温为31.2℃，会面临高温热害问题，下一步设计阶段，在风量计算中，作业面风速、二期破碎硐室等位置应按照排热风速计算需风量。</w:t>
      </w:r>
    </w:p>
    <w:p w14:paraId="5AE1E387">
      <w:pPr>
        <w:pStyle w:val="4"/>
        <w:spacing w:before="190" w:after="190" w:line="360" w:lineRule="exact"/>
        <w:rPr>
          <w:rFonts w:asciiTheme="minorHAnsi" w:hAnsiTheme="minorHAnsi" w:cstheme="minorHAnsi"/>
        </w:rPr>
      </w:pPr>
      <w:bookmarkStart w:id="441" w:name="_Toc199426955"/>
      <w:r>
        <w:rPr>
          <w:rFonts w:asciiTheme="minorHAnsi" w:hAnsiTheme="minorHAnsi" w:cstheme="minorHAnsi"/>
        </w:rPr>
        <w:t>4.7防排水与防灭火</w:t>
      </w:r>
      <w:bookmarkEnd w:id="441"/>
    </w:p>
    <w:p w14:paraId="673585CA">
      <w:pPr>
        <w:snapToGrid w:val="0"/>
        <w:spacing w:line="360" w:lineRule="auto"/>
        <w:ind w:firstLine="560"/>
        <w:rPr>
          <w:rFonts w:asciiTheme="minorHAnsi" w:hAnsiTheme="minorHAnsi" w:cstheme="minorHAnsi"/>
        </w:rPr>
      </w:pPr>
      <w:bookmarkStart w:id="442" w:name="_Toc88924680"/>
      <w:r>
        <w:rPr>
          <w:rFonts w:hint="eastAsia" w:asciiTheme="minorHAnsi" w:hAnsiTheme="minorHAnsi" w:cstheme="minorHAnsi"/>
        </w:rPr>
        <w:t>（1）有突水可能性的工作面应设置救生圈、安全绳等救生设施。</w:t>
      </w:r>
    </w:p>
    <w:p w14:paraId="0B5A7DB6">
      <w:pPr>
        <w:snapToGrid w:val="0"/>
        <w:spacing w:line="360" w:lineRule="auto"/>
        <w:ind w:firstLine="560"/>
        <w:rPr>
          <w:rFonts w:asciiTheme="minorHAnsi" w:hAnsiTheme="minorHAnsi" w:cstheme="minorHAnsi"/>
        </w:rPr>
      </w:pPr>
      <w:r>
        <w:rPr>
          <w:rFonts w:hint="eastAsia" w:asciiTheme="minorHAnsi" w:hAnsiTheme="minorHAnsi" w:cstheme="minorHAnsi"/>
        </w:rPr>
        <w:t>（2）在建设和生产过程中必须坚持“预测预报、有疑必探、先探后掘，先治后采”的探放水原则。在接近中等-强含水层、导水断层部位或其他水文地质条件可疑地段，应采用物探与钻探相结合的方式进行探水，避免突水事故的发生。发现有透（突）水征兆时，应立即停止受水害威胁区域的作业，撤出所有可能受水威胁区域的人员，采取有效安全措施。</w:t>
      </w:r>
    </w:p>
    <w:p w14:paraId="2995751A">
      <w:pPr>
        <w:snapToGrid w:val="0"/>
        <w:spacing w:line="360" w:lineRule="auto"/>
        <w:ind w:firstLine="560"/>
        <w:rPr>
          <w:rFonts w:asciiTheme="minorHAnsi" w:hAnsiTheme="minorHAnsi" w:cstheme="minorHAnsi"/>
        </w:rPr>
      </w:pPr>
      <w:r>
        <w:rPr>
          <w:rFonts w:hint="eastAsia" w:asciiTheme="minorHAnsi" w:hAnsiTheme="minorHAnsi" w:cstheme="minorHAnsi"/>
        </w:rPr>
        <w:t>（3）建议对水文地质条件进一步查明，进一步查明矿区构造带及其含水性、导水性及与其它含水层的水力联系，合理预测深部开采的矿坑涌水量，并为制定防治水措施提供依据。</w:t>
      </w:r>
    </w:p>
    <w:p w14:paraId="65BA32F2">
      <w:pPr>
        <w:snapToGrid w:val="0"/>
        <w:spacing w:line="360" w:lineRule="auto"/>
        <w:ind w:firstLine="560"/>
        <w:rPr>
          <w:rFonts w:asciiTheme="minorHAnsi" w:hAnsiTheme="minorHAnsi" w:cstheme="minorHAnsi"/>
        </w:rPr>
      </w:pPr>
      <w:r>
        <w:rPr>
          <w:rFonts w:hint="eastAsia" w:asciiTheme="minorHAnsi" w:hAnsiTheme="minorHAnsi" w:cstheme="minorHAnsi"/>
        </w:rPr>
        <w:t>（4）矿床范围内断层不发育，最近的断层F3位于南部开采范围外，距离-475m首采矿段南部边界约950m，距离-475m南部开采边界约70m，开采至F3断层附近区域时应注意探水，加强生产时期的水文地质勘探研究工作。</w:t>
      </w:r>
    </w:p>
    <w:p w14:paraId="42B1CF6A">
      <w:pPr>
        <w:snapToGrid w:val="0"/>
        <w:spacing w:line="360" w:lineRule="auto"/>
        <w:ind w:firstLine="560"/>
        <w:rPr>
          <w:rFonts w:asciiTheme="minorHAnsi" w:hAnsiTheme="minorHAnsi" w:cstheme="minorHAnsi"/>
        </w:rPr>
      </w:pPr>
      <w:r>
        <w:rPr>
          <w:rFonts w:hint="eastAsia" w:asciiTheme="minorHAnsi" w:hAnsiTheme="minorHAnsi" w:cstheme="minorHAnsi"/>
        </w:rPr>
        <w:t>（5）今后应补充护顶矿柱厚度的研究工作，根据开采方法和矿区的水文地质与工程地质条件，开展护顶矿柱厚度的分析与研究，给护顶矿柱的选取提供可靠依据。</w:t>
      </w:r>
    </w:p>
    <w:p w14:paraId="2AE0E679">
      <w:pPr>
        <w:snapToGrid w:val="0"/>
        <w:spacing w:line="360" w:lineRule="auto"/>
        <w:ind w:firstLine="560"/>
        <w:rPr>
          <w:rFonts w:asciiTheme="minorHAnsi" w:hAnsiTheme="minorHAnsi" w:cstheme="minorHAnsi"/>
        </w:rPr>
      </w:pPr>
      <w:r>
        <w:rPr>
          <w:rFonts w:hint="eastAsia" w:asciiTheme="minorHAnsi" w:hAnsiTheme="minorHAnsi" w:cstheme="minorHAnsi"/>
        </w:rPr>
        <w:t>（6）下一步设计阶段应对井下运油车辆消防器材配备提出要求。</w:t>
      </w:r>
    </w:p>
    <w:p w14:paraId="7B8DD555">
      <w:pPr>
        <w:snapToGrid w:val="0"/>
        <w:spacing w:line="360" w:lineRule="auto"/>
        <w:ind w:firstLine="560"/>
        <w:rPr>
          <w:rFonts w:asciiTheme="minorHAnsi" w:hAnsiTheme="minorHAnsi" w:cstheme="minorHAnsi"/>
        </w:rPr>
      </w:pPr>
      <w:r>
        <w:rPr>
          <w:rFonts w:hint="eastAsia" w:asciiTheme="minorHAnsi" w:hAnsiTheme="minorHAnsi" w:cstheme="minorHAnsi"/>
        </w:rPr>
        <w:t>（7）下一步设计阶段应补充井下灭火用高位水池水位监测与报警措施。</w:t>
      </w:r>
    </w:p>
    <w:p w14:paraId="2F547D29">
      <w:pPr>
        <w:pStyle w:val="4"/>
        <w:spacing w:before="190" w:after="190" w:line="360" w:lineRule="exact"/>
        <w:rPr>
          <w:rFonts w:asciiTheme="minorHAnsi" w:hAnsiTheme="minorHAnsi" w:cstheme="minorHAnsi"/>
        </w:rPr>
      </w:pPr>
      <w:bookmarkStart w:id="443" w:name="_Toc199426956"/>
      <w:r>
        <w:rPr>
          <w:rFonts w:asciiTheme="minorHAnsi" w:hAnsiTheme="minorHAnsi" w:cstheme="minorHAnsi"/>
        </w:rPr>
        <w:t>4.8矿山供配电设施单元</w:t>
      </w:r>
      <w:bookmarkEnd w:id="443"/>
    </w:p>
    <w:p w14:paraId="031C2091">
      <w:pPr>
        <w:snapToGrid w:val="0"/>
        <w:spacing w:line="360" w:lineRule="auto"/>
        <w:ind w:firstLine="564"/>
        <w:rPr>
          <w:rFonts w:asciiTheme="minorHAnsi" w:hAnsiTheme="minorHAnsi" w:cstheme="minorHAnsi"/>
          <w:snapToGrid w:val="0"/>
          <w:kern w:val="0"/>
          <w:szCs w:val="24"/>
        </w:rPr>
      </w:pPr>
      <w:r>
        <w:rPr>
          <w:rFonts w:hint="eastAsia" w:asciiTheme="minorHAnsi" w:hAnsiTheme="minorHAnsi" w:cstheme="minorHAnsi"/>
          <w:spacing w:val="2"/>
          <w:szCs w:val="21"/>
        </w:rPr>
        <w:t>（1）</w:t>
      </w:r>
      <w:r>
        <w:rPr>
          <w:rFonts w:asciiTheme="minorHAnsi" w:hAnsiTheme="minorHAnsi" w:cstheme="minorHAnsi"/>
          <w:spacing w:val="2"/>
          <w:szCs w:val="21"/>
        </w:rPr>
        <w:t>下一阶段设计</w:t>
      </w:r>
      <w:r>
        <w:rPr>
          <w:rFonts w:hint="eastAsia" w:asciiTheme="minorHAnsi" w:hAnsiTheme="minorHAnsi" w:cstheme="minorHAnsi"/>
          <w:spacing w:val="2"/>
          <w:szCs w:val="21"/>
        </w:rPr>
        <w:t>应对电力电缆的选择及敷设进行详细设计</w:t>
      </w:r>
      <w:r>
        <w:rPr>
          <w:rFonts w:hint="eastAsia" w:asciiTheme="minorHAnsi" w:hAnsiTheme="minorHAnsi" w:cstheme="minorHAnsi"/>
          <w:snapToGrid w:val="0"/>
          <w:kern w:val="0"/>
          <w:szCs w:val="24"/>
        </w:rPr>
        <w:t>。</w:t>
      </w:r>
    </w:p>
    <w:p w14:paraId="202DF0BC">
      <w:pPr>
        <w:pStyle w:val="4"/>
        <w:spacing w:before="190" w:after="381" w:afterLines="100" w:line="360" w:lineRule="exact"/>
        <w:rPr>
          <w:rFonts w:asciiTheme="minorHAnsi" w:hAnsiTheme="minorHAnsi" w:cstheme="minorHAnsi"/>
        </w:rPr>
      </w:pPr>
      <w:bookmarkStart w:id="444" w:name="_Toc199426957"/>
      <w:r>
        <w:rPr>
          <w:rFonts w:asciiTheme="minorHAnsi" w:hAnsiTheme="minorHAnsi" w:cstheme="minorHAnsi"/>
        </w:rPr>
        <w:t xml:space="preserve">4.9 </w:t>
      </w:r>
      <w:bookmarkEnd w:id="442"/>
      <w:r>
        <w:rPr>
          <w:rFonts w:hint="eastAsia" w:asciiTheme="minorHAnsi" w:hAnsiTheme="minorHAnsi" w:cstheme="minorHAnsi"/>
        </w:rPr>
        <w:t>安全避险“六大系统”系统单元</w:t>
      </w:r>
      <w:bookmarkEnd w:id="444"/>
    </w:p>
    <w:p w14:paraId="20C10F16">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（1）下一步设计阶段应对安全避险“六大系统”系统进行详细设计。</w:t>
      </w:r>
    </w:p>
    <w:p w14:paraId="296C80DB">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（2）下一步设计阶段应对监测监控系统进行详细设计说明，主机应安装在地面，并双机备份，且应在矿山生产调度室设置显示终端；配备备用电源，主机和分站的备用电源应能保证连续工作2h以上。</w:t>
      </w:r>
    </w:p>
    <w:p w14:paraId="42981E6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（3）下一步设计阶段应对主要通风机、辅助通风机、局部通风机设置开停传感器进行详细说明。</w:t>
      </w:r>
    </w:p>
    <w:p w14:paraId="60D47019">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（4）下一步设计阶段应对矿山入井人员自救器配备进行详细设计，自救器额定防护时间不少于30min，并按入井总人数的10%配备备用自救器；所有入井人员必须随身携带自救器。</w:t>
      </w:r>
    </w:p>
    <w:p w14:paraId="58C54784">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（5）下一步设计阶段应对自救器额定防护时间及配备数量要求进行说明。</w:t>
      </w:r>
    </w:p>
    <w:p w14:paraId="2583CFAF">
      <w:pPr>
        <w:adjustRightInd w:val="0"/>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（6）《非煤矿山建设项目安全设施设计编写提纲 第1部分：金属非金属地下矿山建设项目安全设施设计编写提纲》（KA/T 20.1-2024）8.12矿山安全避险“六大系统”已变更为 “矿山专项安全保障系统”，建议可行性研究报告和下一步设计阶段应根据编写提纲进行变更。</w:t>
      </w:r>
    </w:p>
    <w:p w14:paraId="23558B5D">
      <w:pPr>
        <w:pStyle w:val="4"/>
        <w:spacing w:before="190" w:after="190" w:line="360" w:lineRule="exact"/>
        <w:rPr>
          <w:rFonts w:asciiTheme="minorHAnsi" w:hAnsiTheme="minorHAnsi" w:cstheme="minorHAnsi"/>
          <w:szCs w:val="28"/>
        </w:rPr>
      </w:pPr>
      <w:bookmarkStart w:id="445" w:name="_Toc199426958"/>
      <w:r>
        <w:rPr>
          <w:rFonts w:asciiTheme="minorHAnsi" w:hAnsiTheme="minorHAnsi" w:cstheme="minorHAnsi"/>
        </w:rPr>
        <w:t>4.10</w:t>
      </w:r>
      <w:r>
        <w:rPr>
          <w:rFonts w:asciiTheme="minorHAnsi" w:hAnsiTheme="minorHAnsi" w:cstheme="minorHAnsi"/>
          <w:szCs w:val="28"/>
        </w:rPr>
        <w:t>安全管理</w:t>
      </w:r>
      <w:r>
        <w:rPr>
          <w:rFonts w:hint="eastAsia" w:asciiTheme="minorHAnsi" w:hAnsiTheme="minorHAnsi" w:cstheme="minorHAnsi"/>
          <w:szCs w:val="28"/>
        </w:rPr>
        <w:t>及其他</w:t>
      </w:r>
      <w:bookmarkEnd w:id="445"/>
    </w:p>
    <w:p w14:paraId="23D044A8">
      <w:pPr>
        <w:snapToGrid w:val="0"/>
        <w:spacing w:line="360" w:lineRule="auto"/>
        <w:ind w:firstLine="560"/>
        <w:rPr>
          <w:rFonts w:asciiTheme="minorHAnsi" w:hAnsiTheme="minorHAnsi" w:cstheme="minorHAnsi"/>
        </w:rPr>
      </w:pPr>
      <w:r>
        <w:rPr>
          <w:rFonts w:hint="eastAsia" w:asciiTheme="minorHAnsi" w:hAnsiTheme="minorHAnsi" w:cstheme="minorHAnsi"/>
        </w:rPr>
        <w:t>（1）加强从业人员教育培训，从业人员必须熟知各类灾害避灾路线、地面建筑场所的安全疏散通道和自救逃生方法；不熟悉避灾逃生路线，或者不能熟练使用自救器等紧急自救装备的，不得安排上岗作业。</w:t>
      </w:r>
    </w:p>
    <w:p w14:paraId="07E69AA8">
      <w:pPr>
        <w:snapToGrid w:val="0"/>
        <w:spacing w:line="360" w:lineRule="auto"/>
        <w:ind w:firstLine="560"/>
        <w:rPr>
          <w:rFonts w:asciiTheme="minorHAnsi" w:hAnsiTheme="minorHAnsi" w:cstheme="minorHAnsi"/>
        </w:rPr>
      </w:pPr>
      <w:r>
        <w:rPr>
          <w:rFonts w:hint="eastAsia" w:asciiTheme="minorHAnsi" w:hAnsiTheme="minorHAnsi" w:cstheme="minorHAnsi"/>
        </w:rPr>
        <w:t>（2）强化重大灾害治理，加强隐蔽致灾因素普查治理。必须按规定采用钻探、物探、化探等方法相互验证，查清隐蔽致灾因素并采取有效措施后方可进行采掘作业。</w:t>
      </w:r>
    </w:p>
    <w:p w14:paraId="34C7C64B">
      <w:pPr>
        <w:snapToGrid w:val="0"/>
        <w:spacing w:line="360" w:lineRule="auto"/>
        <w:ind w:firstLine="560"/>
        <w:rPr>
          <w:rFonts w:asciiTheme="minorHAnsi" w:hAnsiTheme="minorHAnsi" w:cstheme="minorHAnsi"/>
        </w:rPr>
      </w:pPr>
      <w:r>
        <w:rPr>
          <w:rFonts w:hint="eastAsia" w:asciiTheme="minorHAnsi" w:hAnsiTheme="minorHAnsi" w:cstheme="minorHAnsi"/>
        </w:rPr>
        <w:t>（3）加强矿山自动化、智能化升级改造，完善人员定位、安全监测监控、通信联络、压风自救和供水施救等系统。</w:t>
      </w:r>
    </w:p>
    <w:p w14:paraId="6F0F0BFA">
      <w:pPr>
        <w:snapToGrid w:val="0"/>
        <w:spacing w:line="360" w:lineRule="auto"/>
        <w:ind w:firstLine="560"/>
        <w:rPr>
          <w:rFonts w:asciiTheme="minorHAnsi" w:hAnsiTheme="minorHAnsi" w:cstheme="minorHAnsi"/>
        </w:rPr>
      </w:pPr>
      <w:r>
        <w:rPr>
          <w:rFonts w:hint="eastAsia" w:asciiTheme="minorHAnsi" w:hAnsiTheme="minorHAnsi" w:cstheme="minorHAnsi"/>
        </w:rPr>
        <w:t>（4）矿山企业应当健全以安全风险分级管控和隐患排查治理双重预防机制为核心的安全生产标准化管理体系。严格开展风险辨识评估并实施分级管控，定期开展全员全覆盖隐患排查治理，建立风险隐患台账清单，实行闭环管理。</w:t>
      </w:r>
    </w:p>
    <w:p w14:paraId="2F4B62C4">
      <w:pPr>
        <w:snapToGrid w:val="0"/>
        <w:spacing w:line="360" w:lineRule="auto"/>
        <w:ind w:firstLine="560"/>
        <w:rPr>
          <w:rFonts w:asciiTheme="minorHAnsi" w:hAnsiTheme="minorHAnsi" w:cstheme="minorHAnsi"/>
        </w:rPr>
      </w:pPr>
      <w:r>
        <w:rPr>
          <w:rFonts w:hint="eastAsia" w:asciiTheme="minorHAnsi" w:hAnsiTheme="minorHAnsi" w:cstheme="minorHAnsi"/>
        </w:rPr>
        <w:t>（5）定期对取得矿山井下特种设备安全标志的在用设备设施开展安全可靠性检验。建立矿用安全设备全生命周期智慧监管平台，实行矿用设备安全责任追究制度。</w:t>
      </w:r>
    </w:p>
    <w:p w14:paraId="7A18D73C">
      <w:pPr>
        <w:snapToGrid w:val="0"/>
        <w:spacing w:line="360" w:lineRule="auto"/>
        <w:ind w:firstLine="560"/>
        <w:rPr>
          <w:rFonts w:asciiTheme="minorHAnsi" w:hAnsiTheme="minorHAnsi" w:cstheme="minorHAnsi"/>
        </w:rPr>
      </w:pPr>
      <w:r>
        <w:rPr>
          <w:rFonts w:hint="eastAsia" w:asciiTheme="minorHAnsi" w:hAnsiTheme="minorHAnsi" w:cstheme="minorHAnsi"/>
        </w:rPr>
        <w:t>（6）危险性较大的矿用产品，应根据国家有关规定取得矿用产品安全标志。</w:t>
      </w:r>
    </w:p>
    <w:p w14:paraId="2606176D">
      <w:pPr>
        <w:snapToGrid w:val="0"/>
        <w:spacing w:line="360" w:lineRule="auto"/>
        <w:ind w:firstLine="560"/>
        <w:rPr>
          <w:rFonts w:asciiTheme="minorHAnsi" w:hAnsiTheme="minorHAnsi" w:cstheme="minorHAnsi"/>
        </w:rPr>
      </w:pPr>
      <w:r>
        <w:rPr>
          <w:rFonts w:hint="eastAsia" w:asciiTheme="minorHAnsi" w:hAnsiTheme="minorHAnsi" w:cstheme="minorHAnsi"/>
        </w:rPr>
        <w:t>（7）加强矿区地质综合研究与采矿生产实践中所获得的成果资料的收集整理，为矿山今后的找探矿和生产提供可靠的地质依据。</w:t>
      </w:r>
    </w:p>
    <w:p w14:paraId="52BD8989">
      <w:pPr>
        <w:snapToGrid w:val="0"/>
        <w:spacing w:line="360" w:lineRule="auto"/>
        <w:ind w:firstLine="560"/>
        <w:rPr>
          <w:rFonts w:asciiTheme="minorHAnsi" w:hAnsiTheme="minorHAnsi" w:cstheme="minorHAnsi"/>
        </w:rPr>
      </w:pPr>
      <w:r>
        <w:rPr>
          <w:rFonts w:hint="eastAsia" w:asciiTheme="minorHAnsi" w:hAnsiTheme="minorHAnsi" w:cstheme="minorHAnsi"/>
        </w:rPr>
        <w:t>（8）下一步设计阶段应对智能矿山及安全避险“六大系统”系统进行详细设计。</w:t>
      </w:r>
    </w:p>
    <w:p w14:paraId="4C523DE9">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9</w:t>
      </w:r>
      <w:r>
        <w:rPr>
          <w:rFonts w:hint="eastAsia" w:asciiTheme="minorHAnsi" w:hAnsiTheme="minorHAnsi" w:cstheme="minorHAnsi"/>
        </w:rPr>
        <w:t>）矿山应建设安全管理信息平台，并应包括下列内容：矿山发生灾害时，快速、及时调用各系统的综合信息为安全避险和抢险救护提供决策支持情况，项目安全危害因素的事前预警情况等。</w:t>
      </w:r>
    </w:p>
    <w:p w14:paraId="0A1DF821">
      <w:pPr>
        <w:snapToGrid w:val="0"/>
        <w:spacing w:line="360" w:lineRule="auto"/>
        <w:ind w:firstLine="560"/>
        <w:rPr>
          <w:rFonts w:asciiTheme="minorHAnsi" w:hAnsiTheme="minorHAnsi" w:cstheme="minorHAnsi"/>
        </w:rPr>
      </w:pPr>
      <w:r>
        <w:rPr>
          <w:rFonts w:hint="eastAsia" w:asciiTheme="minorHAnsi" w:hAnsiTheme="minorHAnsi" w:cstheme="minorHAnsi"/>
        </w:rPr>
        <w:t>（10）井下设置爆破器材库构成重大危险源，企业应高度重视，避免各种事故的发生，不断完善应急预案和应急处理方法，定期进行演练，提高职工对突发事件的处理能力，确保企业的安全生产。</w:t>
      </w:r>
    </w:p>
    <w:p w14:paraId="31DAC132">
      <w:pPr>
        <w:snapToGrid w:val="0"/>
        <w:spacing w:line="360" w:lineRule="auto"/>
        <w:ind w:firstLine="560"/>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1</w:t>
      </w:r>
      <w:r>
        <w:rPr>
          <w:rFonts w:hint="eastAsia" w:asciiTheme="minorHAnsi" w:hAnsiTheme="minorHAnsi" w:cstheme="minorHAnsi"/>
        </w:rPr>
        <w:t>）下一阶段设计应明确新进地下矿山的生产作业人员应接受不少于72h的安全培训；经考试合格后，由从事地下矿山作业2年以上的老工人带领工作至少4个月，熟悉本工种操作技术并经考核合格方可独立工作。</w:t>
      </w:r>
    </w:p>
    <w:p w14:paraId="719ACBB5">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12</w:t>
      </w:r>
      <w:r>
        <w:rPr>
          <w:rFonts w:hint="eastAsia" w:asciiTheme="minorHAnsi" w:hAnsiTheme="minorHAnsi" w:cstheme="minorHAnsi"/>
        </w:rPr>
        <w:t>）下一阶段设计应明确矿山企业应建立由专职或兼职人员组成的事故应急救援组织，配备必要的应急救援器材和设备。与临近的事故救援组织签订救援协议。</w:t>
      </w:r>
    </w:p>
    <w:p w14:paraId="5A65CA2B">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13</w:t>
      </w:r>
      <w:r>
        <w:rPr>
          <w:rFonts w:hint="eastAsia" w:asciiTheme="minorHAnsi" w:hAnsiTheme="minorHAnsi" w:cstheme="minorHAnsi"/>
        </w:rPr>
        <w:t>）下一阶段设计应明确特种从业人员经有关业务主管部门考核合格，取得特种作业操作资格证书。</w:t>
      </w:r>
    </w:p>
    <w:p w14:paraId="0E09AB4A">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14</w:t>
      </w:r>
      <w:r>
        <w:rPr>
          <w:rFonts w:hint="eastAsia" w:asciiTheme="minorHAnsi" w:hAnsiTheme="minorHAnsi" w:cstheme="minorHAnsi"/>
        </w:rPr>
        <w:t>）下一阶段设计应明确企业加强对外包施工队伍的安全管理。从事非煤矿山采掘施工的外包施工单位必须具备矿山工程施工资质并取得安全生产许可证。非煤矿山企业要与外包施工单位签订安全生产管理协议，明确非煤矿山企业是安全生产的责任主体，外包施工单位对承接工程负直接安全生产责任。</w:t>
      </w:r>
    </w:p>
    <w:p w14:paraId="23FCFD4B">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15</w:t>
      </w:r>
      <w:r>
        <w:rPr>
          <w:rFonts w:hint="eastAsia" w:asciiTheme="minorHAnsi" w:hAnsiTheme="minorHAnsi" w:cstheme="minorHAnsi"/>
        </w:rPr>
        <w:t>）下一阶段设计应明确危险性较大的矿用产品，企业应根据国家有关规定取得矿用产品安全标志。</w:t>
      </w:r>
    </w:p>
    <w:p w14:paraId="3B8DDDB2">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16</w:t>
      </w:r>
      <w:r>
        <w:rPr>
          <w:rFonts w:hint="eastAsia" w:asciiTheme="minorHAnsi" w:hAnsiTheme="minorHAnsi" w:cstheme="minorHAnsi"/>
        </w:rPr>
        <w:t>）下一阶段设计应明确企业需依照《企业安全生产费用提取和使用管理办法》（财资〔2022〕136号）有关规定足额提取安全生产费用。</w:t>
      </w:r>
    </w:p>
    <w:p w14:paraId="348D0055">
      <w:pPr>
        <w:snapToGrid w:val="0"/>
        <w:spacing w:line="360" w:lineRule="auto"/>
        <w:ind w:firstLine="560"/>
        <w:rPr>
          <w:rFonts w:asciiTheme="minorHAnsi" w:hAnsiTheme="minorHAnsi" w:cstheme="minorHAnsi"/>
        </w:rPr>
      </w:pPr>
      <w:r>
        <w:rPr>
          <w:rFonts w:hint="eastAsia" w:asciiTheme="minorHAnsi" w:hAnsiTheme="minorHAnsi" w:cstheme="minorHAnsi"/>
        </w:rPr>
        <w:t>（1</w:t>
      </w:r>
      <w:r>
        <w:rPr>
          <w:rFonts w:asciiTheme="minorHAnsi" w:hAnsiTheme="minorHAnsi" w:cstheme="minorHAnsi"/>
        </w:rPr>
        <w:t>7</w:t>
      </w:r>
      <w:r>
        <w:rPr>
          <w:rFonts w:hint="eastAsia" w:asciiTheme="minorHAnsi" w:hAnsiTheme="minorHAnsi" w:cstheme="minorHAnsi"/>
        </w:rPr>
        <w:t>）矿山应有注册安全工程师从事安全生产管理工作。配备的专职安全生产管理人员应当从事矿山工作5年及以上、具有相应的非煤矿山安全生产专业知识和工作经验并熟悉本矿生产系统。专职安全生产管理人员数量按不少于从业人数的百分之一配备，并不少于</w:t>
      </w:r>
      <w:r>
        <w:rPr>
          <w:rFonts w:asciiTheme="minorHAnsi" w:hAnsiTheme="minorHAnsi" w:cstheme="minorHAnsi"/>
        </w:rPr>
        <w:t>3</w:t>
      </w:r>
      <w:r>
        <w:rPr>
          <w:rFonts w:hint="eastAsia" w:asciiTheme="minorHAnsi" w:hAnsiTheme="minorHAnsi" w:cstheme="minorHAnsi"/>
        </w:rPr>
        <w:t>人。</w:t>
      </w:r>
    </w:p>
    <w:p w14:paraId="44BAE64D">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18</w:t>
      </w:r>
      <w:r>
        <w:rPr>
          <w:rFonts w:hint="eastAsia" w:asciiTheme="minorHAnsi" w:hAnsiTheme="minorHAnsi" w:cstheme="minorHAnsi"/>
        </w:rPr>
        <w:t>）矿山应当配备专职的矿长、总工程师和分管安全、生产、机电的副矿长，以上人员应当具有采矿、地质、矿建（井建）、通风、测量、机电、安全等矿山相关专业大专及以上学历或者中级及以上技术职称。</w:t>
      </w:r>
    </w:p>
    <w:p w14:paraId="3D1E9679">
      <w:pPr>
        <w:snapToGrid w:val="0"/>
        <w:spacing w:line="360" w:lineRule="auto"/>
        <w:ind w:firstLine="560"/>
        <w:rPr>
          <w:rFonts w:asciiTheme="minorHAnsi" w:hAnsiTheme="minorHAnsi" w:cstheme="minorHAnsi"/>
        </w:rPr>
      </w:pPr>
      <w:r>
        <w:rPr>
          <w:rFonts w:hint="eastAsia" w:asciiTheme="minorHAnsi" w:hAnsiTheme="minorHAnsi" w:cstheme="minorHAnsi"/>
        </w:rPr>
        <w:t>（</w:t>
      </w:r>
      <w:r>
        <w:rPr>
          <w:rFonts w:asciiTheme="minorHAnsi" w:hAnsiTheme="minorHAnsi" w:cstheme="minorHAnsi"/>
        </w:rPr>
        <w:t>19</w:t>
      </w:r>
      <w:r>
        <w:rPr>
          <w:rFonts w:hint="eastAsia" w:asciiTheme="minorHAnsi" w:hAnsiTheme="minorHAnsi" w:cstheme="minorHAnsi"/>
        </w:rPr>
        <w:t>）矿山应当设立技术管理机构，建立健全技术管理制度，配备具有采矿、地质、测量、机电等矿山相关专业中专及以上学历或者中级及以上技术职称的专职技术人员，每个专业至少配备1人。</w:t>
      </w:r>
    </w:p>
    <w:p w14:paraId="5B8E1A34">
      <w:pPr>
        <w:snapToGrid w:val="0"/>
        <w:spacing w:line="360" w:lineRule="auto"/>
        <w:ind w:firstLine="560"/>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0</w:t>
      </w:r>
      <w:r>
        <w:rPr>
          <w:rFonts w:hint="eastAsia" w:asciiTheme="minorHAnsi" w:hAnsiTheme="minorHAnsi" w:cstheme="minorHAnsi"/>
        </w:rPr>
        <w:t>）建议安全设施设计地下开采对岩石移动范围内涉及的所有建构筑物可能造成的影响程度进行详细论证，并就是否需要搬迁给出结论。</w:t>
      </w:r>
    </w:p>
    <w:p w14:paraId="263B4BB6">
      <w:pPr>
        <w:snapToGrid w:val="0"/>
        <w:spacing w:line="360" w:lineRule="auto"/>
        <w:ind w:firstLine="560"/>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1</w:t>
      </w:r>
      <w:r>
        <w:rPr>
          <w:rFonts w:hint="eastAsia" w:asciiTheme="minorHAnsi" w:hAnsiTheme="minorHAnsi" w:cstheme="minorHAnsi"/>
        </w:rPr>
        <w:t>）下一步设计阶段应对二期基建工程与一期生产系统之间的相互影响进行论证，并提出安全措施与建议。</w:t>
      </w:r>
    </w:p>
    <w:p w14:paraId="60CC6501">
      <w:pPr>
        <w:snapToGrid w:val="0"/>
        <w:spacing w:line="360" w:lineRule="auto"/>
        <w:ind w:firstLine="560"/>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2</w:t>
      </w:r>
      <w:r>
        <w:rPr>
          <w:rFonts w:hint="eastAsia" w:asciiTheme="minorHAnsi" w:hAnsiTheme="minorHAnsi" w:cstheme="minorHAnsi"/>
        </w:rPr>
        <w:t>）矿床水文地质条件中等，矿山应成立相应防治水机构，配置防治水专业技术人员，配备防治水及抢险救灾设备，建立探放水队伍。</w:t>
      </w:r>
    </w:p>
    <w:bookmarkEnd w:id="434"/>
    <w:p w14:paraId="4BD43BD0">
      <w:pPr>
        <w:widowControl/>
        <w:spacing w:line="240" w:lineRule="auto"/>
        <w:ind w:firstLine="0" w:firstLineChars="0"/>
        <w:jc w:val="left"/>
        <w:rPr>
          <w:rFonts w:asciiTheme="minorHAnsi" w:hAnsiTheme="minorHAnsi" w:cstheme="minorHAnsi"/>
        </w:rPr>
      </w:pPr>
      <w:r>
        <w:rPr>
          <w:rFonts w:asciiTheme="minorHAnsi" w:hAnsiTheme="minorHAnsi" w:cstheme="minorHAnsi"/>
        </w:rPr>
        <w:br w:type="page"/>
      </w:r>
    </w:p>
    <w:p w14:paraId="28078B55">
      <w:pPr>
        <w:pStyle w:val="3"/>
        <w:spacing w:before="190" w:after="190"/>
        <w:rPr>
          <w:rFonts w:asciiTheme="minorHAnsi" w:hAnsiTheme="minorHAnsi" w:cstheme="minorHAnsi"/>
        </w:rPr>
      </w:pPr>
      <w:bookmarkStart w:id="446" w:name="_Toc199426959"/>
      <w:r>
        <w:rPr>
          <w:rFonts w:asciiTheme="minorHAnsi" w:hAnsiTheme="minorHAnsi" w:cstheme="minorHAnsi"/>
        </w:rPr>
        <w:t>5评价结论</w:t>
      </w:r>
      <w:bookmarkEnd w:id="446"/>
    </w:p>
    <w:p w14:paraId="4478FD84">
      <w:pPr>
        <w:pStyle w:val="4"/>
        <w:spacing w:before="190" w:after="190" w:line="360" w:lineRule="exact"/>
        <w:rPr>
          <w:rFonts w:asciiTheme="minorHAnsi" w:hAnsiTheme="minorHAnsi" w:cstheme="minorHAnsi"/>
        </w:rPr>
      </w:pPr>
      <w:bookmarkStart w:id="447" w:name="_Toc199426960"/>
      <w:r>
        <w:rPr>
          <w:rFonts w:asciiTheme="minorHAnsi" w:hAnsiTheme="minorHAnsi" w:cstheme="minorHAnsi"/>
        </w:rPr>
        <w:t>5.1本项目存在的主要危险、有害因素</w:t>
      </w:r>
      <w:bookmarkEnd w:id="447"/>
    </w:p>
    <w:p w14:paraId="70A28F49">
      <w:pPr>
        <w:snapToGrid w:val="0"/>
        <w:spacing w:line="360" w:lineRule="auto"/>
        <w:ind w:firstLine="560"/>
        <w:rPr>
          <w:rFonts w:asciiTheme="minorHAnsi" w:hAnsiTheme="minorHAnsi" w:cstheme="minorHAnsi"/>
        </w:rPr>
      </w:pPr>
      <w:r>
        <w:rPr>
          <w:rFonts w:asciiTheme="minorHAnsi" w:hAnsiTheme="minorHAnsi" w:cstheme="minorHAnsi"/>
        </w:rPr>
        <w:t>该项目地下开采存在的主要危险、有害因素为：冒顶片帮、透水、中毒窒息、爆破伤害、爆破器材爆炸、车辆伤害、高处坠落、物体打击、机械伤害、触电、淹溺。</w:t>
      </w:r>
    </w:p>
    <w:p w14:paraId="275FD7A9">
      <w:pPr>
        <w:pStyle w:val="4"/>
        <w:spacing w:before="190" w:after="190" w:line="360" w:lineRule="exact"/>
        <w:rPr>
          <w:rFonts w:asciiTheme="minorHAnsi" w:hAnsiTheme="minorHAnsi" w:cstheme="minorHAnsi"/>
        </w:rPr>
      </w:pPr>
      <w:bookmarkStart w:id="448" w:name="_Toc199426961"/>
      <w:r>
        <w:rPr>
          <w:rFonts w:asciiTheme="minorHAnsi" w:hAnsiTheme="minorHAnsi" w:cstheme="minorHAnsi"/>
        </w:rPr>
        <w:t>5.2本项目应重点防范的重大危险、有害因素</w:t>
      </w:r>
      <w:bookmarkEnd w:id="448"/>
    </w:p>
    <w:p w14:paraId="153A4E80">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（1）井下开采过程中的冒顶片帮、中毒窒息、透水；</w:t>
      </w:r>
    </w:p>
    <w:p w14:paraId="78E237F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（2）井下开采的天井、溜井等区域发生高处坠落；</w:t>
      </w:r>
    </w:p>
    <w:p w14:paraId="49676339">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（3）铲装、运输过程中车辆伤害。</w:t>
      </w:r>
    </w:p>
    <w:p w14:paraId="2BFE995A">
      <w:pPr>
        <w:pStyle w:val="4"/>
        <w:spacing w:before="190" w:after="190" w:line="360" w:lineRule="exact"/>
        <w:rPr>
          <w:rFonts w:asciiTheme="minorHAnsi" w:hAnsiTheme="minorHAnsi" w:cstheme="minorHAnsi"/>
        </w:rPr>
      </w:pPr>
      <w:bookmarkStart w:id="449" w:name="_Toc199426962"/>
      <w:r>
        <w:rPr>
          <w:rFonts w:asciiTheme="minorHAnsi" w:hAnsiTheme="minorHAnsi" w:cstheme="minorHAnsi"/>
        </w:rPr>
        <w:t>5.3应重视的安全对策措施建议</w:t>
      </w:r>
      <w:bookmarkEnd w:id="449"/>
    </w:p>
    <w:p w14:paraId="6FDCA42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（1）安全设施设计在总平面布置图中补全该矿岩石移动界线涉及的全部范围及周边环境的标注，并将重要地点在文本中列出与岩石移动界线之间的安全距离。</w:t>
      </w:r>
    </w:p>
    <w:p w14:paraId="7E93945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（2）建议安全设施设计地下开采对岩石移动范围内涉及的所有建构筑物可能造成的影响程度进行详细论证，并就是否需要搬迁给出结论。</w:t>
      </w:r>
    </w:p>
    <w:p w14:paraId="7EAE8B6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（3）岩石移动界线范围内有部分小汶河的河段，建议安全设施设计对地下开采是否可能连通小汶河，并造成井下涌水量增加进行专门论述。</w:t>
      </w:r>
    </w:p>
    <w:p w14:paraId="0927828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（4）对高速公路、105国道等位置的留设保安矿柱安全性开展必要的论证工作。</w:t>
      </w:r>
    </w:p>
    <w:p w14:paraId="4BC75C3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5）矿区地表有需要保护的农田、村庄、高压线路、高速公路和105国道，应开展地下开采对地表建构筑物的安全影响研究，矿山应加强日常生产过程中地表建构筑物的安全稳定监测工作，加强地表变形研究，根据地表变形范围研究结论，及时调整监测点布置。</w:t>
      </w:r>
    </w:p>
    <w:p w14:paraId="6C21F6D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6</w:t>
      </w:r>
      <w:r>
        <w:rPr>
          <w:rFonts w:hint="eastAsia" w:asciiTheme="minorHAnsi" w:hAnsiTheme="minorHAnsi" w:cstheme="minorHAnsi"/>
          <w:szCs w:val="28"/>
        </w:rPr>
        <w:t>）建议矿方委托具备资质的第三方机构开展地下开采工程对高压线安全稳定影响的专项分析工作，依据分析结果与相关规定的安全指标校对，再判定是否应对高压线塔基留设保安矿柱，在下阶段设计中，对高压线塔基与地下开采的相互影响做详细论证，保证地下开采活动合法、安全的进行。</w:t>
      </w:r>
    </w:p>
    <w:p w14:paraId="6E081A1B">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7</w:t>
      </w:r>
      <w:r>
        <w:rPr>
          <w:rFonts w:hint="eastAsia" w:asciiTheme="minorHAnsi" w:hAnsiTheme="minorHAnsi" w:cstheme="minorHAnsi"/>
          <w:szCs w:val="28"/>
        </w:rPr>
        <w:t>）区内经物探和钻孔资料发现3条主要断裂，其水文地质特征及与地表水的水力联系情况等尚未查明。下阶段设计针对这3条主要断裂进行分析。</w:t>
      </w:r>
    </w:p>
    <w:p w14:paraId="398A396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8</w:t>
      </w:r>
      <w:r>
        <w:rPr>
          <w:rFonts w:hint="eastAsia" w:asciiTheme="minorHAnsi" w:hAnsiTheme="minorHAnsi" w:cstheme="minorHAnsi"/>
          <w:szCs w:val="28"/>
        </w:rPr>
        <w:t>）区内第四系及风化层较厚，风化层底部标高一般在-80m以上，该范围内岩体松散，稳固性较差，且富水性强，透水性较强。在当前开采技术条件下，开采该部分矿石安全性较差，为保护地表和井下开采安全，设计在风化带以下按照完整基岩留设护顶矿柱，以及多阶段同时开采时预留了阶段隔离矿柱，应针对护顶矿柱合理厚度、安全性以及阶段间隔离矿柱的安全可靠性进行分析。</w:t>
      </w:r>
    </w:p>
    <w:p w14:paraId="0FC21205">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9</w:t>
      </w:r>
      <w:r>
        <w:rPr>
          <w:rFonts w:hint="eastAsia" w:asciiTheme="minorHAnsi" w:hAnsiTheme="minorHAnsi" w:cstheme="minorHAnsi"/>
          <w:szCs w:val="28"/>
        </w:rPr>
        <w:t>）应补充一定的工程地质勘察工作以及必要的岩石力学试验，确定岩体参数，开展采场结构参数三维数值分析，校核采场结构参数和采场布置方式的合理性。</w:t>
      </w:r>
    </w:p>
    <w:p w14:paraId="5EF90A1F">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0</w:t>
      </w:r>
      <w:r>
        <w:rPr>
          <w:rFonts w:hint="eastAsia" w:asciiTheme="minorHAnsi" w:hAnsiTheme="minorHAnsi" w:cstheme="minorHAnsi"/>
          <w:szCs w:val="28"/>
        </w:rPr>
        <w:t>）应对提升竖井的井塔或者井架内和竖井井底过卷段和过卷装置进行详细设计。</w:t>
      </w:r>
    </w:p>
    <w:p w14:paraId="2A3C967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1</w:t>
      </w:r>
      <w:r>
        <w:rPr>
          <w:rFonts w:hint="eastAsia" w:asciiTheme="minorHAnsi" w:hAnsiTheme="minorHAnsi" w:cstheme="minorHAnsi"/>
          <w:szCs w:val="28"/>
        </w:rPr>
        <w:t>）目前进行的采场结构参数分析主要是采用理论图表法进行，相关岩体条件按照地质报告并结合经验进行评估。应补充一定的工程地质勘察工作以及必要的岩石力学试验，确定岩体参数，开展采场结构参数三维数值分析，校核采场结构参数和采场布置方式的合理性。</w:t>
      </w:r>
    </w:p>
    <w:p w14:paraId="716550BC">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（12）矿山最终开采深度大于800m，应开展地应力测试工作，如存在高地压情况，应对深部矿体开采岩爆倾向性论证及防治措施建议。</w:t>
      </w:r>
    </w:p>
    <w:p w14:paraId="15E61E1D">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13</w:t>
      </w:r>
      <w:r>
        <w:rPr>
          <w:rFonts w:hint="eastAsia" w:asciiTheme="minorHAnsi" w:hAnsiTheme="minorHAnsi" w:cstheme="minorHAnsi"/>
          <w:szCs w:val="28"/>
        </w:rPr>
        <w:t>）下一步设计阶段应明确井下爆破参数及炸药单耗，并对井下爆破对地表工业场地及上部开拓工程的影响进行分析。</w:t>
      </w:r>
    </w:p>
    <w:p w14:paraId="0FA3FCA6">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4</w:t>
      </w:r>
      <w:r>
        <w:rPr>
          <w:rFonts w:hint="eastAsia" w:asciiTheme="minorHAnsi" w:hAnsiTheme="minorHAnsi" w:cstheme="minorHAnsi"/>
          <w:szCs w:val="28"/>
        </w:rPr>
        <w:t>）下一步设计前应开展充填材料试验研究，结合配比及强度试验结果对充填浓度进行适当调整。</w:t>
      </w:r>
    </w:p>
    <w:p w14:paraId="7B6ACAF7">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w:t>
      </w:r>
      <w:r>
        <w:rPr>
          <w:rFonts w:asciiTheme="minorHAnsi" w:hAnsiTheme="minorHAnsi" w:cstheme="minorHAnsi"/>
          <w:szCs w:val="28"/>
        </w:rPr>
        <w:t>15</w:t>
      </w:r>
      <w:r>
        <w:rPr>
          <w:rFonts w:hint="eastAsia" w:asciiTheme="minorHAnsi" w:hAnsiTheme="minorHAnsi" w:cstheme="minorHAnsi"/>
          <w:szCs w:val="28"/>
        </w:rPr>
        <w:t>）下一步设计阶段应对井下各通风基站位置及主扇安装位置、风速、风量进行明确。</w:t>
      </w:r>
    </w:p>
    <w:p w14:paraId="25926A28">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6</w:t>
      </w:r>
      <w:r>
        <w:rPr>
          <w:rFonts w:hint="eastAsia" w:asciiTheme="minorHAnsi" w:hAnsiTheme="minorHAnsi" w:cstheme="minorHAnsi"/>
          <w:szCs w:val="28"/>
        </w:rPr>
        <w:t>）彭集铁矿二期开采深度已经超过800m，可能会面临高温热害问题，下一步设计阶段应对井下制冷降温系统进行设计或采取局部降温措施或考虑采用隔热措施。</w:t>
      </w:r>
    </w:p>
    <w:p w14:paraId="41054CC4">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7</w:t>
      </w:r>
      <w:r>
        <w:rPr>
          <w:rFonts w:hint="eastAsia" w:asciiTheme="minorHAnsi" w:hAnsiTheme="minorHAnsi" w:cstheme="minorHAnsi"/>
          <w:szCs w:val="28"/>
        </w:rPr>
        <w:t>）彭集铁矿二期开采深度已经超过800m，会面临高温热害问题，下一步设计阶段，在风量计算中，作业面风速、二期破碎硐室等位置应按照排热风速计算需风量。</w:t>
      </w:r>
    </w:p>
    <w:p w14:paraId="1644D971">
      <w:pPr>
        <w:snapToGrid w:val="0"/>
        <w:spacing w:line="360" w:lineRule="auto"/>
        <w:ind w:firstLine="560"/>
        <w:rPr>
          <w:rFonts w:asciiTheme="minorHAnsi" w:hAnsiTheme="minorHAnsi" w:cstheme="minorHAnsi"/>
          <w:szCs w:val="28"/>
        </w:rPr>
      </w:pPr>
      <w:r>
        <w:rPr>
          <w:rFonts w:hint="eastAsia" w:asciiTheme="minorHAnsi" w:hAnsiTheme="minorHAnsi" w:cstheme="minorHAnsi"/>
          <w:szCs w:val="28"/>
        </w:rPr>
        <w:t>（1</w:t>
      </w:r>
      <w:r>
        <w:rPr>
          <w:rFonts w:asciiTheme="minorHAnsi" w:hAnsiTheme="minorHAnsi" w:cstheme="minorHAnsi"/>
          <w:szCs w:val="28"/>
        </w:rPr>
        <w:t>8</w:t>
      </w:r>
      <w:r>
        <w:rPr>
          <w:rFonts w:hint="eastAsia" w:asciiTheme="minorHAnsi" w:hAnsiTheme="minorHAnsi" w:cstheme="minorHAnsi"/>
          <w:szCs w:val="28"/>
        </w:rPr>
        <w:t>）下一步设计阶段应对带式输送机进行详细设计。</w:t>
      </w:r>
    </w:p>
    <w:p w14:paraId="4F37138E">
      <w:pPr>
        <w:pStyle w:val="4"/>
        <w:spacing w:before="190" w:after="190" w:line="360" w:lineRule="exact"/>
        <w:rPr>
          <w:rFonts w:asciiTheme="minorHAnsi" w:hAnsiTheme="minorHAnsi" w:cstheme="minorHAnsi"/>
        </w:rPr>
      </w:pPr>
      <w:bookmarkStart w:id="450" w:name="_Toc199426963"/>
      <w:r>
        <w:rPr>
          <w:rFonts w:asciiTheme="minorHAnsi" w:hAnsiTheme="minorHAnsi" w:cstheme="minorHAnsi"/>
        </w:rPr>
        <w:t>5.4评价结果综述</w:t>
      </w:r>
      <w:bookmarkEnd w:id="450"/>
    </w:p>
    <w:p w14:paraId="0EF620C8">
      <w:pPr>
        <w:snapToGrid w:val="0"/>
        <w:spacing w:line="360" w:lineRule="auto"/>
        <w:ind w:firstLine="560"/>
        <w:rPr>
          <w:rFonts w:asciiTheme="minorHAnsi" w:hAnsiTheme="minorHAnsi" w:cstheme="minorHAnsi"/>
        </w:rPr>
      </w:pPr>
      <w:r>
        <w:rPr>
          <w:rFonts w:asciiTheme="minorHAnsi" w:hAnsiTheme="minorHAnsi" w:cstheme="minorHAnsi"/>
        </w:rPr>
        <w:t>评价组本着合法性、科学性、公正性、针对性的评价原则，依据《中华人民共和国安全生产法》、《中华人民共和国矿山安全法》、《金属非金属矿山安全规程》、《国家安全监管总局关于印发金属非金属矿山建设项目安全评价报告编写提纲的通知》等法律、法规、标准、规范及政策文件的要求，对本项目可行性研究报告所涉及总平面布置、开拓</w:t>
      </w:r>
      <w:r>
        <w:rPr>
          <w:rFonts w:hint="eastAsia" w:asciiTheme="minorHAnsi" w:hAnsiTheme="minorHAnsi" w:cstheme="minorHAnsi"/>
        </w:rPr>
        <w:t>运输系统、</w:t>
      </w:r>
      <w:r>
        <w:rPr>
          <w:rFonts w:asciiTheme="minorHAnsi" w:hAnsiTheme="minorHAnsi" w:cstheme="minorHAnsi"/>
        </w:rPr>
        <w:t>提升运输系统、采掘单元、充填单元、矿山供配电、通风、防排水、</w:t>
      </w:r>
      <w:r>
        <w:rPr>
          <w:rFonts w:hint="eastAsia" w:asciiTheme="minorHAnsi" w:hAnsiTheme="minorHAnsi" w:cstheme="minorHAnsi"/>
        </w:rPr>
        <w:t>安全避险“六大系统”系统</w:t>
      </w:r>
      <w:r>
        <w:rPr>
          <w:rFonts w:asciiTheme="minorHAnsi" w:hAnsiTheme="minorHAnsi" w:cstheme="minorHAnsi"/>
        </w:rPr>
        <w:t>单元、安全管理单元、重大危险源辨识单元进行了安全预评价。</w:t>
      </w:r>
    </w:p>
    <w:p w14:paraId="1354453E">
      <w:pPr>
        <w:snapToGrid w:val="0"/>
        <w:spacing w:line="360" w:lineRule="auto"/>
        <w:ind w:firstLine="560"/>
        <w:rPr>
          <w:rFonts w:asciiTheme="minorHAnsi" w:hAnsiTheme="minorHAnsi" w:cstheme="minorHAnsi"/>
        </w:rPr>
      </w:pPr>
      <w:r>
        <w:rPr>
          <w:rFonts w:asciiTheme="minorHAnsi" w:hAnsiTheme="minorHAnsi" w:cstheme="minorHAnsi"/>
        </w:rPr>
        <w:t>根据对本项目各单元危险有害因素辨识分析及定性定量评价，提出了相应的对策措施，在落实可行性研究报告及本预评价报告提出的措施建议下，本项目潜在的危险、有害因素能够得到有效控制，其安全风险在可控范围。</w:t>
      </w:r>
    </w:p>
    <w:p w14:paraId="22F111EC">
      <w:pPr>
        <w:pStyle w:val="4"/>
        <w:spacing w:before="190" w:after="190" w:line="360" w:lineRule="exact"/>
        <w:rPr>
          <w:rFonts w:asciiTheme="minorHAnsi" w:hAnsiTheme="minorHAnsi" w:cstheme="minorHAnsi"/>
        </w:rPr>
      </w:pPr>
      <w:bookmarkStart w:id="451" w:name="_Toc199426964"/>
      <w:r>
        <w:rPr>
          <w:rFonts w:asciiTheme="minorHAnsi" w:hAnsiTheme="minorHAnsi" w:cstheme="minorHAnsi"/>
        </w:rPr>
        <w:t>5.5安全预评价结论</w:t>
      </w:r>
      <w:bookmarkEnd w:id="451"/>
    </w:p>
    <w:p w14:paraId="15495FA2">
      <w:pPr>
        <w:snapToGrid w:val="0"/>
        <w:spacing w:line="360" w:lineRule="auto"/>
        <w:ind w:firstLine="560"/>
        <w:rPr>
          <w:rFonts w:asciiTheme="minorHAnsi" w:hAnsiTheme="minorHAnsi" w:cstheme="minorHAnsi"/>
        </w:rPr>
      </w:pPr>
      <w:r>
        <w:rPr>
          <w:rFonts w:asciiTheme="minorHAnsi" w:hAnsiTheme="minorHAnsi" w:cstheme="minorHAnsi"/>
        </w:rPr>
        <w:t>从安全生产角度出发，</w:t>
      </w:r>
      <w:r>
        <w:rPr>
          <w:rFonts w:hint="eastAsia" w:asciiTheme="minorHAnsi" w:hAnsiTheme="minorHAnsi" w:cstheme="minorHAnsi"/>
        </w:rPr>
        <w:t>山东彭集矿业有限公司彭集铁矿采矿工程</w:t>
      </w:r>
      <w:r>
        <w:rPr>
          <w:rFonts w:asciiTheme="minorHAnsi" w:hAnsiTheme="minorHAnsi" w:cstheme="minorHAnsi"/>
        </w:rPr>
        <w:t>符合国家现行有关法律、法规、标准、规范的要求；工程潜在的危险、有害因素在采纳合理的安全对策措施后能得到有效控制；被评价单位将应配备的安全设施与主体工程同时设计、同时施工、同时投入生产和使用，可实现本项目的安全生产。</w:t>
      </w:r>
    </w:p>
    <w:p w14:paraId="3AE6759C">
      <w:pPr>
        <w:widowControl/>
        <w:spacing w:line="240" w:lineRule="auto"/>
        <w:ind w:firstLine="0" w:firstLineChars="0"/>
        <w:jc w:val="left"/>
        <w:rPr>
          <w:rFonts w:asciiTheme="minorHAnsi" w:hAnsiTheme="minorHAnsi" w:cstheme="minorHAnsi"/>
          <w:b/>
          <w:bCs/>
          <w:kern w:val="44"/>
          <w:sz w:val="32"/>
          <w:szCs w:val="32"/>
        </w:rPr>
      </w:pPr>
      <w:bookmarkStart w:id="454" w:name="_GoBack"/>
      <w:bookmarkEnd w:id="454"/>
    </w:p>
    <w:p w14:paraId="363ABE82">
      <w:pPr>
        <w:pStyle w:val="3"/>
        <w:spacing w:before="190" w:after="190"/>
        <w:rPr>
          <w:rFonts w:asciiTheme="minorHAnsi" w:hAnsiTheme="minorHAnsi" w:cstheme="minorHAnsi"/>
        </w:rPr>
      </w:pPr>
      <w:bookmarkStart w:id="452" w:name="_Toc199426965"/>
      <w:r>
        <w:rPr>
          <w:rFonts w:asciiTheme="minorHAnsi" w:hAnsiTheme="minorHAnsi" w:cstheme="minorHAnsi"/>
        </w:rPr>
        <w:t>附件</w:t>
      </w:r>
      <w:bookmarkEnd w:id="452"/>
    </w:p>
    <w:p w14:paraId="06AB5D18">
      <w:pPr>
        <w:snapToGrid w:val="0"/>
        <w:spacing w:line="360" w:lineRule="auto"/>
        <w:ind w:firstLine="560"/>
        <w:rPr>
          <w:rFonts w:asciiTheme="minorHAnsi" w:hAnsiTheme="minorHAnsi" w:cstheme="minorHAnsi"/>
        </w:rPr>
      </w:pPr>
      <w:r>
        <w:rPr>
          <w:rFonts w:asciiTheme="minorHAnsi" w:hAnsiTheme="minorHAnsi" w:cstheme="minorHAnsi"/>
        </w:rPr>
        <w:t>（1）</w:t>
      </w:r>
      <w:r>
        <w:rPr>
          <w:rFonts w:hint="eastAsia" w:asciiTheme="minorHAnsi" w:hAnsiTheme="minorHAnsi" w:cstheme="minorHAnsi"/>
        </w:rPr>
        <w:t>安全评价委托书</w:t>
      </w:r>
    </w:p>
    <w:p w14:paraId="771F095A">
      <w:pPr>
        <w:snapToGrid w:val="0"/>
        <w:spacing w:line="360" w:lineRule="auto"/>
        <w:ind w:firstLine="560"/>
        <w:rPr>
          <w:rFonts w:asciiTheme="minorHAnsi" w:hAnsiTheme="minorHAnsi" w:cstheme="minorHAnsi"/>
        </w:rPr>
      </w:pPr>
      <w:r>
        <w:rPr>
          <w:rFonts w:hint="eastAsia" w:asciiTheme="minorHAnsi" w:hAnsiTheme="minorHAnsi" w:cstheme="minorHAnsi"/>
        </w:rPr>
        <w:t>（2）</w:t>
      </w:r>
      <w:r>
        <w:rPr>
          <w:rFonts w:asciiTheme="minorHAnsi" w:hAnsiTheme="minorHAnsi" w:cstheme="minorHAnsi"/>
        </w:rPr>
        <w:t>营业执照</w:t>
      </w:r>
    </w:p>
    <w:p w14:paraId="7CB6C544">
      <w:pPr>
        <w:snapToGrid w:val="0"/>
        <w:spacing w:line="360" w:lineRule="auto"/>
        <w:ind w:firstLine="560"/>
        <w:rPr>
          <w:rFonts w:asciiTheme="minorHAnsi" w:hAnsiTheme="minorHAnsi" w:cstheme="minorHAnsi"/>
        </w:rPr>
      </w:pPr>
      <w:r>
        <w:rPr>
          <w:rFonts w:asciiTheme="minorHAnsi" w:hAnsiTheme="minorHAnsi" w:cstheme="minorHAnsi"/>
        </w:rPr>
        <w:t>（3）采矿许可证</w:t>
      </w:r>
    </w:p>
    <w:p w14:paraId="3A39AE17">
      <w:pPr>
        <w:snapToGrid w:val="0"/>
        <w:spacing w:line="360" w:lineRule="auto"/>
        <w:ind w:firstLine="560"/>
        <w:rPr>
          <w:rFonts w:asciiTheme="minorHAnsi" w:hAnsiTheme="minorHAnsi" w:cstheme="minorHAnsi"/>
        </w:rPr>
      </w:pPr>
      <w:r>
        <w:rPr>
          <w:rFonts w:asciiTheme="minorHAnsi" w:hAnsiTheme="minorHAnsi" w:cstheme="minorHAnsi"/>
        </w:rPr>
        <w:t>（4）</w:t>
      </w:r>
      <w:r>
        <w:rPr>
          <w:rFonts w:hint="eastAsia" w:asciiTheme="minorHAnsi" w:hAnsiTheme="minorHAnsi" w:cstheme="minorHAnsi"/>
        </w:rPr>
        <w:t>评价组现场照片</w:t>
      </w:r>
    </w:p>
    <w:p w14:paraId="51D86AF7">
      <w:pPr>
        <w:snapToGrid w:val="0"/>
        <w:spacing w:line="360" w:lineRule="auto"/>
        <w:ind w:firstLine="560"/>
        <w:rPr>
          <w:rFonts w:asciiTheme="minorHAnsi" w:hAnsiTheme="minorHAnsi" w:cstheme="minorHAnsi"/>
        </w:rPr>
      </w:pPr>
      <w:r>
        <w:rPr>
          <w:rFonts w:asciiTheme="minorHAnsi" w:hAnsiTheme="minorHAnsi" w:cstheme="minorHAnsi"/>
        </w:rPr>
        <w:br w:type="page"/>
      </w:r>
    </w:p>
    <w:p w14:paraId="768C71ED">
      <w:pPr>
        <w:pStyle w:val="3"/>
        <w:spacing w:before="190" w:after="190"/>
        <w:ind w:firstLine="420"/>
        <w:rPr>
          <w:rFonts w:asciiTheme="minorHAnsi" w:hAnsiTheme="minorHAnsi" w:cstheme="minorHAnsi"/>
        </w:rPr>
      </w:pPr>
      <w:bookmarkStart w:id="453" w:name="_Toc199426966"/>
      <w:r>
        <w:rPr>
          <w:rFonts w:asciiTheme="minorHAnsi" w:hAnsiTheme="minorHAnsi" w:cstheme="minorHAnsi"/>
        </w:rPr>
        <w:t>附图</w:t>
      </w:r>
      <w:bookmarkEnd w:id="453"/>
    </w:p>
    <w:p w14:paraId="42EA3185">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地形地质图</w:t>
      </w:r>
    </w:p>
    <w:p w14:paraId="7BA0DD96">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矿区总体布置图</w:t>
      </w:r>
    </w:p>
    <w:p w14:paraId="2D7A8AE4">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9线地质剖面图</w:t>
      </w:r>
    </w:p>
    <w:p w14:paraId="512F22EC">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13线地质剖面图</w:t>
      </w:r>
    </w:p>
    <w:p w14:paraId="185B8643">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18线地质剖面图</w:t>
      </w:r>
    </w:p>
    <w:p w14:paraId="5C510774">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矿区水文地质平面图</w:t>
      </w:r>
    </w:p>
    <w:p w14:paraId="4E5B98F2">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主矿体垂直纵投影图</w:t>
      </w:r>
    </w:p>
    <w:p w14:paraId="71D314A8">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一期开拓系统纵投影图</w:t>
      </w:r>
    </w:p>
    <w:p w14:paraId="1F1E2852">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一期开拓系统立体图</w:t>
      </w:r>
    </w:p>
    <w:p w14:paraId="22BC508A">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一期通风系统立体图（一）</w:t>
      </w:r>
    </w:p>
    <w:p w14:paraId="2D6A83E4">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一期通风系统立体图（二）</w:t>
      </w:r>
    </w:p>
    <w:p w14:paraId="744EC7EA">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一期通风系统立体图（三）</w:t>
      </w:r>
    </w:p>
    <w:p w14:paraId="65864C2C">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二期彭集矿段开拓、通风系统立体图</w:t>
      </w:r>
    </w:p>
    <w:p w14:paraId="6C250E58">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二期冯家庄矿段开拓、通风系统立体图</w:t>
      </w:r>
    </w:p>
    <w:p w14:paraId="64A4486B">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二期彭集矿段开拓系统纵投影图</w:t>
      </w:r>
    </w:p>
    <w:p w14:paraId="443287D0">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二期冯家庄矿段开拓系统纵投影图</w:t>
      </w:r>
    </w:p>
    <w:p w14:paraId="3B977091">
      <w:pPr>
        <w:pStyle w:val="95"/>
        <w:numPr>
          <w:ilvl w:val="0"/>
          <w:numId w:val="14"/>
        </w:numPr>
        <w:snapToGrid w:val="0"/>
        <w:spacing w:line="360" w:lineRule="auto"/>
        <w:ind w:firstLineChars="0"/>
        <w:rPr>
          <w:rFonts w:asciiTheme="minorHAnsi" w:hAnsiTheme="minorHAnsi" w:cstheme="minorHAnsi"/>
        </w:rPr>
      </w:pPr>
      <w:r>
        <w:rPr>
          <w:rFonts w:hint="eastAsia" w:asciiTheme="minorHAnsi" w:hAnsiTheme="minorHAnsi" w:cstheme="minorHAnsi"/>
        </w:rPr>
        <w:t>采矿方法图</w:t>
      </w:r>
    </w:p>
    <w:p w14:paraId="2CCA34EC">
      <w:pPr>
        <w:pStyle w:val="95"/>
        <w:snapToGrid w:val="0"/>
        <w:spacing w:line="360" w:lineRule="auto"/>
        <w:ind w:left="980" w:firstLine="0" w:firstLineChars="0"/>
        <w:rPr>
          <w:rFonts w:asciiTheme="minorHAnsi" w:hAnsiTheme="minorHAnsi" w:cstheme="minorHAnsi"/>
        </w:rPr>
      </w:pPr>
    </w:p>
    <w:sectPr>
      <w:headerReference r:id="rId14" w:type="default"/>
      <w:footerReference r:id="rId15" w:type="default"/>
      <w:pgSz w:w="11906" w:h="16838"/>
      <w:pgMar w:top="1247" w:right="1304" w:bottom="1134" w:left="1304" w:header="794" w:footer="907" w:gutter="0"/>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
    <w:altName w:val="Times New Roman"/>
    <w:panose1 w:val="00000000000000000000"/>
    <w:charset w:val="00"/>
    <w:family w:val="roman"/>
    <w:pitch w:val="default"/>
    <w:sig w:usb0="00000000" w:usb1="00000000" w:usb2="00000000" w:usb3="00000000" w:csb0="00000001" w:csb1="00000000"/>
  </w:font>
  <w:font w:name="Times-Roman">
    <w:altName w:val="Times New Roman"/>
    <w:panose1 w:val="00000000000000000000"/>
    <w:charset w:val="00"/>
    <w:family w:val="roman"/>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KP CheongPong">
    <w:altName w:val="Malgun Gothic"/>
    <w:panose1 w:val="00000000000000000000"/>
    <w:charset w:val="81"/>
    <w:family w:val="auto"/>
    <w:pitch w:val="default"/>
    <w:sig w:usb0="00000000" w:usb1="00000000" w:usb2="00000012" w:usb3="00000000" w:csb0="00180001" w:csb1="00000000"/>
  </w:font>
  <w:font w:name="Malgun Gothic">
    <w:panose1 w:val="020B0503020000020004"/>
    <w:charset w:val="81"/>
    <w:family w:val="auto"/>
    <w:pitch w:val="default"/>
    <w:sig w:usb0="9000002F" w:usb1="29D77CFB" w:usb2="00000012" w:usb3="00000000" w:csb0="00080001" w:csb1="00000000"/>
  </w:font>
  <w:font w:name="@宋体">
    <w:panose1 w:val="02010600030101010101"/>
    <w:charset w:val="86"/>
    <w:family w:val="auto"/>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TimesNewRomanPS-BoldMT">
    <w:altName w:val="Times New Roman"/>
    <w:panose1 w:val="00000000000000000000"/>
    <w:charset w:val="00"/>
    <w:family w:val="roman"/>
    <w:pitch w:val="default"/>
    <w:sig w:usb0="00000000" w:usb1="00000000" w:usb2="00000000" w:usb3="00000000" w:csb0="00000000" w:csb1="00000000"/>
  </w:font>
  <w:font w:name="TimesNewRomanPSMT">
    <w:altName w:val="MS Gothic"/>
    <w:panose1 w:val="00000000000000000000"/>
    <w:charset w:val="00"/>
    <w:family w:val="roman"/>
    <w:pitch w:val="default"/>
    <w:sig w:usb0="00000000" w:usb1="00000000" w:usb2="00000010" w:usb3="00000000" w:csb0="00020001" w:csb1="00000000"/>
  </w:font>
  <w:font w:name="MS Gothic">
    <w:panose1 w:val="020B0609070205080204"/>
    <w:charset w:val="80"/>
    <w:family w:val="auto"/>
    <w:pitch w:val="default"/>
    <w:sig w:usb0="E00002FF" w:usb1="6AC7FDFB" w:usb2="08000012" w:usb3="00000000" w:csb0="4002009F" w:csb1="DFD70000"/>
  </w:font>
  <w:font w:name="ArialMT">
    <w:altName w:val="Times New Roman"/>
    <w:panose1 w:val="00000000000000000000"/>
    <w:charset w:val="00"/>
    <w:family w:val="roman"/>
    <w:pitch w:val="default"/>
    <w:sig w:usb0="00000000" w:usb1="00000000" w:usb2="00000000" w:usb3="00000000" w:csb0="00000000" w:csb1="00000000"/>
  </w:font>
  <w:font w:name="Arial">
    <w:panose1 w:val="020B0604020202020204"/>
    <w:charset w:val="00"/>
    <w:family w:val="swiss"/>
    <w:pitch w:val="default"/>
    <w:sig w:usb0="E0002EFF" w:usb1="C000785B" w:usb2="00000009" w:usb3="00000000" w:csb0="400001FF" w:csb1="FFFF0000"/>
  </w:font>
  <w:font w:name="HiddenHorzOCR-Identity-H">
    <w:altName w:val="Times New Roman"/>
    <w:panose1 w:val="00000000000000000000"/>
    <w:charset w:val="00"/>
    <w:family w:val="roman"/>
    <w:pitch w:val="default"/>
    <w:sig w:usb0="00000000" w:usb1="00000000" w:usb2="00000000" w:usb3="00000000" w:csb0="00040001" w:csb1="00000000"/>
  </w:font>
  <w:font w:name="MS Mincho">
    <w:altName w:val="Yu Gothic UI"/>
    <w:panose1 w:val="02020609040205080304"/>
    <w:charset w:val="80"/>
    <w:family w:val="modern"/>
    <w:pitch w:val="default"/>
    <w:sig w:usb0="00000000" w:usb1="00000000" w:usb2="00000010" w:usb3="00000000" w:csb0="0002009F" w:csb1="00000000"/>
  </w:font>
  <w:font w:name="ＭＳ 明朝">
    <w:altName w:val="ksdb"/>
    <w:panose1 w:val="00000000000000000000"/>
    <w:charset w:val="00"/>
    <w:family w:val="auto"/>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Batang">
    <w:altName w:val="Malgun Gothic"/>
    <w:panose1 w:val="02030600000101010101"/>
    <w:charset w:val="81"/>
    <w:family w:val="roman"/>
    <w:pitch w:val="default"/>
    <w:sig w:usb0="00000000" w:usb1="00000000" w:usb2="00000030" w:usb3="00000000" w:csb0="0008009F" w:csb1="00000000"/>
  </w:font>
  <w:font w:name="바탕">
    <w:altName w:val="ksdb"/>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Yu Gothic UI">
    <w:panose1 w:val="020B0500000000000000"/>
    <w:charset w:val="80"/>
    <w:family w:val="auto"/>
    <w:pitch w:val="default"/>
    <w:sig w:usb0="E00002FF" w:usb1="2AC7FDFF" w:usb2="00000016" w:usb3="00000000" w:csb0="2002009F" w:csb1="00000000"/>
  </w:font>
  <w:font w:name="ksdb">
    <w:panose1 w:val="02000500000000000000"/>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57A01">
    <w:pPr>
      <w:pStyle w:val="67"/>
      <w:ind w:left="-56" w:right="-5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CE81AD">
    <w:pPr>
      <w:pStyle w:val="34"/>
      <w:pBdr>
        <w:top w:val="single" w:color="auto" w:sz="4" w:space="1"/>
      </w:pBdr>
      <w:ind w:firstLine="360"/>
    </w:pPr>
  </w:p>
  <w:p w14:paraId="375189B0">
    <w:pPr>
      <w:pBdr>
        <w:top w:val="single" w:color="auto" w:sz="4" w:space="1"/>
      </w:pBdr>
      <w:ind w:firstLine="5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A8EE9">
    <w:pPr>
      <w:pStyle w:val="3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6B042">
    <w:pPr>
      <w:pStyle w:val="34"/>
      <w:pBdr>
        <w:top w:val="single" w:color="auto" w:sz="4" w:space="1"/>
      </w:pBdr>
      <w:ind w:firstLine="0" w:firstLineChars="0"/>
      <w:jc w:val="center"/>
    </w:pPr>
    <w:r>
      <w:rPr>
        <w:rFonts w:hint="eastAsia"/>
      </w:rPr>
      <w:t>北</w:t>
    </w:r>
    <w:r>
      <w:t>京国信安科技术有限公司电话：010-</w:t>
    </w:r>
    <w:r>
      <w:rPr>
        <w:rFonts w:hint="eastAsia"/>
      </w:rPr>
      <w:t>63299678</w:t>
    </w:r>
    <w:sdt>
      <w:sdtPr>
        <w:id w:val="-189220892"/>
      </w:sdtPr>
      <w:sdtContent>
        <w:r>
          <w:t xml:space="preserve">                  </w:t>
        </w:r>
        <w:r>
          <w:fldChar w:fldCharType="begin"/>
        </w:r>
        <w:r>
          <w:instrText xml:space="preserve">PAGE   \* MERGEFORMAT</w:instrText>
        </w:r>
        <w:r>
          <w:fldChar w:fldCharType="separate"/>
        </w:r>
        <w:r>
          <w:rPr>
            <w:lang w:val="zh-CN"/>
          </w:rPr>
          <w:t>ii</w:t>
        </w:r>
        <w:r>
          <w:fldChar w:fldCharType="end"/>
        </w:r>
        <w:r>
          <w:t xml:space="preserve">               传真：010-6</w:t>
        </w:r>
        <w:r>
          <w:rPr>
            <w:rFonts w:hint="eastAsia"/>
          </w:rPr>
          <w:t>3707001</w:t>
        </w:r>
        <w:r>
          <w:t xml:space="preserve">    </w:t>
        </w:r>
        <w:r>
          <w:rPr>
            <w:rFonts w:hint="eastAsia"/>
          </w:rPr>
          <w:t>E-mail：</w:t>
        </w:r>
        <w:r>
          <w:t>info@sarva.cn</w:t>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A35814">
    <w:pPr>
      <w:pStyle w:val="34"/>
      <w:pBdr>
        <w:top w:val="single" w:color="auto" w:sz="4" w:space="1"/>
      </w:pBdr>
      <w:ind w:firstLine="0" w:firstLineChars="0"/>
      <w:jc w:val="center"/>
    </w:pPr>
    <w:r>
      <w:rPr>
        <w:rFonts w:hint="eastAsia"/>
      </w:rPr>
      <w:t>北</w:t>
    </w:r>
    <w:r>
      <w:t>京国信安科技术有限公司</w:t>
    </w:r>
    <w:r>
      <w:rPr>
        <w:rFonts w:hint="eastAsia"/>
      </w:rPr>
      <w:t xml:space="preserve"> </w:t>
    </w:r>
    <w:r>
      <w:t xml:space="preserve">      电话：010-</w:t>
    </w:r>
    <w:r>
      <w:rPr>
        <w:rFonts w:hint="eastAsia"/>
      </w:rPr>
      <w:t>63299678</w:t>
    </w:r>
    <w:sdt>
      <w:sdtPr>
        <w:id w:val="1107391564"/>
      </w:sdtPr>
      <w:sdtContent>
        <w:r>
          <w:t xml:space="preserve">             </w:t>
        </w:r>
        <w:r>
          <w:fldChar w:fldCharType="begin"/>
        </w:r>
        <w:r>
          <w:instrText xml:space="preserve">PAGE   \* MERGEFORMAT</w:instrText>
        </w:r>
        <w:r>
          <w:fldChar w:fldCharType="separate"/>
        </w:r>
        <w:r>
          <w:t>ii</w:t>
        </w:r>
        <w:r>
          <w:fldChar w:fldCharType="end"/>
        </w:r>
        <w:r>
          <w:t xml:space="preserve">             传真：010-6</w:t>
        </w:r>
        <w:r>
          <w:rPr>
            <w:rFonts w:hint="eastAsia"/>
          </w:rPr>
          <w:t>3707001</w:t>
        </w:r>
        <w:r>
          <w:t xml:space="preserve">  </w:t>
        </w:r>
        <w:r>
          <w:rPr>
            <w:rFonts w:hint="eastAsia"/>
          </w:rPr>
          <w:t>E-mail：</w:t>
        </w:r>
        <w:r>
          <w:t>info@sarva.cn</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E2D18D">
    <w:pPr>
      <w:pStyle w:val="34"/>
      <w:tabs>
        <w:tab w:val="right" w:pos="8789"/>
        <w:tab w:val="clear" w:pos="8306"/>
      </w:tabs>
      <w:ind w:right="-111" w:firstLine="360"/>
      <w:jc w:val="center"/>
    </w:pPr>
    <w:r>
      <w:rPr>
        <w:color w:val="333333"/>
      </w:rPr>
      <mc:AlternateContent>
        <mc:Choice Requires="wps">
          <w:drawing>
            <wp:anchor distT="0" distB="0" distL="114300" distR="114300" simplePos="0" relativeHeight="251661312" behindDoc="0" locked="0" layoutInCell="1" allowOverlap="1">
              <wp:simplePos x="0" y="0"/>
              <wp:positionH relativeFrom="column">
                <wp:posOffset>-635</wp:posOffset>
              </wp:positionH>
              <wp:positionV relativeFrom="paragraph">
                <wp:posOffset>-37465</wp:posOffset>
              </wp:positionV>
              <wp:extent cx="6195060" cy="9525"/>
              <wp:effectExtent l="8255" t="10795" r="6985" b="8255"/>
              <wp:wrapNone/>
              <wp:docPr id="2" name="直线 1057"/>
              <wp:cNvGraphicFramePr/>
              <a:graphic xmlns:a="http://schemas.openxmlformats.org/drawingml/2006/main">
                <a:graphicData uri="http://schemas.microsoft.com/office/word/2010/wordprocessingShape">
                  <wps:wsp>
                    <wps:cNvCnPr>
                      <a:cxnSpLocks noChangeShapeType="1"/>
                    </wps:cNvCnPr>
                    <wps:spPr bwMode="auto">
                      <a:xfrm flipV="1">
                        <a:off x="0" y="0"/>
                        <a:ext cx="6195060" cy="9525"/>
                      </a:xfrm>
                      <a:prstGeom prst="line">
                        <a:avLst/>
                      </a:prstGeom>
                      <a:noFill/>
                      <a:ln w="9525">
                        <a:solidFill>
                          <a:srgbClr val="000000"/>
                        </a:solidFill>
                        <a:round/>
                      </a:ln>
                    </wps:spPr>
                    <wps:bodyPr/>
                  </wps:wsp>
                </a:graphicData>
              </a:graphic>
            </wp:anchor>
          </w:drawing>
        </mc:Choice>
        <mc:Fallback>
          <w:pict>
            <v:line id="直线 1057" o:spid="_x0000_s1026" o:spt="20" style="position:absolute;left:0pt;flip:y;margin-left:-0.05pt;margin-top:-2.95pt;height:0.75pt;width:487.8pt;z-index:251661312;mso-width-relative:page;mso-height-relative:page;" filled="f" stroked="t" coordsize="21600,21600" o:gfxdata="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jlj/m1gAAAAcBAAAPAAAA&#10;AAAAAAEAIAAAACIAAABkcnMvZG93bnJldi54bWxQSwECFAAUAAAACACHTuJAI2BMWd4BAACxAwAA&#10;DgAAAAAAAAABACAAAAAlAQAAZHJzL2Uyb0RvYy54bWxQSwUGAAAAAAYABgBZAQAAdQUAAAAA&#10;">
              <v:fill on="f" focussize="0,0"/>
              <v:stroke color="#000000" joinstyle="round"/>
              <v:imagedata o:title=""/>
              <o:lock v:ext="edit" aspectratio="f"/>
            </v:line>
          </w:pict>
        </mc:Fallback>
      </mc:AlternateContent>
    </w:r>
    <w:r>
      <w:rPr>
        <w:rFonts w:hAnsi="Calibri"/>
        <w:color w:val="333333"/>
      </w:rPr>
      <w:t>北京国信安科技术有限公司</w:t>
    </w:r>
    <w:r>
      <w:rPr>
        <w:rFonts w:hint="eastAsia" w:hAnsi="Calibri"/>
        <w:color w:val="333333"/>
      </w:rPr>
      <w:t xml:space="preserve"> </w:t>
    </w:r>
    <w:r>
      <w:rPr>
        <w:rFonts w:hAnsi="Calibri"/>
        <w:color w:val="333333"/>
      </w:rPr>
      <w:t xml:space="preserve">  电话：</w:t>
    </w:r>
    <w:r>
      <w:rPr>
        <w:color w:val="333333"/>
      </w:rPr>
      <w:t>010-</w:t>
    </w:r>
    <w:r>
      <w:rPr>
        <w:rFonts w:hint="eastAsia"/>
        <w:color w:val="333333"/>
      </w:rPr>
      <w:t>63299678</w:t>
    </w:r>
    <w:r>
      <w:rPr>
        <w:color w:val="333333"/>
      </w:rPr>
      <w:t xml:space="preserve">           </w:t>
    </w:r>
    <w:r>
      <w:fldChar w:fldCharType="begin"/>
    </w:r>
    <w:r>
      <w:rPr>
        <w:rStyle w:val="60"/>
      </w:rPr>
      <w:instrText xml:space="preserve"> PAGE </w:instrText>
    </w:r>
    <w:r>
      <w:fldChar w:fldCharType="separate"/>
    </w:r>
    <w:r>
      <w:rPr>
        <w:rStyle w:val="60"/>
      </w:rPr>
      <w:t>128</w:t>
    </w:r>
    <w:r>
      <w:fldChar w:fldCharType="end"/>
    </w:r>
    <w:r>
      <w:t xml:space="preserve">            </w:t>
    </w:r>
    <w:r>
      <w:rPr>
        <w:rFonts w:hAnsi="Calibri"/>
        <w:color w:val="333333"/>
      </w:rPr>
      <w:t>传真：</w:t>
    </w:r>
    <w:r>
      <w:rPr>
        <w:color w:val="333333"/>
      </w:rPr>
      <w:t>010-6</w:t>
    </w:r>
    <w:r>
      <w:rPr>
        <w:rFonts w:hint="eastAsia"/>
        <w:color w:val="333333"/>
      </w:rPr>
      <w:t>3707001</w:t>
    </w:r>
    <w:r>
      <w:rPr>
        <w:color w:val="333333"/>
      </w:rPr>
      <w:t xml:space="preserve">      </w:t>
    </w:r>
    <w:r>
      <w:rPr>
        <w:rFonts w:hint="eastAsia"/>
      </w:rPr>
      <w:t>E-mail:</w:t>
    </w:r>
    <w:r>
      <w:t>gxak</w:t>
    </w:r>
    <w:r>
      <w:rPr>
        <w:rFonts w:hint="eastAsia"/>
      </w:rPr>
      <w:t>@</w:t>
    </w:r>
    <w:r>
      <w:t>bgrimm</w:t>
    </w:r>
    <w:r>
      <w:rPr>
        <w:rFonts w:hint="eastAsia"/>
      </w:rPr>
      <w:t>.c</w:t>
    </w:r>
    <w:r>
      <w:t>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99837">
    <w:pPr>
      <w:pStyle w:val="67"/>
      <w:ind w:left="-56" w:right="-5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D92F42">
    <w:pPr>
      <w:pStyle w:val="35"/>
      <w:ind w:firstLine="360"/>
    </w:pPr>
  </w:p>
  <w:p w14:paraId="79F6DE39">
    <w:pPr>
      <w:ind w:firstLine="5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D2D457">
    <w:pPr>
      <w:pStyle w:val="3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0A2428">
    <w:pPr>
      <w:pStyle w:val="35"/>
      <w:ind w:firstLine="360"/>
    </w:pPr>
    <w:r>
      <w:rPr>
        <w:rFonts w:hint="eastAsia"/>
      </w:rPr>
      <w:t>山东彭集矿业有限公司彭集铁矿采矿工程安全预评价报告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4A1822">
    <w:pPr>
      <w:pStyle w:val="35"/>
      <w:ind w:firstLine="360"/>
    </w:pPr>
    <w:r>
      <w:rPr>
        <w:rFonts w:hint="eastAsia"/>
      </w:rPr>
      <w:t>山东彭集矿业有限公司彭集铁矿采矿工程</w:t>
    </w:r>
    <w:r>
      <w:rPr>
        <w:rFonts w:hint="eastAsia" w:ascii="宋体" w:hAnsi="宋体"/>
      </w:rPr>
      <w:t>安全预评价报告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8F1E77"/>
    <w:multiLevelType w:val="multilevel"/>
    <w:tmpl w:val="048F1E77"/>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6947D3C"/>
    <w:multiLevelType w:val="multilevel"/>
    <w:tmpl w:val="06947D3C"/>
    <w:lvl w:ilvl="0" w:tentative="0">
      <w:start w:val="1"/>
      <w:numFmt w:val="decimal"/>
      <w:lvlText w:val="（%1）"/>
      <w:lvlJc w:val="left"/>
      <w:pPr>
        <w:ind w:left="1566" w:hanging="720"/>
      </w:pPr>
      <w:rPr>
        <w:rFonts w:hint="default"/>
      </w:rPr>
    </w:lvl>
    <w:lvl w:ilvl="1" w:tentative="0">
      <w:start w:val="1"/>
      <w:numFmt w:val="lowerLetter"/>
      <w:lvlText w:val="%2)"/>
      <w:lvlJc w:val="left"/>
      <w:pPr>
        <w:ind w:left="1686" w:hanging="420"/>
      </w:pPr>
    </w:lvl>
    <w:lvl w:ilvl="2" w:tentative="0">
      <w:start w:val="1"/>
      <w:numFmt w:val="lowerRoman"/>
      <w:lvlText w:val="%3."/>
      <w:lvlJc w:val="right"/>
      <w:pPr>
        <w:ind w:left="2106" w:hanging="420"/>
      </w:pPr>
    </w:lvl>
    <w:lvl w:ilvl="3" w:tentative="0">
      <w:start w:val="1"/>
      <w:numFmt w:val="decimal"/>
      <w:lvlText w:val="%4."/>
      <w:lvlJc w:val="left"/>
      <w:pPr>
        <w:ind w:left="2526" w:hanging="420"/>
      </w:pPr>
    </w:lvl>
    <w:lvl w:ilvl="4" w:tentative="0">
      <w:start w:val="1"/>
      <w:numFmt w:val="lowerLetter"/>
      <w:lvlText w:val="%5)"/>
      <w:lvlJc w:val="left"/>
      <w:pPr>
        <w:ind w:left="2946" w:hanging="420"/>
      </w:pPr>
    </w:lvl>
    <w:lvl w:ilvl="5" w:tentative="0">
      <w:start w:val="1"/>
      <w:numFmt w:val="lowerRoman"/>
      <w:pStyle w:val="381"/>
      <w:lvlText w:val="%6."/>
      <w:lvlJc w:val="right"/>
      <w:pPr>
        <w:ind w:left="3366" w:hanging="420"/>
      </w:pPr>
    </w:lvl>
    <w:lvl w:ilvl="6" w:tentative="0">
      <w:start w:val="1"/>
      <w:numFmt w:val="decimal"/>
      <w:lvlText w:val="%7."/>
      <w:lvlJc w:val="left"/>
      <w:pPr>
        <w:ind w:left="3786" w:hanging="420"/>
      </w:pPr>
    </w:lvl>
    <w:lvl w:ilvl="7" w:tentative="0">
      <w:start w:val="1"/>
      <w:numFmt w:val="lowerLetter"/>
      <w:lvlText w:val="%8)"/>
      <w:lvlJc w:val="left"/>
      <w:pPr>
        <w:ind w:left="4206" w:hanging="420"/>
      </w:pPr>
    </w:lvl>
    <w:lvl w:ilvl="8" w:tentative="0">
      <w:start w:val="1"/>
      <w:numFmt w:val="lowerRoman"/>
      <w:lvlText w:val="%9."/>
      <w:lvlJc w:val="right"/>
      <w:pPr>
        <w:ind w:left="4626" w:hanging="420"/>
      </w:pPr>
    </w:lvl>
  </w:abstractNum>
  <w:abstractNum w:abstractNumId="2">
    <w:nsid w:val="078F2FBE"/>
    <w:multiLevelType w:val="multilevel"/>
    <w:tmpl w:val="078F2FBE"/>
    <w:lvl w:ilvl="0" w:tentative="0">
      <w:start w:val="1"/>
      <w:numFmt w:val="decimal"/>
      <w:pStyle w:val="362"/>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0F7769EF"/>
    <w:multiLevelType w:val="multilevel"/>
    <w:tmpl w:val="0F7769EF"/>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D044EA1"/>
    <w:multiLevelType w:val="multilevel"/>
    <w:tmpl w:val="1D044EA1"/>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DD35A60"/>
    <w:multiLevelType w:val="multilevel"/>
    <w:tmpl w:val="1DD35A60"/>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pStyle w:val="385"/>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6E90177"/>
    <w:multiLevelType w:val="multilevel"/>
    <w:tmpl w:val="26E90177"/>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3E7E1984"/>
    <w:multiLevelType w:val="multilevel"/>
    <w:tmpl w:val="3E7E1984"/>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2630757"/>
    <w:multiLevelType w:val="multilevel"/>
    <w:tmpl w:val="42630757"/>
    <w:lvl w:ilvl="0" w:tentative="0">
      <w:start w:val="1"/>
      <w:numFmt w:val="decimal"/>
      <w:pStyle w:val="209"/>
      <w:lvlText w:val="（%1）"/>
      <w:lvlJc w:val="left"/>
      <w:pPr>
        <w:ind w:left="2421" w:hanging="720"/>
      </w:pPr>
      <w:rPr>
        <w:rFonts w:hint="default"/>
      </w:rPr>
    </w:lvl>
    <w:lvl w:ilvl="1" w:tentative="0">
      <w:start w:val="1"/>
      <w:numFmt w:val="lowerLetter"/>
      <w:lvlText w:val="%2)"/>
      <w:lvlJc w:val="left"/>
      <w:pPr>
        <w:ind w:left="1686" w:hanging="420"/>
      </w:pPr>
    </w:lvl>
    <w:lvl w:ilvl="2" w:tentative="0">
      <w:start w:val="1"/>
      <w:numFmt w:val="lowerRoman"/>
      <w:lvlText w:val="%3."/>
      <w:lvlJc w:val="right"/>
      <w:pPr>
        <w:ind w:left="2106" w:hanging="420"/>
      </w:pPr>
    </w:lvl>
    <w:lvl w:ilvl="3" w:tentative="0">
      <w:start w:val="1"/>
      <w:numFmt w:val="decimal"/>
      <w:lvlText w:val="%4."/>
      <w:lvlJc w:val="left"/>
      <w:pPr>
        <w:ind w:left="2526" w:hanging="420"/>
      </w:pPr>
    </w:lvl>
    <w:lvl w:ilvl="4" w:tentative="0">
      <w:start w:val="1"/>
      <w:numFmt w:val="lowerLetter"/>
      <w:pStyle w:val="254"/>
      <w:lvlText w:val="%5)"/>
      <w:lvlJc w:val="left"/>
      <w:pPr>
        <w:ind w:left="2946" w:hanging="420"/>
      </w:pPr>
    </w:lvl>
    <w:lvl w:ilvl="5" w:tentative="0">
      <w:start w:val="1"/>
      <w:numFmt w:val="lowerRoman"/>
      <w:pStyle w:val="180"/>
      <w:lvlText w:val="%6."/>
      <w:lvlJc w:val="right"/>
      <w:pPr>
        <w:ind w:left="3366" w:hanging="420"/>
      </w:pPr>
    </w:lvl>
    <w:lvl w:ilvl="6" w:tentative="0">
      <w:start w:val="1"/>
      <w:numFmt w:val="decimal"/>
      <w:lvlText w:val="%7."/>
      <w:lvlJc w:val="left"/>
      <w:pPr>
        <w:ind w:left="3786" w:hanging="420"/>
      </w:pPr>
    </w:lvl>
    <w:lvl w:ilvl="7" w:tentative="0">
      <w:start w:val="1"/>
      <w:numFmt w:val="lowerLetter"/>
      <w:lvlText w:val="%8)"/>
      <w:lvlJc w:val="left"/>
      <w:pPr>
        <w:ind w:left="4206" w:hanging="420"/>
      </w:pPr>
    </w:lvl>
    <w:lvl w:ilvl="8" w:tentative="0">
      <w:start w:val="1"/>
      <w:numFmt w:val="lowerRoman"/>
      <w:lvlText w:val="%9."/>
      <w:lvlJc w:val="right"/>
      <w:pPr>
        <w:ind w:left="4626" w:hanging="420"/>
      </w:pPr>
    </w:lvl>
  </w:abstractNum>
  <w:abstractNum w:abstractNumId="9">
    <w:nsid w:val="457ED9BA"/>
    <w:multiLevelType w:val="singleLevel"/>
    <w:tmpl w:val="457ED9BA"/>
    <w:lvl w:ilvl="0" w:tentative="0">
      <w:start w:val="1"/>
      <w:numFmt w:val="decimal"/>
      <w:pStyle w:val="24"/>
      <w:suff w:val="nothing"/>
      <w:lvlText w:val="（%1）"/>
      <w:lvlJc w:val="left"/>
    </w:lvl>
  </w:abstractNum>
  <w:abstractNum w:abstractNumId="10">
    <w:nsid w:val="4FBD468A"/>
    <w:multiLevelType w:val="multilevel"/>
    <w:tmpl w:val="4FBD468A"/>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34659C5"/>
    <w:multiLevelType w:val="multilevel"/>
    <w:tmpl w:val="534659C5"/>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6CA95C30"/>
    <w:multiLevelType w:val="multilevel"/>
    <w:tmpl w:val="6CA95C30"/>
    <w:lvl w:ilvl="0" w:tentative="0">
      <w:start w:val="1"/>
      <w:numFmt w:val="decimal"/>
      <w:lvlText w:val="(%1)"/>
      <w:lvlJc w:val="left"/>
      <w:pPr>
        <w:ind w:left="980"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7C9E0737"/>
    <w:multiLevelType w:val="multilevel"/>
    <w:tmpl w:val="7C9E0737"/>
    <w:lvl w:ilvl="0" w:tentative="0">
      <w:start w:val="1"/>
      <w:numFmt w:val="decimal"/>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9"/>
  </w:num>
  <w:num w:numId="2">
    <w:abstractNumId w:val="8"/>
  </w:num>
  <w:num w:numId="3">
    <w:abstractNumId w:val="2"/>
  </w:num>
  <w:num w:numId="4">
    <w:abstractNumId w:val="1"/>
  </w:num>
  <w:num w:numId="5">
    <w:abstractNumId w:val="5"/>
  </w:num>
  <w:num w:numId="6">
    <w:abstractNumId w:val="4"/>
  </w:num>
  <w:num w:numId="7">
    <w:abstractNumId w:val="0"/>
  </w:num>
  <w:num w:numId="8">
    <w:abstractNumId w:val="10"/>
  </w:num>
  <w:num w:numId="9">
    <w:abstractNumId w:val="11"/>
  </w:num>
  <w:num w:numId="10">
    <w:abstractNumId w:val="7"/>
  </w:num>
  <w:num w:numId="11">
    <w:abstractNumId w:val="13"/>
  </w:num>
  <w:num w:numId="12">
    <w:abstractNumId w:val="6"/>
  </w:num>
  <w:num w:numId="13">
    <w:abstractNumId w:val="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HorizontalSpacing w:val="140"/>
  <w:drawingGridVerticalSpacing w:val="381"/>
  <w:displayHorizont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AxM2EzMTlkZWFkMzFhZmRjMzllYTRlNTBkZWFiYmUifQ=="/>
  </w:docVars>
  <w:rsids>
    <w:rsidRoot w:val="008803FD"/>
    <w:rsid w:val="00000431"/>
    <w:rsid w:val="00000522"/>
    <w:rsid w:val="000005AB"/>
    <w:rsid w:val="0000081E"/>
    <w:rsid w:val="000009D2"/>
    <w:rsid w:val="000010F7"/>
    <w:rsid w:val="00001115"/>
    <w:rsid w:val="00001DB7"/>
    <w:rsid w:val="00001FF1"/>
    <w:rsid w:val="000021C5"/>
    <w:rsid w:val="000021C7"/>
    <w:rsid w:val="00002449"/>
    <w:rsid w:val="000026E1"/>
    <w:rsid w:val="0000284F"/>
    <w:rsid w:val="00002A1A"/>
    <w:rsid w:val="00002D50"/>
    <w:rsid w:val="00003276"/>
    <w:rsid w:val="000033B7"/>
    <w:rsid w:val="000033B9"/>
    <w:rsid w:val="000037D8"/>
    <w:rsid w:val="000039FC"/>
    <w:rsid w:val="00003D89"/>
    <w:rsid w:val="00004243"/>
    <w:rsid w:val="00004BB9"/>
    <w:rsid w:val="00004C1E"/>
    <w:rsid w:val="00004DEC"/>
    <w:rsid w:val="0000513F"/>
    <w:rsid w:val="00005270"/>
    <w:rsid w:val="0000528B"/>
    <w:rsid w:val="0000556F"/>
    <w:rsid w:val="000056AF"/>
    <w:rsid w:val="000058A9"/>
    <w:rsid w:val="00005F7E"/>
    <w:rsid w:val="00006A3B"/>
    <w:rsid w:val="00006B82"/>
    <w:rsid w:val="00006DF7"/>
    <w:rsid w:val="0000726D"/>
    <w:rsid w:val="00007347"/>
    <w:rsid w:val="00007462"/>
    <w:rsid w:val="00007949"/>
    <w:rsid w:val="00010A75"/>
    <w:rsid w:val="00010DCB"/>
    <w:rsid w:val="00010EDB"/>
    <w:rsid w:val="00011E14"/>
    <w:rsid w:val="00011F6A"/>
    <w:rsid w:val="00012447"/>
    <w:rsid w:val="00012646"/>
    <w:rsid w:val="000129A9"/>
    <w:rsid w:val="00012E9C"/>
    <w:rsid w:val="00012F9C"/>
    <w:rsid w:val="0001338F"/>
    <w:rsid w:val="00013B46"/>
    <w:rsid w:val="00013FB3"/>
    <w:rsid w:val="00015A9D"/>
    <w:rsid w:val="00015B48"/>
    <w:rsid w:val="00015B8A"/>
    <w:rsid w:val="00015D99"/>
    <w:rsid w:val="00015E17"/>
    <w:rsid w:val="00015FD1"/>
    <w:rsid w:val="00016365"/>
    <w:rsid w:val="00016562"/>
    <w:rsid w:val="0001681E"/>
    <w:rsid w:val="000168C5"/>
    <w:rsid w:val="000171CB"/>
    <w:rsid w:val="000175A0"/>
    <w:rsid w:val="00017712"/>
    <w:rsid w:val="00020023"/>
    <w:rsid w:val="000203C9"/>
    <w:rsid w:val="000204F0"/>
    <w:rsid w:val="00020558"/>
    <w:rsid w:val="00020E32"/>
    <w:rsid w:val="00020F71"/>
    <w:rsid w:val="00021760"/>
    <w:rsid w:val="00021B3B"/>
    <w:rsid w:val="00022012"/>
    <w:rsid w:val="000222DD"/>
    <w:rsid w:val="00022311"/>
    <w:rsid w:val="000231F6"/>
    <w:rsid w:val="000235DD"/>
    <w:rsid w:val="000236ED"/>
    <w:rsid w:val="00024569"/>
    <w:rsid w:val="00024934"/>
    <w:rsid w:val="0002494F"/>
    <w:rsid w:val="00024ACA"/>
    <w:rsid w:val="00025270"/>
    <w:rsid w:val="000252A1"/>
    <w:rsid w:val="00025BC0"/>
    <w:rsid w:val="00025F4C"/>
    <w:rsid w:val="00026766"/>
    <w:rsid w:val="00026AD5"/>
    <w:rsid w:val="00026B68"/>
    <w:rsid w:val="00026EFF"/>
    <w:rsid w:val="00027B3C"/>
    <w:rsid w:val="000300C7"/>
    <w:rsid w:val="000309D7"/>
    <w:rsid w:val="0003103F"/>
    <w:rsid w:val="0003194A"/>
    <w:rsid w:val="00031C16"/>
    <w:rsid w:val="00031F23"/>
    <w:rsid w:val="00031FC1"/>
    <w:rsid w:val="000321BE"/>
    <w:rsid w:val="000323B0"/>
    <w:rsid w:val="000326F2"/>
    <w:rsid w:val="00032964"/>
    <w:rsid w:val="00032F5B"/>
    <w:rsid w:val="000331EA"/>
    <w:rsid w:val="0003321E"/>
    <w:rsid w:val="0003387F"/>
    <w:rsid w:val="000343BE"/>
    <w:rsid w:val="0003445E"/>
    <w:rsid w:val="0003457A"/>
    <w:rsid w:val="0003498A"/>
    <w:rsid w:val="00034B94"/>
    <w:rsid w:val="00034D9E"/>
    <w:rsid w:val="0003647C"/>
    <w:rsid w:val="000370DB"/>
    <w:rsid w:val="0003728D"/>
    <w:rsid w:val="0003728F"/>
    <w:rsid w:val="0003751F"/>
    <w:rsid w:val="0003762B"/>
    <w:rsid w:val="00037735"/>
    <w:rsid w:val="00037B41"/>
    <w:rsid w:val="0004044F"/>
    <w:rsid w:val="00040616"/>
    <w:rsid w:val="00040787"/>
    <w:rsid w:val="000409B3"/>
    <w:rsid w:val="00040F9C"/>
    <w:rsid w:val="00041130"/>
    <w:rsid w:val="000414F4"/>
    <w:rsid w:val="00041E35"/>
    <w:rsid w:val="0004258B"/>
    <w:rsid w:val="000427CC"/>
    <w:rsid w:val="000429F9"/>
    <w:rsid w:val="000434D2"/>
    <w:rsid w:val="00043663"/>
    <w:rsid w:val="000436AE"/>
    <w:rsid w:val="000436F2"/>
    <w:rsid w:val="000441B6"/>
    <w:rsid w:val="000441D1"/>
    <w:rsid w:val="00044320"/>
    <w:rsid w:val="0004433A"/>
    <w:rsid w:val="00044B55"/>
    <w:rsid w:val="00044EF2"/>
    <w:rsid w:val="0004531A"/>
    <w:rsid w:val="00045659"/>
    <w:rsid w:val="000462BB"/>
    <w:rsid w:val="00046565"/>
    <w:rsid w:val="00046BEB"/>
    <w:rsid w:val="00046E29"/>
    <w:rsid w:val="00047B5E"/>
    <w:rsid w:val="00047C57"/>
    <w:rsid w:val="000504BA"/>
    <w:rsid w:val="00050A2A"/>
    <w:rsid w:val="000511C8"/>
    <w:rsid w:val="00051435"/>
    <w:rsid w:val="000515AB"/>
    <w:rsid w:val="00052998"/>
    <w:rsid w:val="00052AAA"/>
    <w:rsid w:val="00052F4B"/>
    <w:rsid w:val="0005302F"/>
    <w:rsid w:val="00053393"/>
    <w:rsid w:val="00053510"/>
    <w:rsid w:val="00053EBF"/>
    <w:rsid w:val="00054160"/>
    <w:rsid w:val="00054315"/>
    <w:rsid w:val="00054570"/>
    <w:rsid w:val="00054C3F"/>
    <w:rsid w:val="00055368"/>
    <w:rsid w:val="00055524"/>
    <w:rsid w:val="000557E8"/>
    <w:rsid w:val="0005600F"/>
    <w:rsid w:val="00056037"/>
    <w:rsid w:val="0005634E"/>
    <w:rsid w:val="00056595"/>
    <w:rsid w:val="00057491"/>
    <w:rsid w:val="0005783E"/>
    <w:rsid w:val="000579C9"/>
    <w:rsid w:val="00057A09"/>
    <w:rsid w:val="00057C75"/>
    <w:rsid w:val="000604E0"/>
    <w:rsid w:val="00060DEA"/>
    <w:rsid w:val="00060F54"/>
    <w:rsid w:val="000613FB"/>
    <w:rsid w:val="000615DA"/>
    <w:rsid w:val="000618BE"/>
    <w:rsid w:val="000618F7"/>
    <w:rsid w:val="00061D61"/>
    <w:rsid w:val="00061E38"/>
    <w:rsid w:val="000620F3"/>
    <w:rsid w:val="000621C4"/>
    <w:rsid w:val="000621D3"/>
    <w:rsid w:val="00063D9B"/>
    <w:rsid w:val="00063DDD"/>
    <w:rsid w:val="000642C9"/>
    <w:rsid w:val="0006478F"/>
    <w:rsid w:val="000658A5"/>
    <w:rsid w:val="0006592C"/>
    <w:rsid w:val="00065A37"/>
    <w:rsid w:val="000662EB"/>
    <w:rsid w:val="000664D9"/>
    <w:rsid w:val="0006663B"/>
    <w:rsid w:val="00066684"/>
    <w:rsid w:val="00066A2C"/>
    <w:rsid w:val="00066DBB"/>
    <w:rsid w:val="00067322"/>
    <w:rsid w:val="000678E0"/>
    <w:rsid w:val="00067DEE"/>
    <w:rsid w:val="00070426"/>
    <w:rsid w:val="000707DF"/>
    <w:rsid w:val="000707F6"/>
    <w:rsid w:val="00070AAF"/>
    <w:rsid w:val="00070DFF"/>
    <w:rsid w:val="00070E4A"/>
    <w:rsid w:val="0007171A"/>
    <w:rsid w:val="00071766"/>
    <w:rsid w:val="00071DD3"/>
    <w:rsid w:val="00072C62"/>
    <w:rsid w:val="00072FF6"/>
    <w:rsid w:val="00074213"/>
    <w:rsid w:val="00074A40"/>
    <w:rsid w:val="00074B8D"/>
    <w:rsid w:val="00074F52"/>
    <w:rsid w:val="0007509F"/>
    <w:rsid w:val="00075D92"/>
    <w:rsid w:val="00076097"/>
    <w:rsid w:val="000769F2"/>
    <w:rsid w:val="00077560"/>
    <w:rsid w:val="00077DCE"/>
    <w:rsid w:val="00077EC3"/>
    <w:rsid w:val="00080166"/>
    <w:rsid w:val="00080342"/>
    <w:rsid w:val="000805BF"/>
    <w:rsid w:val="000806D6"/>
    <w:rsid w:val="00080811"/>
    <w:rsid w:val="000810B4"/>
    <w:rsid w:val="0008128D"/>
    <w:rsid w:val="00081C27"/>
    <w:rsid w:val="00081C6B"/>
    <w:rsid w:val="00082392"/>
    <w:rsid w:val="00082F9F"/>
    <w:rsid w:val="00083000"/>
    <w:rsid w:val="00083136"/>
    <w:rsid w:val="000831CE"/>
    <w:rsid w:val="00083349"/>
    <w:rsid w:val="00083552"/>
    <w:rsid w:val="000836B3"/>
    <w:rsid w:val="00083709"/>
    <w:rsid w:val="00083B7B"/>
    <w:rsid w:val="00083C1C"/>
    <w:rsid w:val="00083C33"/>
    <w:rsid w:val="000851CB"/>
    <w:rsid w:val="00085751"/>
    <w:rsid w:val="000857B9"/>
    <w:rsid w:val="0008647E"/>
    <w:rsid w:val="00086D70"/>
    <w:rsid w:val="00086EC4"/>
    <w:rsid w:val="00086FC6"/>
    <w:rsid w:val="0008757F"/>
    <w:rsid w:val="000877B4"/>
    <w:rsid w:val="00087CF7"/>
    <w:rsid w:val="000904BE"/>
    <w:rsid w:val="0009096A"/>
    <w:rsid w:val="00090CBE"/>
    <w:rsid w:val="000912C7"/>
    <w:rsid w:val="00091892"/>
    <w:rsid w:val="00091A1A"/>
    <w:rsid w:val="00091DC4"/>
    <w:rsid w:val="00092208"/>
    <w:rsid w:val="00092275"/>
    <w:rsid w:val="0009307E"/>
    <w:rsid w:val="0009337B"/>
    <w:rsid w:val="000933FD"/>
    <w:rsid w:val="00093441"/>
    <w:rsid w:val="000934B3"/>
    <w:rsid w:val="00093B31"/>
    <w:rsid w:val="00093CAA"/>
    <w:rsid w:val="0009417A"/>
    <w:rsid w:val="0009487B"/>
    <w:rsid w:val="00094EE1"/>
    <w:rsid w:val="00094F43"/>
    <w:rsid w:val="00095199"/>
    <w:rsid w:val="0009527B"/>
    <w:rsid w:val="00095562"/>
    <w:rsid w:val="00095C09"/>
    <w:rsid w:val="00095E13"/>
    <w:rsid w:val="000960D7"/>
    <w:rsid w:val="000967AD"/>
    <w:rsid w:val="00096A70"/>
    <w:rsid w:val="0009705B"/>
    <w:rsid w:val="0009736E"/>
    <w:rsid w:val="00097658"/>
    <w:rsid w:val="00097DE3"/>
    <w:rsid w:val="00097FB1"/>
    <w:rsid w:val="000A0FFA"/>
    <w:rsid w:val="000A1338"/>
    <w:rsid w:val="000A13E1"/>
    <w:rsid w:val="000A18D5"/>
    <w:rsid w:val="000A20F9"/>
    <w:rsid w:val="000A212C"/>
    <w:rsid w:val="000A22C1"/>
    <w:rsid w:val="000A2772"/>
    <w:rsid w:val="000A2EF2"/>
    <w:rsid w:val="000A2F98"/>
    <w:rsid w:val="000A3492"/>
    <w:rsid w:val="000A3F28"/>
    <w:rsid w:val="000A3FB7"/>
    <w:rsid w:val="000A4275"/>
    <w:rsid w:val="000A4385"/>
    <w:rsid w:val="000A43BB"/>
    <w:rsid w:val="000A454B"/>
    <w:rsid w:val="000A46E8"/>
    <w:rsid w:val="000A4EFA"/>
    <w:rsid w:val="000A51F7"/>
    <w:rsid w:val="000A5437"/>
    <w:rsid w:val="000A546C"/>
    <w:rsid w:val="000A581F"/>
    <w:rsid w:val="000A59C1"/>
    <w:rsid w:val="000A5D37"/>
    <w:rsid w:val="000A6001"/>
    <w:rsid w:val="000A64CF"/>
    <w:rsid w:val="000A6CA1"/>
    <w:rsid w:val="000A6DE5"/>
    <w:rsid w:val="000A706E"/>
    <w:rsid w:val="000A785D"/>
    <w:rsid w:val="000A78B8"/>
    <w:rsid w:val="000A78F2"/>
    <w:rsid w:val="000A7A1D"/>
    <w:rsid w:val="000A7B8E"/>
    <w:rsid w:val="000A7C9D"/>
    <w:rsid w:val="000A7D66"/>
    <w:rsid w:val="000A7DD4"/>
    <w:rsid w:val="000B050A"/>
    <w:rsid w:val="000B07C2"/>
    <w:rsid w:val="000B0F34"/>
    <w:rsid w:val="000B1069"/>
    <w:rsid w:val="000B1415"/>
    <w:rsid w:val="000B1B3F"/>
    <w:rsid w:val="000B1B99"/>
    <w:rsid w:val="000B1C09"/>
    <w:rsid w:val="000B1F3E"/>
    <w:rsid w:val="000B2B51"/>
    <w:rsid w:val="000B2C4B"/>
    <w:rsid w:val="000B2F2A"/>
    <w:rsid w:val="000B34BE"/>
    <w:rsid w:val="000B3A9F"/>
    <w:rsid w:val="000B3BAB"/>
    <w:rsid w:val="000B43FE"/>
    <w:rsid w:val="000B4E1A"/>
    <w:rsid w:val="000B5218"/>
    <w:rsid w:val="000B5523"/>
    <w:rsid w:val="000B5816"/>
    <w:rsid w:val="000B5C34"/>
    <w:rsid w:val="000B6028"/>
    <w:rsid w:val="000B712D"/>
    <w:rsid w:val="000B7C51"/>
    <w:rsid w:val="000B7F3A"/>
    <w:rsid w:val="000C01FA"/>
    <w:rsid w:val="000C0EC7"/>
    <w:rsid w:val="000C101F"/>
    <w:rsid w:val="000C1155"/>
    <w:rsid w:val="000C117A"/>
    <w:rsid w:val="000C16EA"/>
    <w:rsid w:val="000C1BBB"/>
    <w:rsid w:val="000C2286"/>
    <w:rsid w:val="000C28B9"/>
    <w:rsid w:val="000C33F3"/>
    <w:rsid w:val="000C3A7F"/>
    <w:rsid w:val="000C3AAD"/>
    <w:rsid w:val="000C3CA2"/>
    <w:rsid w:val="000C4546"/>
    <w:rsid w:val="000C4680"/>
    <w:rsid w:val="000C4DB4"/>
    <w:rsid w:val="000C508D"/>
    <w:rsid w:val="000C5131"/>
    <w:rsid w:val="000C5268"/>
    <w:rsid w:val="000C61FE"/>
    <w:rsid w:val="000C64CD"/>
    <w:rsid w:val="000C650F"/>
    <w:rsid w:val="000C66FD"/>
    <w:rsid w:val="000C67CB"/>
    <w:rsid w:val="000C6D6F"/>
    <w:rsid w:val="000C6FD6"/>
    <w:rsid w:val="000C77E1"/>
    <w:rsid w:val="000C79C2"/>
    <w:rsid w:val="000C7B58"/>
    <w:rsid w:val="000D0227"/>
    <w:rsid w:val="000D032A"/>
    <w:rsid w:val="000D0C2A"/>
    <w:rsid w:val="000D0D2A"/>
    <w:rsid w:val="000D1628"/>
    <w:rsid w:val="000D1953"/>
    <w:rsid w:val="000D1D0B"/>
    <w:rsid w:val="000D205D"/>
    <w:rsid w:val="000D29C1"/>
    <w:rsid w:val="000D2C05"/>
    <w:rsid w:val="000D2C4B"/>
    <w:rsid w:val="000D2F7E"/>
    <w:rsid w:val="000D355E"/>
    <w:rsid w:val="000D3A2C"/>
    <w:rsid w:val="000D3FDD"/>
    <w:rsid w:val="000D446F"/>
    <w:rsid w:val="000D4572"/>
    <w:rsid w:val="000D4AEF"/>
    <w:rsid w:val="000D4E69"/>
    <w:rsid w:val="000D5246"/>
    <w:rsid w:val="000D6511"/>
    <w:rsid w:val="000D66B0"/>
    <w:rsid w:val="000D67D2"/>
    <w:rsid w:val="000D69CF"/>
    <w:rsid w:val="000D6AB7"/>
    <w:rsid w:val="000D7529"/>
    <w:rsid w:val="000D7D4E"/>
    <w:rsid w:val="000D7FF6"/>
    <w:rsid w:val="000E0101"/>
    <w:rsid w:val="000E058D"/>
    <w:rsid w:val="000E0AC0"/>
    <w:rsid w:val="000E0ADC"/>
    <w:rsid w:val="000E125F"/>
    <w:rsid w:val="000E1428"/>
    <w:rsid w:val="000E17BC"/>
    <w:rsid w:val="000E1802"/>
    <w:rsid w:val="000E1A51"/>
    <w:rsid w:val="000E1D75"/>
    <w:rsid w:val="000E227B"/>
    <w:rsid w:val="000E23D6"/>
    <w:rsid w:val="000E2488"/>
    <w:rsid w:val="000E24BA"/>
    <w:rsid w:val="000E2946"/>
    <w:rsid w:val="000E2C77"/>
    <w:rsid w:val="000E3417"/>
    <w:rsid w:val="000E37A1"/>
    <w:rsid w:val="000E40F7"/>
    <w:rsid w:val="000E4B71"/>
    <w:rsid w:val="000E4B72"/>
    <w:rsid w:val="000E4E90"/>
    <w:rsid w:val="000E52DB"/>
    <w:rsid w:val="000E5EA8"/>
    <w:rsid w:val="000E5EBC"/>
    <w:rsid w:val="000E5FD7"/>
    <w:rsid w:val="000E6520"/>
    <w:rsid w:val="000E6C2B"/>
    <w:rsid w:val="000E6EC1"/>
    <w:rsid w:val="000E7099"/>
    <w:rsid w:val="000E7DBC"/>
    <w:rsid w:val="000E7EF1"/>
    <w:rsid w:val="000F0912"/>
    <w:rsid w:val="000F1157"/>
    <w:rsid w:val="000F18A3"/>
    <w:rsid w:val="000F1DF7"/>
    <w:rsid w:val="000F2082"/>
    <w:rsid w:val="000F2B99"/>
    <w:rsid w:val="000F2CAC"/>
    <w:rsid w:val="000F308D"/>
    <w:rsid w:val="000F3643"/>
    <w:rsid w:val="000F496A"/>
    <w:rsid w:val="000F4F77"/>
    <w:rsid w:val="000F52DE"/>
    <w:rsid w:val="000F5651"/>
    <w:rsid w:val="000F5B44"/>
    <w:rsid w:val="000F5E6B"/>
    <w:rsid w:val="000F6213"/>
    <w:rsid w:val="000F6728"/>
    <w:rsid w:val="000F6863"/>
    <w:rsid w:val="000F6E80"/>
    <w:rsid w:val="000F7555"/>
    <w:rsid w:val="000F7943"/>
    <w:rsid w:val="00100974"/>
    <w:rsid w:val="00100CB4"/>
    <w:rsid w:val="001012EA"/>
    <w:rsid w:val="00101443"/>
    <w:rsid w:val="00101709"/>
    <w:rsid w:val="001017FA"/>
    <w:rsid w:val="00101B53"/>
    <w:rsid w:val="00101BAD"/>
    <w:rsid w:val="00101DE4"/>
    <w:rsid w:val="001020C1"/>
    <w:rsid w:val="001022F3"/>
    <w:rsid w:val="0010240A"/>
    <w:rsid w:val="00102D20"/>
    <w:rsid w:val="00103096"/>
    <w:rsid w:val="0010312D"/>
    <w:rsid w:val="0010319A"/>
    <w:rsid w:val="001037FC"/>
    <w:rsid w:val="001039C6"/>
    <w:rsid w:val="00103A13"/>
    <w:rsid w:val="0010404F"/>
    <w:rsid w:val="001040D8"/>
    <w:rsid w:val="00104BED"/>
    <w:rsid w:val="00104EA2"/>
    <w:rsid w:val="00105128"/>
    <w:rsid w:val="00105442"/>
    <w:rsid w:val="001055E9"/>
    <w:rsid w:val="00105765"/>
    <w:rsid w:val="001059AD"/>
    <w:rsid w:val="00106045"/>
    <w:rsid w:val="001061BD"/>
    <w:rsid w:val="00106313"/>
    <w:rsid w:val="00106D66"/>
    <w:rsid w:val="00106F3C"/>
    <w:rsid w:val="0010728B"/>
    <w:rsid w:val="00107FF2"/>
    <w:rsid w:val="00110008"/>
    <w:rsid w:val="001104F7"/>
    <w:rsid w:val="0011068E"/>
    <w:rsid w:val="001107F9"/>
    <w:rsid w:val="00110A7D"/>
    <w:rsid w:val="00110AC9"/>
    <w:rsid w:val="00110C0A"/>
    <w:rsid w:val="001112B0"/>
    <w:rsid w:val="0011144A"/>
    <w:rsid w:val="00111D5E"/>
    <w:rsid w:val="001120C6"/>
    <w:rsid w:val="00112323"/>
    <w:rsid w:val="00112955"/>
    <w:rsid w:val="00112B53"/>
    <w:rsid w:val="00112E9D"/>
    <w:rsid w:val="00112F55"/>
    <w:rsid w:val="00112F77"/>
    <w:rsid w:val="00113710"/>
    <w:rsid w:val="00113C50"/>
    <w:rsid w:val="00113E3F"/>
    <w:rsid w:val="001140A0"/>
    <w:rsid w:val="001141E7"/>
    <w:rsid w:val="00114234"/>
    <w:rsid w:val="0011439A"/>
    <w:rsid w:val="00114652"/>
    <w:rsid w:val="00115668"/>
    <w:rsid w:val="001159D4"/>
    <w:rsid w:val="00115C15"/>
    <w:rsid w:val="00116520"/>
    <w:rsid w:val="00116C22"/>
    <w:rsid w:val="001171BA"/>
    <w:rsid w:val="00117548"/>
    <w:rsid w:val="00117551"/>
    <w:rsid w:val="00117BA1"/>
    <w:rsid w:val="00117DDE"/>
    <w:rsid w:val="00117ED0"/>
    <w:rsid w:val="0012045E"/>
    <w:rsid w:val="001204C6"/>
    <w:rsid w:val="001208EA"/>
    <w:rsid w:val="001210B2"/>
    <w:rsid w:val="00121379"/>
    <w:rsid w:val="001214A5"/>
    <w:rsid w:val="00121A57"/>
    <w:rsid w:val="00121D67"/>
    <w:rsid w:val="00121D9A"/>
    <w:rsid w:val="001220AC"/>
    <w:rsid w:val="00122471"/>
    <w:rsid w:val="001227D9"/>
    <w:rsid w:val="00122BE4"/>
    <w:rsid w:val="00122D7F"/>
    <w:rsid w:val="00122DB5"/>
    <w:rsid w:val="00123351"/>
    <w:rsid w:val="001235F1"/>
    <w:rsid w:val="001236BC"/>
    <w:rsid w:val="001241F4"/>
    <w:rsid w:val="001244E0"/>
    <w:rsid w:val="00124541"/>
    <w:rsid w:val="001247DB"/>
    <w:rsid w:val="00124E4C"/>
    <w:rsid w:val="00124FBE"/>
    <w:rsid w:val="00125197"/>
    <w:rsid w:val="001253C1"/>
    <w:rsid w:val="0012560E"/>
    <w:rsid w:val="00125D5E"/>
    <w:rsid w:val="00126040"/>
    <w:rsid w:val="001267F2"/>
    <w:rsid w:val="00127885"/>
    <w:rsid w:val="001278E3"/>
    <w:rsid w:val="001279D8"/>
    <w:rsid w:val="00127B06"/>
    <w:rsid w:val="00127E0E"/>
    <w:rsid w:val="00127F3D"/>
    <w:rsid w:val="001300DB"/>
    <w:rsid w:val="00130670"/>
    <w:rsid w:val="00130B24"/>
    <w:rsid w:val="001315AE"/>
    <w:rsid w:val="00131642"/>
    <w:rsid w:val="00131D31"/>
    <w:rsid w:val="001325FC"/>
    <w:rsid w:val="001327EE"/>
    <w:rsid w:val="00132B3A"/>
    <w:rsid w:val="00132C26"/>
    <w:rsid w:val="00133296"/>
    <w:rsid w:val="001332DC"/>
    <w:rsid w:val="001336AF"/>
    <w:rsid w:val="0013409B"/>
    <w:rsid w:val="00134142"/>
    <w:rsid w:val="00134504"/>
    <w:rsid w:val="00134745"/>
    <w:rsid w:val="00135003"/>
    <w:rsid w:val="001359AB"/>
    <w:rsid w:val="00135DB3"/>
    <w:rsid w:val="00135EA9"/>
    <w:rsid w:val="0013617E"/>
    <w:rsid w:val="00136AFE"/>
    <w:rsid w:val="00136E93"/>
    <w:rsid w:val="00136FE0"/>
    <w:rsid w:val="00137163"/>
    <w:rsid w:val="00137332"/>
    <w:rsid w:val="001374D9"/>
    <w:rsid w:val="001374E9"/>
    <w:rsid w:val="00137547"/>
    <w:rsid w:val="00137588"/>
    <w:rsid w:val="00137689"/>
    <w:rsid w:val="001376A1"/>
    <w:rsid w:val="001376CC"/>
    <w:rsid w:val="00137DD9"/>
    <w:rsid w:val="00140214"/>
    <w:rsid w:val="00141388"/>
    <w:rsid w:val="001414EA"/>
    <w:rsid w:val="001415BF"/>
    <w:rsid w:val="00141E65"/>
    <w:rsid w:val="0014202F"/>
    <w:rsid w:val="0014214C"/>
    <w:rsid w:val="001423CB"/>
    <w:rsid w:val="00142795"/>
    <w:rsid w:val="001427C7"/>
    <w:rsid w:val="00142910"/>
    <w:rsid w:val="00142EDC"/>
    <w:rsid w:val="001435BC"/>
    <w:rsid w:val="00143707"/>
    <w:rsid w:val="00143C1C"/>
    <w:rsid w:val="00143C51"/>
    <w:rsid w:val="00143F71"/>
    <w:rsid w:val="001448A4"/>
    <w:rsid w:val="001448B6"/>
    <w:rsid w:val="00144A7C"/>
    <w:rsid w:val="00144F10"/>
    <w:rsid w:val="00145198"/>
    <w:rsid w:val="0014533F"/>
    <w:rsid w:val="00145854"/>
    <w:rsid w:val="001460BE"/>
    <w:rsid w:val="00146240"/>
    <w:rsid w:val="0014627F"/>
    <w:rsid w:val="0014660B"/>
    <w:rsid w:val="0014664E"/>
    <w:rsid w:val="00146752"/>
    <w:rsid w:val="00146E33"/>
    <w:rsid w:val="00147128"/>
    <w:rsid w:val="0014719C"/>
    <w:rsid w:val="001474A7"/>
    <w:rsid w:val="00147688"/>
    <w:rsid w:val="00147B9E"/>
    <w:rsid w:val="00147E6F"/>
    <w:rsid w:val="001504D6"/>
    <w:rsid w:val="0015051B"/>
    <w:rsid w:val="0015072C"/>
    <w:rsid w:val="001507FE"/>
    <w:rsid w:val="00150902"/>
    <w:rsid w:val="00150BED"/>
    <w:rsid w:val="0015143E"/>
    <w:rsid w:val="00151982"/>
    <w:rsid w:val="00151BB5"/>
    <w:rsid w:val="00151FF0"/>
    <w:rsid w:val="00152098"/>
    <w:rsid w:val="00153059"/>
    <w:rsid w:val="00153098"/>
    <w:rsid w:val="00153111"/>
    <w:rsid w:val="00153431"/>
    <w:rsid w:val="00153747"/>
    <w:rsid w:val="001539A1"/>
    <w:rsid w:val="00153AEE"/>
    <w:rsid w:val="00153C96"/>
    <w:rsid w:val="00153D64"/>
    <w:rsid w:val="0015414E"/>
    <w:rsid w:val="00154C42"/>
    <w:rsid w:val="0015545A"/>
    <w:rsid w:val="0015565F"/>
    <w:rsid w:val="001556FD"/>
    <w:rsid w:val="00155717"/>
    <w:rsid w:val="001559CA"/>
    <w:rsid w:val="00155F4F"/>
    <w:rsid w:val="001567B7"/>
    <w:rsid w:val="0015687A"/>
    <w:rsid w:val="001569C6"/>
    <w:rsid w:val="00156B2B"/>
    <w:rsid w:val="00157029"/>
    <w:rsid w:val="001573F4"/>
    <w:rsid w:val="00157A23"/>
    <w:rsid w:val="00157C2B"/>
    <w:rsid w:val="00157EDA"/>
    <w:rsid w:val="00160220"/>
    <w:rsid w:val="00160FF5"/>
    <w:rsid w:val="00161101"/>
    <w:rsid w:val="0016142A"/>
    <w:rsid w:val="0016177C"/>
    <w:rsid w:val="0016185C"/>
    <w:rsid w:val="00161A3D"/>
    <w:rsid w:val="00161E1B"/>
    <w:rsid w:val="00161EC8"/>
    <w:rsid w:val="00161F1E"/>
    <w:rsid w:val="001621E4"/>
    <w:rsid w:val="0016273C"/>
    <w:rsid w:val="001628B5"/>
    <w:rsid w:val="0016290B"/>
    <w:rsid w:val="0016376B"/>
    <w:rsid w:val="001646A4"/>
    <w:rsid w:val="00164A2F"/>
    <w:rsid w:val="00165439"/>
    <w:rsid w:val="001654D2"/>
    <w:rsid w:val="001654DF"/>
    <w:rsid w:val="001657CC"/>
    <w:rsid w:val="001657E8"/>
    <w:rsid w:val="00165AFC"/>
    <w:rsid w:val="00166376"/>
    <w:rsid w:val="0016662C"/>
    <w:rsid w:val="00166809"/>
    <w:rsid w:val="001672F2"/>
    <w:rsid w:val="00167396"/>
    <w:rsid w:val="00167686"/>
    <w:rsid w:val="001679E7"/>
    <w:rsid w:val="00167E2C"/>
    <w:rsid w:val="001705B9"/>
    <w:rsid w:val="00170649"/>
    <w:rsid w:val="00170A7D"/>
    <w:rsid w:val="00171352"/>
    <w:rsid w:val="001713DA"/>
    <w:rsid w:val="0017184D"/>
    <w:rsid w:val="00171D9A"/>
    <w:rsid w:val="00171F68"/>
    <w:rsid w:val="001720FD"/>
    <w:rsid w:val="00172129"/>
    <w:rsid w:val="001722B5"/>
    <w:rsid w:val="0017247D"/>
    <w:rsid w:val="001726C8"/>
    <w:rsid w:val="001726F4"/>
    <w:rsid w:val="00172ADC"/>
    <w:rsid w:val="00172C6C"/>
    <w:rsid w:val="00172F06"/>
    <w:rsid w:val="00173C79"/>
    <w:rsid w:val="0017461E"/>
    <w:rsid w:val="00174646"/>
    <w:rsid w:val="00174749"/>
    <w:rsid w:val="001747AA"/>
    <w:rsid w:val="00174971"/>
    <w:rsid w:val="0017578B"/>
    <w:rsid w:val="00175AA5"/>
    <w:rsid w:val="00175BC8"/>
    <w:rsid w:val="00176076"/>
    <w:rsid w:val="001763AF"/>
    <w:rsid w:val="001765A6"/>
    <w:rsid w:val="0017662C"/>
    <w:rsid w:val="00176914"/>
    <w:rsid w:val="001769CC"/>
    <w:rsid w:val="00176B1F"/>
    <w:rsid w:val="00177131"/>
    <w:rsid w:val="00177355"/>
    <w:rsid w:val="0017789F"/>
    <w:rsid w:val="001779B4"/>
    <w:rsid w:val="00180024"/>
    <w:rsid w:val="001801D5"/>
    <w:rsid w:val="0018030D"/>
    <w:rsid w:val="001804FB"/>
    <w:rsid w:val="00180B38"/>
    <w:rsid w:val="00180C54"/>
    <w:rsid w:val="00180D49"/>
    <w:rsid w:val="001812CD"/>
    <w:rsid w:val="001812CF"/>
    <w:rsid w:val="0018175B"/>
    <w:rsid w:val="001817C1"/>
    <w:rsid w:val="001818F6"/>
    <w:rsid w:val="00181E71"/>
    <w:rsid w:val="001828C9"/>
    <w:rsid w:val="001829CB"/>
    <w:rsid w:val="00183BEA"/>
    <w:rsid w:val="001847D0"/>
    <w:rsid w:val="00184B9F"/>
    <w:rsid w:val="00184C89"/>
    <w:rsid w:val="00184D3D"/>
    <w:rsid w:val="0018508B"/>
    <w:rsid w:val="0018567A"/>
    <w:rsid w:val="001857FF"/>
    <w:rsid w:val="00185BB6"/>
    <w:rsid w:val="00185BE5"/>
    <w:rsid w:val="00185E41"/>
    <w:rsid w:val="00186316"/>
    <w:rsid w:val="001865C7"/>
    <w:rsid w:val="00186828"/>
    <w:rsid w:val="0018708A"/>
    <w:rsid w:val="001870C6"/>
    <w:rsid w:val="0018768E"/>
    <w:rsid w:val="00187C0D"/>
    <w:rsid w:val="00190621"/>
    <w:rsid w:val="00190722"/>
    <w:rsid w:val="00190D33"/>
    <w:rsid w:val="0019101A"/>
    <w:rsid w:val="00191C06"/>
    <w:rsid w:val="001920F0"/>
    <w:rsid w:val="001921CC"/>
    <w:rsid w:val="001925EC"/>
    <w:rsid w:val="00192917"/>
    <w:rsid w:val="00192A36"/>
    <w:rsid w:val="00192AC8"/>
    <w:rsid w:val="00192CE3"/>
    <w:rsid w:val="00192E8C"/>
    <w:rsid w:val="00192EB3"/>
    <w:rsid w:val="001932D0"/>
    <w:rsid w:val="0019351F"/>
    <w:rsid w:val="00193A23"/>
    <w:rsid w:val="00193B7B"/>
    <w:rsid w:val="00193BD7"/>
    <w:rsid w:val="00193C10"/>
    <w:rsid w:val="001940EC"/>
    <w:rsid w:val="0019415F"/>
    <w:rsid w:val="001941F3"/>
    <w:rsid w:val="0019486A"/>
    <w:rsid w:val="00194BE9"/>
    <w:rsid w:val="00195067"/>
    <w:rsid w:val="0019556D"/>
    <w:rsid w:val="00195AE1"/>
    <w:rsid w:val="00195CB1"/>
    <w:rsid w:val="00195E3A"/>
    <w:rsid w:val="00195F3D"/>
    <w:rsid w:val="00196226"/>
    <w:rsid w:val="0019626E"/>
    <w:rsid w:val="0019694C"/>
    <w:rsid w:val="00196E2C"/>
    <w:rsid w:val="00196FA5"/>
    <w:rsid w:val="001971C3"/>
    <w:rsid w:val="0019764C"/>
    <w:rsid w:val="00197C5C"/>
    <w:rsid w:val="00197F14"/>
    <w:rsid w:val="00197FB8"/>
    <w:rsid w:val="001A000C"/>
    <w:rsid w:val="001A032B"/>
    <w:rsid w:val="001A03D8"/>
    <w:rsid w:val="001A0A87"/>
    <w:rsid w:val="001A0F99"/>
    <w:rsid w:val="001A1756"/>
    <w:rsid w:val="001A21BF"/>
    <w:rsid w:val="001A2238"/>
    <w:rsid w:val="001A2921"/>
    <w:rsid w:val="001A2E6B"/>
    <w:rsid w:val="001A3027"/>
    <w:rsid w:val="001A32BD"/>
    <w:rsid w:val="001A3B27"/>
    <w:rsid w:val="001A3BF3"/>
    <w:rsid w:val="001A4011"/>
    <w:rsid w:val="001A409A"/>
    <w:rsid w:val="001A52E9"/>
    <w:rsid w:val="001A5810"/>
    <w:rsid w:val="001A583C"/>
    <w:rsid w:val="001A5CE9"/>
    <w:rsid w:val="001A63E5"/>
    <w:rsid w:val="001A6D61"/>
    <w:rsid w:val="001A6D78"/>
    <w:rsid w:val="001A6DBC"/>
    <w:rsid w:val="001A7CA2"/>
    <w:rsid w:val="001A7D1E"/>
    <w:rsid w:val="001A7F14"/>
    <w:rsid w:val="001B044E"/>
    <w:rsid w:val="001B0567"/>
    <w:rsid w:val="001B1CB3"/>
    <w:rsid w:val="001B1D3D"/>
    <w:rsid w:val="001B2408"/>
    <w:rsid w:val="001B2E7F"/>
    <w:rsid w:val="001B2EE6"/>
    <w:rsid w:val="001B3317"/>
    <w:rsid w:val="001B361E"/>
    <w:rsid w:val="001B3E5A"/>
    <w:rsid w:val="001B42BC"/>
    <w:rsid w:val="001B48E1"/>
    <w:rsid w:val="001B4A7A"/>
    <w:rsid w:val="001B4D26"/>
    <w:rsid w:val="001B4D57"/>
    <w:rsid w:val="001B57E4"/>
    <w:rsid w:val="001B5D7A"/>
    <w:rsid w:val="001B6228"/>
    <w:rsid w:val="001B6F4D"/>
    <w:rsid w:val="001B723A"/>
    <w:rsid w:val="001B76FB"/>
    <w:rsid w:val="001B79D8"/>
    <w:rsid w:val="001C0067"/>
    <w:rsid w:val="001C02A6"/>
    <w:rsid w:val="001C06E1"/>
    <w:rsid w:val="001C0CD5"/>
    <w:rsid w:val="001C1232"/>
    <w:rsid w:val="001C14F9"/>
    <w:rsid w:val="001C15BE"/>
    <w:rsid w:val="001C1902"/>
    <w:rsid w:val="001C1BC2"/>
    <w:rsid w:val="001C1CFB"/>
    <w:rsid w:val="001C21A1"/>
    <w:rsid w:val="001C24A1"/>
    <w:rsid w:val="001C26B5"/>
    <w:rsid w:val="001C29E8"/>
    <w:rsid w:val="001C2BC6"/>
    <w:rsid w:val="001C2D57"/>
    <w:rsid w:val="001C2F47"/>
    <w:rsid w:val="001C2F52"/>
    <w:rsid w:val="001C511B"/>
    <w:rsid w:val="001C51E4"/>
    <w:rsid w:val="001C54FC"/>
    <w:rsid w:val="001C5528"/>
    <w:rsid w:val="001C5DAB"/>
    <w:rsid w:val="001C5DD2"/>
    <w:rsid w:val="001C67B7"/>
    <w:rsid w:val="001C6E4E"/>
    <w:rsid w:val="001C72B5"/>
    <w:rsid w:val="001D01D2"/>
    <w:rsid w:val="001D024A"/>
    <w:rsid w:val="001D04EB"/>
    <w:rsid w:val="001D14FA"/>
    <w:rsid w:val="001D1610"/>
    <w:rsid w:val="001D1BE8"/>
    <w:rsid w:val="001D2101"/>
    <w:rsid w:val="001D222C"/>
    <w:rsid w:val="001D2235"/>
    <w:rsid w:val="001D25A3"/>
    <w:rsid w:val="001D2976"/>
    <w:rsid w:val="001D2DBB"/>
    <w:rsid w:val="001D3E5F"/>
    <w:rsid w:val="001D3FA2"/>
    <w:rsid w:val="001D40B4"/>
    <w:rsid w:val="001D45F2"/>
    <w:rsid w:val="001D46E0"/>
    <w:rsid w:val="001D4F7A"/>
    <w:rsid w:val="001D4FBE"/>
    <w:rsid w:val="001D5EE0"/>
    <w:rsid w:val="001D669F"/>
    <w:rsid w:val="001D6811"/>
    <w:rsid w:val="001D6A52"/>
    <w:rsid w:val="001D7610"/>
    <w:rsid w:val="001D798A"/>
    <w:rsid w:val="001D7CD4"/>
    <w:rsid w:val="001D7D0A"/>
    <w:rsid w:val="001E020D"/>
    <w:rsid w:val="001E0605"/>
    <w:rsid w:val="001E0AC5"/>
    <w:rsid w:val="001E0E26"/>
    <w:rsid w:val="001E0EB1"/>
    <w:rsid w:val="001E0F74"/>
    <w:rsid w:val="001E1239"/>
    <w:rsid w:val="001E1259"/>
    <w:rsid w:val="001E14F6"/>
    <w:rsid w:val="001E1BDE"/>
    <w:rsid w:val="001E2DA7"/>
    <w:rsid w:val="001E2ED1"/>
    <w:rsid w:val="001E35B7"/>
    <w:rsid w:val="001E483C"/>
    <w:rsid w:val="001E488A"/>
    <w:rsid w:val="001E4A28"/>
    <w:rsid w:val="001E4FB5"/>
    <w:rsid w:val="001E521D"/>
    <w:rsid w:val="001E57A6"/>
    <w:rsid w:val="001E5FD5"/>
    <w:rsid w:val="001E6985"/>
    <w:rsid w:val="001E6BAF"/>
    <w:rsid w:val="001E6C0D"/>
    <w:rsid w:val="001E6E92"/>
    <w:rsid w:val="001E7876"/>
    <w:rsid w:val="001E7A84"/>
    <w:rsid w:val="001E7E4B"/>
    <w:rsid w:val="001F0271"/>
    <w:rsid w:val="001F087B"/>
    <w:rsid w:val="001F0A4B"/>
    <w:rsid w:val="001F11D5"/>
    <w:rsid w:val="001F1247"/>
    <w:rsid w:val="001F17F5"/>
    <w:rsid w:val="001F1AAB"/>
    <w:rsid w:val="001F1DD0"/>
    <w:rsid w:val="001F228C"/>
    <w:rsid w:val="001F2A7E"/>
    <w:rsid w:val="001F2AD3"/>
    <w:rsid w:val="001F361B"/>
    <w:rsid w:val="001F38D9"/>
    <w:rsid w:val="001F3B25"/>
    <w:rsid w:val="001F4990"/>
    <w:rsid w:val="001F4A50"/>
    <w:rsid w:val="001F4E4A"/>
    <w:rsid w:val="001F4F07"/>
    <w:rsid w:val="001F5474"/>
    <w:rsid w:val="001F5666"/>
    <w:rsid w:val="001F57F9"/>
    <w:rsid w:val="001F5F24"/>
    <w:rsid w:val="001F64EA"/>
    <w:rsid w:val="001F677B"/>
    <w:rsid w:val="001F6E10"/>
    <w:rsid w:val="001F6E96"/>
    <w:rsid w:val="001F7581"/>
    <w:rsid w:val="001F7913"/>
    <w:rsid w:val="00200967"/>
    <w:rsid w:val="00200C23"/>
    <w:rsid w:val="00200FAF"/>
    <w:rsid w:val="00202195"/>
    <w:rsid w:val="00202291"/>
    <w:rsid w:val="00202884"/>
    <w:rsid w:val="00203273"/>
    <w:rsid w:val="00204B77"/>
    <w:rsid w:val="0020511B"/>
    <w:rsid w:val="0020513A"/>
    <w:rsid w:val="00205A59"/>
    <w:rsid w:val="00206EB0"/>
    <w:rsid w:val="002070B6"/>
    <w:rsid w:val="00207B62"/>
    <w:rsid w:val="00210975"/>
    <w:rsid w:val="00210B39"/>
    <w:rsid w:val="002116D8"/>
    <w:rsid w:val="00211F5B"/>
    <w:rsid w:val="00212155"/>
    <w:rsid w:val="00212251"/>
    <w:rsid w:val="002124D6"/>
    <w:rsid w:val="002128AE"/>
    <w:rsid w:val="00212D64"/>
    <w:rsid w:val="00212E31"/>
    <w:rsid w:val="00212F02"/>
    <w:rsid w:val="00213044"/>
    <w:rsid w:val="00213178"/>
    <w:rsid w:val="0021327F"/>
    <w:rsid w:val="0021349E"/>
    <w:rsid w:val="00213771"/>
    <w:rsid w:val="002137BA"/>
    <w:rsid w:val="002139AB"/>
    <w:rsid w:val="002143C6"/>
    <w:rsid w:val="002146E7"/>
    <w:rsid w:val="002149AE"/>
    <w:rsid w:val="00214BA7"/>
    <w:rsid w:val="00214DEA"/>
    <w:rsid w:val="00215174"/>
    <w:rsid w:val="0021563A"/>
    <w:rsid w:val="002168F1"/>
    <w:rsid w:val="00216D44"/>
    <w:rsid w:val="00217330"/>
    <w:rsid w:val="00217768"/>
    <w:rsid w:val="00217C2D"/>
    <w:rsid w:val="00220A72"/>
    <w:rsid w:val="00220A79"/>
    <w:rsid w:val="00221142"/>
    <w:rsid w:val="00221307"/>
    <w:rsid w:val="002215A4"/>
    <w:rsid w:val="002216CF"/>
    <w:rsid w:val="00221B26"/>
    <w:rsid w:val="00221BB5"/>
    <w:rsid w:val="00221CE1"/>
    <w:rsid w:val="00222404"/>
    <w:rsid w:val="002224D6"/>
    <w:rsid w:val="00222700"/>
    <w:rsid w:val="002228B4"/>
    <w:rsid w:val="002228F9"/>
    <w:rsid w:val="00222AE1"/>
    <w:rsid w:val="00222FE5"/>
    <w:rsid w:val="00223A1E"/>
    <w:rsid w:val="00223F8A"/>
    <w:rsid w:val="00224239"/>
    <w:rsid w:val="0022431F"/>
    <w:rsid w:val="00224440"/>
    <w:rsid w:val="00224499"/>
    <w:rsid w:val="00224860"/>
    <w:rsid w:val="00224912"/>
    <w:rsid w:val="00224D17"/>
    <w:rsid w:val="00225327"/>
    <w:rsid w:val="0022592D"/>
    <w:rsid w:val="0022593E"/>
    <w:rsid w:val="00226349"/>
    <w:rsid w:val="00226529"/>
    <w:rsid w:val="0022678A"/>
    <w:rsid w:val="00226D75"/>
    <w:rsid w:val="00226FF9"/>
    <w:rsid w:val="0022717E"/>
    <w:rsid w:val="002275F9"/>
    <w:rsid w:val="0022776C"/>
    <w:rsid w:val="00227D95"/>
    <w:rsid w:val="00227FD7"/>
    <w:rsid w:val="00230301"/>
    <w:rsid w:val="002305BB"/>
    <w:rsid w:val="00230CF8"/>
    <w:rsid w:val="0023107A"/>
    <w:rsid w:val="0023159F"/>
    <w:rsid w:val="002318B7"/>
    <w:rsid w:val="00231DB0"/>
    <w:rsid w:val="00232ACD"/>
    <w:rsid w:val="00232F37"/>
    <w:rsid w:val="0023312F"/>
    <w:rsid w:val="00233372"/>
    <w:rsid w:val="00233B45"/>
    <w:rsid w:val="00234208"/>
    <w:rsid w:val="0023481E"/>
    <w:rsid w:val="002348B4"/>
    <w:rsid w:val="002350CE"/>
    <w:rsid w:val="00235C81"/>
    <w:rsid w:val="0023602C"/>
    <w:rsid w:val="0023621B"/>
    <w:rsid w:val="00236405"/>
    <w:rsid w:val="0023682E"/>
    <w:rsid w:val="00236D43"/>
    <w:rsid w:val="00236FAE"/>
    <w:rsid w:val="00236FC6"/>
    <w:rsid w:val="00236FF7"/>
    <w:rsid w:val="0023746B"/>
    <w:rsid w:val="00237D7B"/>
    <w:rsid w:val="00240845"/>
    <w:rsid w:val="00240F18"/>
    <w:rsid w:val="0024121A"/>
    <w:rsid w:val="0024167F"/>
    <w:rsid w:val="00241A6F"/>
    <w:rsid w:val="00242DD3"/>
    <w:rsid w:val="002433E0"/>
    <w:rsid w:val="00243478"/>
    <w:rsid w:val="002436D6"/>
    <w:rsid w:val="00243A7E"/>
    <w:rsid w:val="00243D19"/>
    <w:rsid w:val="00244151"/>
    <w:rsid w:val="00244F7C"/>
    <w:rsid w:val="00245727"/>
    <w:rsid w:val="00245CB7"/>
    <w:rsid w:val="0024675D"/>
    <w:rsid w:val="00246B51"/>
    <w:rsid w:val="002474F1"/>
    <w:rsid w:val="002477ED"/>
    <w:rsid w:val="00247AC7"/>
    <w:rsid w:val="00251176"/>
    <w:rsid w:val="002511F9"/>
    <w:rsid w:val="002516CD"/>
    <w:rsid w:val="002519DB"/>
    <w:rsid w:val="00251C23"/>
    <w:rsid w:val="00251D44"/>
    <w:rsid w:val="0025234E"/>
    <w:rsid w:val="0025280D"/>
    <w:rsid w:val="00252B04"/>
    <w:rsid w:val="002531CD"/>
    <w:rsid w:val="00253805"/>
    <w:rsid w:val="00253C25"/>
    <w:rsid w:val="00253EB1"/>
    <w:rsid w:val="00254750"/>
    <w:rsid w:val="00254FA3"/>
    <w:rsid w:val="002557EE"/>
    <w:rsid w:val="00255828"/>
    <w:rsid w:val="00255B7A"/>
    <w:rsid w:val="00255BC6"/>
    <w:rsid w:val="00256436"/>
    <w:rsid w:val="00256691"/>
    <w:rsid w:val="00256852"/>
    <w:rsid w:val="002569FE"/>
    <w:rsid w:val="00256F21"/>
    <w:rsid w:val="0025718A"/>
    <w:rsid w:val="002571C9"/>
    <w:rsid w:val="00257610"/>
    <w:rsid w:val="00257854"/>
    <w:rsid w:val="002578C1"/>
    <w:rsid w:val="00257DDC"/>
    <w:rsid w:val="00257EBD"/>
    <w:rsid w:val="00260024"/>
    <w:rsid w:val="0026024D"/>
    <w:rsid w:val="00261773"/>
    <w:rsid w:val="0026213B"/>
    <w:rsid w:val="00262238"/>
    <w:rsid w:val="002624B7"/>
    <w:rsid w:val="00262508"/>
    <w:rsid w:val="002627C8"/>
    <w:rsid w:val="002629BB"/>
    <w:rsid w:val="00262D14"/>
    <w:rsid w:val="00263220"/>
    <w:rsid w:val="0026328B"/>
    <w:rsid w:val="002633DF"/>
    <w:rsid w:val="002634CC"/>
    <w:rsid w:val="0026369F"/>
    <w:rsid w:val="00263804"/>
    <w:rsid w:val="002638B1"/>
    <w:rsid w:val="002639A1"/>
    <w:rsid w:val="002643A5"/>
    <w:rsid w:val="002648E1"/>
    <w:rsid w:val="00265591"/>
    <w:rsid w:val="002658BE"/>
    <w:rsid w:val="00265D55"/>
    <w:rsid w:val="00266081"/>
    <w:rsid w:val="0026608C"/>
    <w:rsid w:val="00266700"/>
    <w:rsid w:val="00266EF0"/>
    <w:rsid w:val="00267609"/>
    <w:rsid w:val="00267855"/>
    <w:rsid w:val="00267BE0"/>
    <w:rsid w:val="00267F63"/>
    <w:rsid w:val="00270CD9"/>
    <w:rsid w:val="00270EBB"/>
    <w:rsid w:val="002715DD"/>
    <w:rsid w:val="00271B6D"/>
    <w:rsid w:val="002729C2"/>
    <w:rsid w:val="00272AF5"/>
    <w:rsid w:val="00272B36"/>
    <w:rsid w:val="00272E12"/>
    <w:rsid w:val="00273170"/>
    <w:rsid w:val="0027368E"/>
    <w:rsid w:val="0027372B"/>
    <w:rsid w:val="00273AF5"/>
    <w:rsid w:val="00273D45"/>
    <w:rsid w:val="0027468C"/>
    <w:rsid w:val="002747F4"/>
    <w:rsid w:val="00274B34"/>
    <w:rsid w:val="0027530D"/>
    <w:rsid w:val="00275821"/>
    <w:rsid w:val="002759A9"/>
    <w:rsid w:val="002763B9"/>
    <w:rsid w:val="002766B6"/>
    <w:rsid w:val="00276716"/>
    <w:rsid w:val="00277019"/>
    <w:rsid w:val="0027752E"/>
    <w:rsid w:val="00280552"/>
    <w:rsid w:val="00280849"/>
    <w:rsid w:val="002819A4"/>
    <w:rsid w:val="00282781"/>
    <w:rsid w:val="0028289B"/>
    <w:rsid w:val="00283591"/>
    <w:rsid w:val="00283605"/>
    <w:rsid w:val="0028396E"/>
    <w:rsid w:val="002842C8"/>
    <w:rsid w:val="00284511"/>
    <w:rsid w:val="00284CB5"/>
    <w:rsid w:val="00284EB0"/>
    <w:rsid w:val="00285318"/>
    <w:rsid w:val="00285353"/>
    <w:rsid w:val="002855ED"/>
    <w:rsid w:val="00285E3C"/>
    <w:rsid w:val="002861AD"/>
    <w:rsid w:val="00286487"/>
    <w:rsid w:val="002866FF"/>
    <w:rsid w:val="00286739"/>
    <w:rsid w:val="00286E69"/>
    <w:rsid w:val="00286ED2"/>
    <w:rsid w:val="002874D0"/>
    <w:rsid w:val="00287505"/>
    <w:rsid w:val="00287630"/>
    <w:rsid w:val="00287B46"/>
    <w:rsid w:val="00287EB4"/>
    <w:rsid w:val="002901F6"/>
    <w:rsid w:val="0029121F"/>
    <w:rsid w:val="0029125C"/>
    <w:rsid w:val="00291483"/>
    <w:rsid w:val="002916A0"/>
    <w:rsid w:val="002918BE"/>
    <w:rsid w:val="00291F0D"/>
    <w:rsid w:val="002922AA"/>
    <w:rsid w:val="00292C2A"/>
    <w:rsid w:val="002930B8"/>
    <w:rsid w:val="0029310B"/>
    <w:rsid w:val="0029311A"/>
    <w:rsid w:val="0029327D"/>
    <w:rsid w:val="00293401"/>
    <w:rsid w:val="002934F0"/>
    <w:rsid w:val="0029358C"/>
    <w:rsid w:val="00293621"/>
    <w:rsid w:val="00293780"/>
    <w:rsid w:val="002937AE"/>
    <w:rsid w:val="002938FD"/>
    <w:rsid w:val="00293D0B"/>
    <w:rsid w:val="0029405A"/>
    <w:rsid w:val="002942CA"/>
    <w:rsid w:val="00294D72"/>
    <w:rsid w:val="00295182"/>
    <w:rsid w:val="00295AA8"/>
    <w:rsid w:val="00295B13"/>
    <w:rsid w:val="00295E3E"/>
    <w:rsid w:val="00296180"/>
    <w:rsid w:val="00296256"/>
    <w:rsid w:val="00296312"/>
    <w:rsid w:val="00296507"/>
    <w:rsid w:val="00296D6A"/>
    <w:rsid w:val="00296E3A"/>
    <w:rsid w:val="00296FCE"/>
    <w:rsid w:val="00297E9B"/>
    <w:rsid w:val="002A011D"/>
    <w:rsid w:val="002A0384"/>
    <w:rsid w:val="002A057A"/>
    <w:rsid w:val="002A063E"/>
    <w:rsid w:val="002A06B6"/>
    <w:rsid w:val="002A0CC7"/>
    <w:rsid w:val="002A0F3D"/>
    <w:rsid w:val="002A0FD9"/>
    <w:rsid w:val="002A12EF"/>
    <w:rsid w:val="002A1643"/>
    <w:rsid w:val="002A176E"/>
    <w:rsid w:val="002A2535"/>
    <w:rsid w:val="002A28FC"/>
    <w:rsid w:val="002A2D14"/>
    <w:rsid w:val="002A2D8F"/>
    <w:rsid w:val="002A2E61"/>
    <w:rsid w:val="002A39D9"/>
    <w:rsid w:val="002A4109"/>
    <w:rsid w:val="002A4143"/>
    <w:rsid w:val="002A41A4"/>
    <w:rsid w:val="002A41B2"/>
    <w:rsid w:val="002A4232"/>
    <w:rsid w:val="002A5BAB"/>
    <w:rsid w:val="002A5F32"/>
    <w:rsid w:val="002A5F35"/>
    <w:rsid w:val="002A60B6"/>
    <w:rsid w:val="002A61CD"/>
    <w:rsid w:val="002A6717"/>
    <w:rsid w:val="002A677E"/>
    <w:rsid w:val="002A6BC9"/>
    <w:rsid w:val="002A7736"/>
    <w:rsid w:val="002A775D"/>
    <w:rsid w:val="002A799E"/>
    <w:rsid w:val="002A7BDB"/>
    <w:rsid w:val="002B022F"/>
    <w:rsid w:val="002B0937"/>
    <w:rsid w:val="002B0AF7"/>
    <w:rsid w:val="002B12EE"/>
    <w:rsid w:val="002B219F"/>
    <w:rsid w:val="002B21FB"/>
    <w:rsid w:val="002B2C7D"/>
    <w:rsid w:val="002B3291"/>
    <w:rsid w:val="002B34DA"/>
    <w:rsid w:val="002B408B"/>
    <w:rsid w:val="002B5210"/>
    <w:rsid w:val="002B5A3F"/>
    <w:rsid w:val="002B5BED"/>
    <w:rsid w:val="002B5C10"/>
    <w:rsid w:val="002B5E32"/>
    <w:rsid w:val="002B60B9"/>
    <w:rsid w:val="002B66C7"/>
    <w:rsid w:val="002B6713"/>
    <w:rsid w:val="002B6805"/>
    <w:rsid w:val="002B6A8E"/>
    <w:rsid w:val="002B6A94"/>
    <w:rsid w:val="002B6DC1"/>
    <w:rsid w:val="002B7216"/>
    <w:rsid w:val="002B7452"/>
    <w:rsid w:val="002B78AB"/>
    <w:rsid w:val="002B7978"/>
    <w:rsid w:val="002B7B0B"/>
    <w:rsid w:val="002C036B"/>
    <w:rsid w:val="002C0D12"/>
    <w:rsid w:val="002C1804"/>
    <w:rsid w:val="002C1B9A"/>
    <w:rsid w:val="002C2272"/>
    <w:rsid w:val="002C25E2"/>
    <w:rsid w:val="002C2687"/>
    <w:rsid w:val="002C2C31"/>
    <w:rsid w:val="002C42A4"/>
    <w:rsid w:val="002C4E0B"/>
    <w:rsid w:val="002C4FA1"/>
    <w:rsid w:val="002C501E"/>
    <w:rsid w:val="002C557D"/>
    <w:rsid w:val="002C5615"/>
    <w:rsid w:val="002C592A"/>
    <w:rsid w:val="002C5BB6"/>
    <w:rsid w:val="002C5CF4"/>
    <w:rsid w:val="002C5F1D"/>
    <w:rsid w:val="002C5FE3"/>
    <w:rsid w:val="002C6850"/>
    <w:rsid w:val="002C69E9"/>
    <w:rsid w:val="002C7151"/>
    <w:rsid w:val="002C7300"/>
    <w:rsid w:val="002C7483"/>
    <w:rsid w:val="002C78E0"/>
    <w:rsid w:val="002C7A30"/>
    <w:rsid w:val="002C7ECA"/>
    <w:rsid w:val="002D0147"/>
    <w:rsid w:val="002D0312"/>
    <w:rsid w:val="002D035E"/>
    <w:rsid w:val="002D074F"/>
    <w:rsid w:val="002D0C22"/>
    <w:rsid w:val="002D0F5D"/>
    <w:rsid w:val="002D117F"/>
    <w:rsid w:val="002D14F1"/>
    <w:rsid w:val="002D17AF"/>
    <w:rsid w:val="002D1B26"/>
    <w:rsid w:val="002D1F49"/>
    <w:rsid w:val="002D274D"/>
    <w:rsid w:val="002D290E"/>
    <w:rsid w:val="002D2C3F"/>
    <w:rsid w:val="002D374F"/>
    <w:rsid w:val="002D3754"/>
    <w:rsid w:val="002D375B"/>
    <w:rsid w:val="002D376B"/>
    <w:rsid w:val="002D3B0D"/>
    <w:rsid w:val="002D3B88"/>
    <w:rsid w:val="002D4BAB"/>
    <w:rsid w:val="002D4E7A"/>
    <w:rsid w:val="002D53B7"/>
    <w:rsid w:val="002D5C8B"/>
    <w:rsid w:val="002D5E84"/>
    <w:rsid w:val="002D5F29"/>
    <w:rsid w:val="002D5F63"/>
    <w:rsid w:val="002D6381"/>
    <w:rsid w:val="002D6E58"/>
    <w:rsid w:val="002D6F22"/>
    <w:rsid w:val="002D7109"/>
    <w:rsid w:val="002D729B"/>
    <w:rsid w:val="002D7506"/>
    <w:rsid w:val="002D7522"/>
    <w:rsid w:val="002D7F47"/>
    <w:rsid w:val="002E01B7"/>
    <w:rsid w:val="002E090C"/>
    <w:rsid w:val="002E0BD2"/>
    <w:rsid w:val="002E135F"/>
    <w:rsid w:val="002E1436"/>
    <w:rsid w:val="002E18AA"/>
    <w:rsid w:val="002E1999"/>
    <w:rsid w:val="002E1E61"/>
    <w:rsid w:val="002E2057"/>
    <w:rsid w:val="002E298B"/>
    <w:rsid w:val="002E3107"/>
    <w:rsid w:val="002E3395"/>
    <w:rsid w:val="002E3B73"/>
    <w:rsid w:val="002E405E"/>
    <w:rsid w:val="002E4339"/>
    <w:rsid w:val="002E458D"/>
    <w:rsid w:val="002E45DB"/>
    <w:rsid w:val="002E45F5"/>
    <w:rsid w:val="002E476D"/>
    <w:rsid w:val="002E4949"/>
    <w:rsid w:val="002E4A5B"/>
    <w:rsid w:val="002E5145"/>
    <w:rsid w:val="002E5156"/>
    <w:rsid w:val="002E5177"/>
    <w:rsid w:val="002E551F"/>
    <w:rsid w:val="002E5808"/>
    <w:rsid w:val="002E58BA"/>
    <w:rsid w:val="002E593F"/>
    <w:rsid w:val="002E5D6B"/>
    <w:rsid w:val="002E5DD7"/>
    <w:rsid w:val="002E5DEE"/>
    <w:rsid w:val="002E6AC6"/>
    <w:rsid w:val="002E6C57"/>
    <w:rsid w:val="002E760E"/>
    <w:rsid w:val="002E7EB3"/>
    <w:rsid w:val="002F0643"/>
    <w:rsid w:val="002F06BD"/>
    <w:rsid w:val="002F07C1"/>
    <w:rsid w:val="002F081F"/>
    <w:rsid w:val="002F0BBC"/>
    <w:rsid w:val="002F18FD"/>
    <w:rsid w:val="002F2E2B"/>
    <w:rsid w:val="002F2F23"/>
    <w:rsid w:val="002F3604"/>
    <w:rsid w:val="002F452E"/>
    <w:rsid w:val="002F52DC"/>
    <w:rsid w:val="002F5A88"/>
    <w:rsid w:val="002F5F05"/>
    <w:rsid w:val="002F61D4"/>
    <w:rsid w:val="002F6913"/>
    <w:rsid w:val="002F7317"/>
    <w:rsid w:val="002F7921"/>
    <w:rsid w:val="003004E8"/>
    <w:rsid w:val="003007C9"/>
    <w:rsid w:val="00300928"/>
    <w:rsid w:val="00300A26"/>
    <w:rsid w:val="00301345"/>
    <w:rsid w:val="00302817"/>
    <w:rsid w:val="003029E8"/>
    <w:rsid w:val="00302EA0"/>
    <w:rsid w:val="00303E9A"/>
    <w:rsid w:val="003043E6"/>
    <w:rsid w:val="00304634"/>
    <w:rsid w:val="00304753"/>
    <w:rsid w:val="00304ED5"/>
    <w:rsid w:val="00304F33"/>
    <w:rsid w:val="003051FC"/>
    <w:rsid w:val="0030540A"/>
    <w:rsid w:val="0030617C"/>
    <w:rsid w:val="0030630F"/>
    <w:rsid w:val="003064E4"/>
    <w:rsid w:val="00306776"/>
    <w:rsid w:val="00306ACD"/>
    <w:rsid w:val="00306DB6"/>
    <w:rsid w:val="003074F4"/>
    <w:rsid w:val="0030764F"/>
    <w:rsid w:val="003077CF"/>
    <w:rsid w:val="00310264"/>
    <w:rsid w:val="00310448"/>
    <w:rsid w:val="0031083F"/>
    <w:rsid w:val="00310C82"/>
    <w:rsid w:val="00310D36"/>
    <w:rsid w:val="00310EDF"/>
    <w:rsid w:val="003110CA"/>
    <w:rsid w:val="003113FA"/>
    <w:rsid w:val="00311A95"/>
    <w:rsid w:val="00311FFE"/>
    <w:rsid w:val="00312CB5"/>
    <w:rsid w:val="003138DC"/>
    <w:rsid w:val="003139FB"/>
    <w:rsid w:val="00313AB6"/>
    <w:rsid w:val="00314067"/>
    <w:rsid w:val="00314170"/>
    <w:rsid w:val="00314655"/>
    <w:rsid w:val="00314964"/>
    <w:rsid w:val="00314BD7"/>
    <w:rsid w:val="00315264"/>
    <w:rsid w:val="00315504"/>
    <w:rsid w:val="00315632"/>
    <w:rsid w:val="00315BAB"/>
    <w:rsid w:val="00315F85"/>
    <w:rsid w:val="003160EC"/>
    <w:rsid w:val="00316B7D"/>
    <w:rsid w:val="00316C1A"/>
    <w:rsid w:val="00317074"/>
    <w:rsid w:val="0032010F"/>
    <w:rsid w:val="00320640"/>
    <w:rsid w:val="00320AED"/>
    <w:rsid w:val="00321075"/>
    <w:rsid w:val="00321082"/>
    <w:rsid w:val="003210BC"/>
    <w:rsid w:val="0032138E"/>
    <w:rsid w:val="00321400"/>
    <w:rsid w:val="00321694"/>
    <w:rsid w:val="0032177F"/>
    <w:rsid w:val="00321920"/>
    <w:rsid w:val="0032199A"/>
    <w:rsid w:val="00322049"/>
    <w:rsid w:val="0032206E"/>
    <w:rsid w:val="00322366"/>
    <w:rsid w:val="00322BD2"/>
    <w:rsid w:val="00322C13"/>
    <w:rsid w:val="00322D34"/>
    <w:rsid w:val="00322DBC"/>
    <w:rsid w:val="00322ED3"/>
    <w:rsid w:val="00322EE4"/>
    <w:rsid w:val="003240EA"/>
    <w:rsid w:val="00324DB1"/>
    <w:rsid w:val="003250C1"/>
    <w:rsid w:val="003250E9"/>
    <w:rsid w:val="00325641"/>
    <w:rsid w:val="0032620E"/>
    <w:rsid w:val="003264A5"/>
    <w:rsid w:val="00326867"/>
    <w:rsid w:val="00326BC4"/>
    <w:rsid w:val="003278F2"/>
    <w:rsid w:val="00327B2E"/>
    <w:rsid w:val="00327F74"/>
    <w:rsid w:val="00330447"/>
    <w:rsid w:val="00330604"/>
    <w:rsid w:val="0033061C"/>
    <w:rsid w:val="003308E4"/>
    <w:rsid w:val="003308E9"/>
    <w:rsid w:val="00330C39"/>
    <w:rsid w:val="00330D4A"/>
    <w:rsid w:val="00332C26"/>
    <w:rsid w:val="00334412"/>
    <w:rsid w:val="0033443C"/>
    <w:rsid w:val="00334991"/>
    <w:rsid w:val="00334DC6"/>
    <w:rsid w:val="00334EB6"/>
    <w:rsid w:val="00334EFC"/>
    <w:rsid w:val="00335D0F"/>
    <w:rsid w:val="00335DA3"/>
    <w:rsid w:val="00335E25"/>
    <w:rsid w:val="003361C6"/>
    <w:rsid w:val="00336348"/>
    <w:rsid w:val="003364F4"/>
    <w:rsid w:val="00336ABC"/>
    <w:rsid w:val="00336B18"/>
    <w:rsid w:val="00337180"/>
    <w:rsid w:val="00337A0D"/>
    <w:rsid w:val="00337D4E"/>
    <w:rsid w:val="00337D7B"/>
    <w:rsid w:val="003404C7"/>
    <w:rsid w:val="00340A17"/>
    <w:rsid w:val="00340C80"/>
    <w:rsid w:val="00340DAC"/>
    <w:rsid w:val="00340E8C"/>
    <w:rsid w:val="003412E6"/>
    <w:rsid w:val="00341740"/>
    <w:rsid w:val="003418BD"/>
    <w:rsid w:val="003418E4"/>
    <w:rsid w:val="00341F85"/>
    <w:rsid w:val="00342095"/>
    <w:rsid w:val="00342C4A"/>
    <w:rsid w:val="00342D0B"/>
    <w:rsid w:val="00343235"/>
    <w:rsid w:val="00343953"/>
    <w:rsid w:val="00343CC2"/>
    <w:rsid w:val="00343EDD"/>
    <w:rsid w:val="00344215"/>
    <w:rsid w:val="00344948"/>
    <w:rsid w:val="00344DA2"/>
    <w:rsid w:val="0034576D"/>
    <w:rsid w:val="00345FF8"/>
    <w:rsid w:val="0034659A"/>
    <w:rsid w:val="00346D3F"/>
    <w:rsid w:val="003471DA"/>
    <w:rsid w:val="0034754F"/>
    <w:rsid w:val="00347631"/>
    <w:rsid w:val="00350468"/>
    <w:rsid w:val="00350522"/>
    <w:rsid w:val="0035058C"/>
    <w:rsid w:val="00350D50"/>
    <w:rsid w:val="00351D14"/>
    <w:rsid w:val="003526A0"/>
    <w:rsid w:val="003527D0"/>
    <w:rsid w:val="00352BCC"/>
    <w:rsid w:val="00353920"/>
    <w:rsid w:val="0035435C"/>
    <w:rsid w:val="0035454F"/>
    <w:rsid w:val="0035494E"/>
    <w:rsid w:val="00354A17"/>
    <w:rsid w:val="0035567A"/>
    <w:rsid w:val="00356599"/>
    <w:rsid w:val="003565C5"/>
    <w:rsid w:val="00356698"/>
    <w:rsid w:val="00356709"/>
    <w:rsid w:val="003567B2"/>
    <w:rsid w:val="00356827"/>
    <w:rsid w:val="00357653"/>
    <w:rsid w:val="0035797D"/>
    <w:rsid w:val="00357C58"/>
    <w:rsid w:val="003605BB"/>
    <w:rsid w:val="00360E27"/>
    <w:rsid w:val="00360E2A"/>
    <w:rsid w:val="003612AD"/>
    <w:rsid w:val="003616AB"/>
    <w:rsid w:val="003622BB"/>
    <w:rsid w:val="00362767"/>
    <w:rsid w:val="00362EEF"/>
    <w:rsid w:val="00362F4B"/>
    <w:rsid w:val="00363305"/>
    <w:rsid w:val="00363485"/>
    <w:rsid w:val="00363CD2"/>
    <w:rsid w:val="00363EA2"/>
    <w:rsid w:val="003640C9"/>
    <w:rsid w:val="003642CA"/>
    <w:rsid w:val="0036430D"/>
    <w:rsid w:val="0036443E"/>
    <w:rsid w:val="00364752"/>
    <w:rsid w:val="00364756"/>
    <w:rsid w:val="00364B0D"/>
    <w:rsid w:val="0036514D"/>
    <w:rsid w:val="00365758"/>
    <w:rsid w:val="0036583E"/>
    <w:rsid w:val="00365DA9"/>
    <w:rsid w:val="003664B8"/>
    <w:rsid w:val="003664D9"/>
    <w:rsid w:val="003668F1"/>
    <w:rsid w:val="00366B96"/>
    <w:rsid w:val="003675B1"/>
    <w:rsid w:val="00367769"/>
    <w:rsid w:val="0036785F"/>
    <w:rsid w:val="003679EC"/>
    <w:rsid w:val="0037000B"/>
    <w:rsid w:val="003701BC"/>
    <w:rsid w:val="00370CF7"/>
    <w:rsid w:val="00370F3A"/>
    <w:rsid w:val="00370FF7"/>
    <w:rsid w:val="003710FC"/>
    <w:rsid w:val="0037122E"/>
    <w:rsid w:val="003719C5"/>
    <w:rsid w:val="00371A50"/>
    <w:rsid w:val="00371E6A"/>
    <w:rsid w:val="0037295B"/>
    <w:rsid w:val="00373B2B"/>
    <w:rsid w:val="00373FF9"/>
    <w:rsid w:val="00374669"/>
    <w:rsid w:val="00375414"/>
    <w:rsid w:val="00375A9F"/>
    <w:rsid w:val="003763C1"/>
    <w:rsid w:val="0037643D"/>
    <w:rsid w:val="00376F04"/>
    <w:rsid w:val="00376FD1"/>
    <w:rsid w:val="0037706D"/>
    <w:rsid w:val="00377EB5"/>
    <w:rsid w:val="00380DFE"/>
    <w:rsid w:val="003811F2"/>
    <w:rsid w:val="003814C7"/>
    <w:rsid w:val="00381578"/>
    <w:rsid w:val="00381586"/>
    <w:rsid w:val="0038171F"/>
    <w:rsid w:val="00381765"/>
    <w:rsid w:val="00381853"/>
    <w:rsid w:val="003818E2"/>
    <w:rsid w:val="00381961"/>
    <w:rsid w:val="003820AC"/>
    <w:rsid w:val="0038216D"/>
    <w:rsid w:val="00382342"/>
    <w:rsid w:val="003823C4"/>
    <w:rsid w:val="0038251B"/>
    <w:rsid w:val="003829BB"/>
    <w:rsid w:val="00382A4A"/>
    <w:rsid w:val="00383BFD"/>
    <w:rsid w:val="003840CE"/>
    <w:rsid w:val="00384E9E"/>
    <w:rsid w:val="0038581A"/>
    <w:rsid w:val="00385DA2"/>
    <w:rsid w:val="00385F8A"/>
    <w:rsid w:val="0038611F"/>
    <w:rsid w:val="0038614B"/>
    <w:rsid w:val="00386DE1"/>
    <w:rsid w:val="00386E2B"/>
    <w:rsid w:val="00387254"/>
    <w:rsid w:val="003872A5"/>
    <w:rsid w:val="0038795A"/>
    <w:rsid w:val="00387A5E"/>
    <w:rsid w:val="00387AFD"/>
    <w:rsid w:val="00390608"/>
    <w:rsid w:val="003906B0"/>
    <w:rsid w:val="00391A37"/>
    <w:rsid w:val="00391DA2"/>
    <w:rsid w:val="00391F91"/>
    <w:rsid w:val="003920CD"/>
    <w:rsid w:val="00392260"/>
    <w:rsid w:val="003923A6"/>
    <w:rsid w:val="00392CEC"/>
    <w:rsid w:val="00393617"/>
    <w:rsid w:val="003936B6"/>
    <w:rsid w:val="00393794"/>
    <w:rsid w:val="00393953"/>
    <w:rsid w:val="0039461D"/>
    <w:rsid w:val="00394C69"/>
    <w:rsid w:val="00397282"/>
    <w:rsid w:val="00397457"/>
    <w:rsid w:val="003977A6"/>
    <w:rsid w:val="003978E6"/>
    <w:rsid w:val="003A0DD1"/>
    <w:rsid w:val="003A158C"/>
    <w:rsid w:val="003A162A"/>
    <w:rsid w:val="003A1818"/>
    <w:rsid w:val="003A1947"/>
    <w:rsid w:val="003A1C32"/>
    <w:rsid w:val="003A1F4F"/>
    <w:rsid w:val="003A210B"/>
    <w:rsid w:val="003A2735"/>
    <w:rsid w:val="003A2857"/>
    <w:rsid w:val="003A2973"/>
    <w:rsid w:val="003A2C47"/>
    <w:rsid w:val="003A3EF2"/>
    <w:rsid w:val="003A41ED"/>
    <w:rsid w:val="003A45C0"/>
    <w:rsid w:val="003A489F"/>
    <w:rsid w:val="003A4D69"/>
    <w:rsid w:val="003A4F4A"/>
    <w:rsid w:val="003A4FBD"/>
    <w:rsid w:val="003A566E"/>
    <w:rsid w:val="003A5863"/>
    <w:rsid w:val="003A5B09"/>
    <w:rsid w:val="003A646B"/>
    <w:rsid w:val="003A7176"/>
    <w:rsid w:val="003A74E1"/>
    <w:rsid w:val="003A752F"/>
    <w:rsid w:val="003B0087"/>
    <w:rsid w:val="003B0221"/>
    <w:rsid w:val="003B088D"/>
    <w:rsid w:val="003B0943"/>
    <w:rsid w:val="003B1100"/>
    <w:rsid w:val="003B110E"/>
    <w:rsid w:val="003B1961"/>
    <w:rsid w:val="003B1CF6"/>
    <w:rsid w:val="003B1D5D"/>
    <w:rsid w:val="003B210C"/>
    <w:rsid w:val="003B252F"/>
    <w:rsid w:val="003B2677"/>
    <w:rsid w:val="003B289B"/>
    <w:rsid w:val="003B2D52"/>
    <w:rsid w:val="003B2E56"/>
    <w:rsid w:val="003B3FB9"/>
    <w:rsid w:val="003B428E"/>
    <w:rsid w:val="003B453E"/>
    <w:rsid w:val="003B459D"/>
    <w:rsid w:val="003B4642"/>
    <w:rsid w:val="003B4AC1"/>
    <w:rsid w:val="003B4B19"/>
    <w:rsid w:val="003B4C7A"/>
    <w:rsid w:val="003B5009"/>
    <w:rsid w:val="003B534B"/>
    <w:rsid w:val="003B571B"/>
    <w:rsid w:val="003B5BA0"/>
    <w:rsid w:val="003B63BA"/>
    <w:rsid w:val="003B6BFB"/>
    <w:rsid w:val="003B6C5B"/>
    <w:rsid w:val="003B6E0F"/>
    <w:rsid w:val="003B705F"/>
    <w:rsid w:val="003B7240"/>
    <w:rsid w:val="003B7355"/>
    <w:rsid w:val="003B7894"/>
    <w:rsid w:val="003B7B4F"/>
    <w:rsid w:val="003B7D4D"/>
    <w:rsid w:val="003B7F39"/>
    <w:rsid w:val="003C0843"/>
    <w:rsid w:val="003C0B6A"/>
    <w:rsid w:val="003C0F4C"/>
    <w:rsid w:val="003C103C"/>
    <w:rsid w:val="003C10D1"/>
    <w:rsid w:val="003C1111"/>
    <w:rsid w:val="003C115A"/>
    <w:rsid w:val="003C24C0"/>
    <w:rsid w:val="003C27BD"/>
    <w:rsid w:val="003C2D0A"/>
    <w:rsid w:val="003C312F"/>
    <w:rsid w:val="003C3A14"/>
    <w:rsid w:val="003C3B58"/>
    <w:rsid w:val="003C42B5"/>
    <w:rsid w:val="003C4B82"/>
    <w:rsid w:val="003C5053"/>
    <w:rsid w:val="003C513D"/>
    <w:rsid w:val="003C5933"/>
    <w:rsid w:val="003C5C02"/>
    <w:rsid w:val="003C5D79"/>
    <w:rsid w:val="003C5ED3"/>
    <w:rsid w:val="003C6244"/>
    <w:rsid w:val="003C6399"/>
    <w:rsid w:val="003C6452"/>
    <w:rsid w:val="003C65F2"/>
    <w:rsid w:val="003C690D"/>
    <w:rsid w:val="003C7624"/>
    <w:rsid w:val="003C7977"/>
    <w:rsid w:val="003D0F41"/>
    <w:rsid w:val="003D11B6"/>
    <w:rsid w:val="003D2330"/>
    <w:rsid w:val="003D2E64"/>
    <w:rsid w:val="003D3168"/>
    <w:rsid w:val="003D33D7"/>
    <w:rsid w:val="003D35CA"/>
    <w:rsid w:val="003D3F5D"/>
    <w:rsid w:val="003D5075"/>
    <w:rsid w:val="003D5251"/>
    <w:rsid w:val="003D53AA"/>
    <w:rsid w:val="003D593C"/>
    <w:rsid w:val="003D5A80"/>
    <w:rsid w:val="003D5CF4"/>
    <w:rsid w:val="003D65A2"/>
    <w:rsid w:val="003D6994"/>
    <w:rsid w:val="003D6A74"/>
    <w:rsid w:val="003D6B0B"/>
    <w:rsid w:val="003D6DB5"/>
    <w:rsid w:val="003D727A"/>
    <w:rsid w:val="003D7399"/>
    <w:rsid w:val="003D7A05"/>
    <w:rsid w:val="003D7CA4"/>
    <w:rsid w:val="003D7FC4"/>
    <w:rsid w:val="003E0185"/>
    <w:rsid w:val="003E02A1"/>
    <w:rsid w:val="003E0599"/>
    <w:rsid w:val="003E0BE9"/>
    <w:rsid w:val="003E1069"/>
    <w:rsid w:val="003E1292"/>
    <w:rsid w:val="003E1A3D"/>
    <w:rsid w:val="003E1F9F"/>
    <w:rsid w:val="003E207D"/>
    <w:rsid w:val="003E213F"/>
    <w:rsid w:val="003E28F7"/>
    <w:rsid w:val="003E3027"/>
    <w:rsid w:val="003E320A"/>
    <w:rsid w:val="003E33A6"/>
    <w:rsid w:val="003E3551"/>
    <w:rsid w:val="003E3D4F"/>
    <w:rsid w:val="003E3E8C"/>
    <w:rsid w:val="003E4171"/>
    <w:rsid w:val="003E44FA"/>
    <w:rsid w:val="003E5192"/>
    <w:rsid w:val="003E51A2"/>
    <w:rsid w:val="003E5266"/>
    <w:rsid w:val="003E5755"/>
    <w:rsid w:val="003E58E8"/>
    <w:rsid w:val="003E5B5F"/>
    <w:rsid w:val="003E5FA7"/>
    <w:rsid w:val="003E5FD0"/>
    <w:rsid w:val="003E6275"/>
    <w:rsid w:val="003E6A86"/>
    <w:rsid w:val="003E76D6"/>
    <w:rsid w:val="003E7CFF"/>
    <w:rsid w:val="003F01F3"/>
    <w:rsid w:val="003F0A50"/>
    <w:rsid w:val="003F0DC4"/>
    <w:rsid w:val="003F1493"/>
    <w:rsid w:val="003F1837"/>
    <w:rsid w:val="003F1935"/>
    <w:rsid w:val="003F1953"/>
    <w:rsid w:val="003F1A0E"/>
    <w:rsid w:val="003F210F"/>
    <w:rsid w:val="003F21D8"/>
    <w:rsid w:val="003F2553"/>
    <w:rsid w:val="003F272F"/>
    <w:rsid w:val="003F2EBF"/>
    <w:rsid w:val="003F2F44"/>
    <w:rsid w:val="003F3089"/>
    <w:rsid w:val="003F3439"/>
    <w:rsid w:val="003F35AE"/>
    <w:rsid w:val="003F380D"/>
    <w:rsid w:val="003F4536"/>
    <w:rsid w:val="003F5451"/>
    <w:rsid w:val="003F5EFE"/>
    <w:rsid w:val="003F5F5D"/>
    <w:rsid w:val="003F620A"/>
    <w:rsid w:val="003F655D"/>
    <w:rsid w:val="003F6D39"/>
    <w:rsid w:val="003F706D"/>
    <w:rsid w:val="003F7B30"/>
    <w:rsid w:val="003F7C65"/>
    <w:rsid w:val="0040020D"/>
    <w:rsid w:val="004008E3"/>
    <w:rsid w:val="0040096C"/>
    <w:rsid w:val="004009F6"/>
    <w:rsid w:val="00400BEC"/>
    <w:rsid w:val="00400C12"/>
    <w:rsid w:val="00401225"/>
    <w:rsid w:val="00401368"/>
    <w:rsid w:val="00401787"/>
    <w:rsid w:val="00401896"/>
    <w:rsid w:val="00401944"/>
    <w:rsid w:val="00401B97"/>
    <w:rsid w:val="00402A65"/>
    <w:rsid w:val="00403112"/>
    <w:rsid w:val="004034EE"/>
    <w:rsid w:val="0040355F"/>
    <w:rsid w:val="00403984"/>
    <w:rsid w:val="00403A6C"/>
    <w:rsid w:val="00403BA1"/>
    <w:rsid w:val="00404017"/>
    <w:rsid w:val="0040440F"/>
    <w:rsid w:val="00404739"/>
    <w:rsid w:val="004048D7"/>
    <w:rsid w:val="004053D1"/>
    <w:rsid w:val="00405994"/>
    <w:rsid w:val="00406599"/>
    <w:rsid w:val="004067A9"/>
    <w:rsid w:val="00406AC8"/>
    <w:rsid w:val="00406CA3"/>
    <w:rsid w:val="00406E3F"/>
    <w:rsid w:val="00406E80"/>
    <w:rsid w:val="00406F47"/>
    <w:rsid w:val="0040716C"/>
    <w:rsid w:val="004075E0"/>
    <w:rsid w:val="00407912"/>
    <w:rsid w:val="004103F6"/>
    <w:rsid w:val="0041065D"/>
    <w:rsid w:val="004109EA"/>
    <w:rsid w:val="004112C8"/>
    <w:rsid w:val="00411702"/>
    <w:rsid w:val="00411E59"/>
    <w:rsid w:val="00412008"/>
    <w:rsid w:val="0041208D"/>
    <w:rsid w:val="0041256A"/>
    <w:rsid w:val="00412938"/>
    <w:rsid w:val="0041396F"/>
    <w:rsid w:val="0041429B"/>
    <w:rsid w:val="00414A7E"/>
    <w:rsid w:val="00414D3B"/>
    <w:rsid w:val="00414E0A"/>
    <w:rsid w:val="00414F7C"/>
    <w:rsid w:val="00414FF2"/>
    <w:rsid w:val="004152AC"/>
    <w:rsid w:val="004154CC"/>
    <w:rsid w:val="004154E0"/>
    <w:rsid w:val="00415955"/>
    <w:rsid w:val="0041623A"/>
    <w:rsid w:val="0041626D"/>
    <w:rsid w:val="00416323"/>
    <w:rsid w:val="00416EB9"/>
    <w:rsid w:val="0041794F"/>
    <w:rsid w:val="004206D9"/>
    <w:rsid w:val="00420828"/>
    <w:rsid w:val="00420E90"/>
    <w:rsid w:val="00421200"/>
    <w:rsid w:val="004212B7"/>
    <w:rsid w:val="00421407"/>
    <w:rsid w:val="00421683"/>
    <w:rsid w:val="004218AC"/>
    <w:rsid w:val="00421943"/>
    <w:rsid w:val="00421EAE"/>
    <w:rsid w:val="0042203B"/>
    <w:rsid w:val="004225D9"/>
    <w:rsid w:val="004226C2"/>
    <w:rsid w:val="0042270E"/>
    <w:rsid w:val="00422A89"/>
    <w:rsid w:val="00422EEA"/>
    <w:rsid w:val="0042375F"/>
    <w:rsid w:val="00423797"/>
    <w:rsid w:val="00423895"/>
    <w:rsid w:val="00423C13"/>
    <w:rsid w:val="00423EC7"/>
    <w:rsid w:val="00424C0C"/>
    <w:rsid w:val="004250C6"/>
    <w:rsid w:val="00425D2C"/>
    <w:rsid w:val="00425ED1"/>
    <w:rsid w:val="00426660"/>
    <w:rsid w:val="00427B3D"/>
    <w:rsid w:val="00427F3F"/>
    <w:rsid w:val="00430604"/>
    <w:rsid w:val="00430615"/>
    <w:rsid w:val="00430676"/>
    <w:rsid w:val="00430966"/>
    <w:rsid w:val="00430A66"/>
    <w:rsid w:val="00430C24"/>
    <w:rsid w:val="00431052"/>
    <w:rsid w:val="00431575"/>
    <w:rsid w:val="0043174A"/>
    <w:rsid w:val="0043187B"/>
    <w:rsid w:val="00431C33"/>
    <w:rsid w:val="00431D2D"/>
    <w:rsid w:val="00432110"/>
    <w:rsid w:val="004323D6"/>
    <w:rsid w:val="004324AC"/>
    <w:rsid w:val="00432573"/>
    <w:rsid w:val="0043269F"/>
    <w:rsid w:val="00432DCB"/>
    <w:rsid w:val="004330F2"/>
    <w:rsid w:val="004336EF"/>
    <w:rsid w:val="004338D0"/>
    <w:rsid w:val="00433E35"/>
    <w:rsid w:val="00434A5C"/>
    <w:rsid w:val="00434AFC"/>
    <w:rsid w:val="00434EA7"/>
    <w:rsid w:val="004356AC"/>
    <w:rsid w:val="00435713"/>
    <w:rsid w:val="00435989"/>
    <w:rsid w:val="00436896"/>
    <w:rsid w:val="00436BEB"/>
    <w:rsid w:val="00436CAF"/>
    <w:rsid w:val="00436DA2"/>
    <w:rsid w:val="004374A2"/>
    <w:rsid w:val="0043790F"/>
    <w:rsid w:val="00437AC8"/>
    <w:rsid w:val="004404BD"/>
    <w:rsid w:val="00440710"/>
    <w:rsid w:val="0044083D"/>
    <w:rsid w:val="004409ED"/>
    <w:rsid w:val="00440CBC"/>
    <w:rsid w:val="0044137D"/>
    <w:rsid w:val="00441DA0"/>
    <w:rsid w:val="004421EC"/>
    <w:rsid w:val="004427A6"/>
    <w:rsid w:val="004433D4"/>
    <w:rsid w:val="00443709"/>
    <w:rsid w:val="00443A0A"/>
    <w:rsid w:val="0044410B"/>
    <w:rsid w:val="00444A3F"/>
    <w:rsid w:val="004458EC"/>
    <w:rsid w:val="00446A9D"/>
    <w:rsid w:val="00447578"/>
    <w:rsid w:val="004477A4"/>
    <w:rsid w:val="00447854"/>
    <w:rsid w:val="00447964"/>
    <w:rsid w:val="00447A49"/>
    <w:rsid w:val="00447FE7"/>
    <w:rsid w:val="00450265"/>
    <w:rsid w:val="00450604"/>
    <w:rsid w:val="00451276"/>
    <w:rsid w:val="004514FB"/>
    <w:rsid w:val="00451677"/>
    <w:rsid w:val="00451711"/>
    <w:rsid w:val="0045183E"/>
    <w:rsid w:val="004524C7"/>
    <w:rsid w:val="00452918"/>
    <w:rsid w:val="0045325B"/>
    <w:rsid w:val="004539F9"/>
    <w:rsid w:val="00453CAD"/>
    <w:rsid w:val="00453D59"/>
    <w:rsid w:val="00453E20"/>
    <w:rsid w:val="004541E1"/>
    <w:rsid w:val="004547E5"/>
    <w:rsid w:val="004549F0"/>
    <w:rsid w:val="00454BBC"/>
    <w:rsid w:val="00454F4B"/>
    <w:rsid w:val="00456282"/>
    <w:rsid w:val="00456319"/>
    <w:rsid w:val="00456380"/>
    <w:rsid w:val="00456ADF"/>
    <w:rsid w:val="00456B57"/>
    <w:rsid w:val="00456BDD"/>
    <w:rsid w:val="0045775A"/>
    <w:rsid w:val="00457C0D"/>
    <w:rsid w:val="00457C35"/>
    <w:rsid w:val="00457DBD"/>
    <w:rsid w:val="004609E4"/>
    <w:rsid w:val="00460D36"/>
    <w:rsid w:val="0046125E"/>
    <w:rsid w:val="004618CD"/>
    <w:rsid w:val="00461B63"/>
    <w:rsid w:val="00461BB6"/>
    <w:rsid w:val="00461EA3"/>
    <w:rsid w:val="004621BB"/>
    <w:rsid w:val="00462DC4"/>
    <w:rsid w:val="00462EB7"/>
    <w:rsid w:val="00462F28"/>
    <w:rsid w:val="00463A42"/>
    <w:rsid w:val="00463D5F"/>
    <w:rsid w:val="004643EE"/>
    <w:rsid w:val="0046491F"/>
    <w:rsid w:val="00465769"/>
    <w:rsid w:val="00465CC0"/>
    <w:rsid w:val="00466087"/>
    <w:rsid w:val="0046625E"/>
    <w:rsid w:val="0046630A"/>
    <w:rsid w:val="00466470"/>
    <w:rsid w:val="004664DC"/>
    <w:rsid w:val="0046664C"/>
    <w:rsid w:val="004667EB"/>
    <w:rsid w:val="00467282"/>
    <w:rsid w:val="00467964"/>
    <w:rsid w:val="00467B41"/>
    <w:rsid w:val="00467B52"/>
    <w:rsid w:val="00467E4D"/>
    <w:rsid w:val="00467EBC"/>
    <w:rsid w:val="00470C0A"/>
    <w:rsid w:val="00470CAB"/>
    <w:rsid w:val="004717A4"/>
    <w:rsid w:val="00471D3E"/>
    <w:rsid w:val="00471E23"/>
    <w:rsid w:val="00471F0A"/>
    <w:rsid w:val="00471F15"/>
    <w:rsid w:val="0047259D"/>
    <w:rsid w:val="00472CD5"/>
    <w:rsid w:val="004731C2"/>
    <w:rsid w:val="004734CC"/>
    <w:rsid w:val="00473583"/>
    <w:rsid w:val="00473B0A"/>
    <w:rsid w:val="00473BBD"/>
    <w:rsid w:val="004740E3"/>
    <w:rsid w:val="004741F0"/>
    <w:rsid w:val="004748EF"/>
    <w:rsid w:val="00474AF7"/>
    <w:rsid w:val="00474F42"/>
    <w:rsid w:val="00475003"/>
    <w:rsid w:val="00475690"/>
    <w:rsid w:val="004757AE"/>
    <w:rsid w:val="00475C39"/>
    <w:rsid w:val="00475C58"/>
    <w:rsid w:val="004764ED"/>
    <w:rsid w:val="00476748"/>
    <w:rsid w:val="00476B34"/>
    <w:rsid w:val="004778B7"/>
    <w:rsid w:val="0047799E"/>
    <w:rsid w:val="00477BEF"/>
    <w:rsid w:val="00477FD3"/>
    <w:rsid w:val="00477FFC"/>
    <w:rsid w:val="004809D2"/>
    <w:rsid w:val="00480E24"/>
    <w:rsid w:val="00480F74"/>
    <w:rsid w:val="00480FF8"/>
    <w:rsid w:val="0048153C"/>
    <w:rsid w:val="0048167A"/>
    <w:rsid w:val="004817BB"/>
    <w:rsid w:val="00481EA4"/>
    <w:rsid w:val="00481F7F"/>
    <w:rsid w:val="004825C4"/>
    <w:rsid w:val="0048274E"/>
    <w:rsid w:val="00482B88"/>
    <w:rsid w:val="00483098"/>
    <w:rsid w:val="004847E0"/>
    <w:rsid w:val="00484911"/>
    <w:rsid w:val="00484968"/>
    <w:rsid w:val="00486510"/>
    <w:rsid w:val="00486578"/>
    <w:rsid w:val="00487141"/>
    <w:rsid w:val="004873B8"/>
    <w:rsid w:val="00487436"/>
    <w:rsid w:val="00487B7F"/>
    <w:rsid w:val="004908EB"/>
    <w:rsid w:val="004909EB"/>
    <w:rsid w:val="0049126D"/>
    <w:rsid w:val="0049173C"/>
    <w:rsid w:val="004918A8"/>
    <w:rsid w:val="00492055"/>
    <w:rsid w:val="0049263E"/>
    <w:rsid w:val="00492D63"/>
    <w:rsid w:val="0049451F"/>
    <w:rsid w:val="00494D54"/>
    <w:rsid w:val="00494E04"/>
    <w:rsid w:val="0049519E"/>
    <w:rsid w:val="004952B3"/>
    <w:rsid w:val="00495995"/>
    <w:rsid w:val="00495DD1"/>
    <w:rsid w:val="0049622B"/>
    <w:rsid w:val="004962B1"/>
    <w:rsid w:val="0049632A"/>
    <w:rsid w:val="00496436"/>
    <w:rsid w:val="00496BA1"/>
    <w:rsid w:val="00496C3B"/>
    <w:rsid w:val="00496F23"/>
    <w:rsid w:val="00496FD9"/>
    <w:rsid w:val="00497080"/>
    <w:rsid w:val="00497B73"/>
    <w:rsid w:val="004A0150"/>
    <w:rsid w:val="004A01E1"/>
    <w:rsid w:val="004A03FD"/>
    <w:rsid w:val="004A0CAA"/>
    <w:rsid w:val="004A14CE"/>
    <w:rsid w:val="004A1B45"/>
    <w:rsid w:val="004A1BCA"/>
    <w:rsid w:val="004A1C24"/>
    <w:rsid w:val="004A1C77"/>
    <w:rsid w:val="004A2593"/>
    <w:rsid w:val="004A26BF"/>
    <w:rsid w:val="004A26E1"/>
    <w:rsid w:val="004A2DA0"/>
    <w:rsid w:val="004A3386"/>
    <w:rsid w:val="004A3466"/>
    <w:rsid w:val="004A38E0"/>
    <w:rsid w:val="004A39EE"/>
    <w:rsid w:val="004A4311"/>
    <w:rsid w:val="004A489E"/>
    <w:rsid w:val="004A5686"/>
    <w:rsid w:val="004A5A2A"/>
    <w:rsid w:val="004A5CDB"/>
    <w:rsid w:val="004A5E65"/>
    <w:rsid w:val="004A6017"/>
    <w:rsid w:val="004A618F"/>
    <w:rsid w:val="004A65FB"/>
    <w:rsid w:val="004A6974"/>
    <w:rsid w:val="004A69C3"/>
    <w:rsid w:val="004A6DFE"/>
    <w:rsid w:val="004A76DE"/>
    <w:rsid w:val="004A79FE"/>
    <w:rsid w:val="004A7FD5"/>
    <w:rsid w:val="004B04D0"/>
    <w:rsid w:val="004B062C"/>
    <w:rsid w:val="004B0786"/>
    <w:rsid w:val="004B0B06"/>
    <w:rsid w:val="004B10CC"/>
    <w:rsid w:val="004B124E"/>
    <w:rsid w:val="004B1308"/>
    <w:rsid w:val="004B15EF"/>
    <w:rsid w:val="004B2456"/>
    <w:rsid w:val="004B286D"/>
    <w:rsid w:val="004B38A8"/>
    <w:rsid w:val="004B38F6"/>
    <w:rsid w:val="004B42EE"/>
    <w:rsid w:val="004B4A8E"/>
    <w:rsid w:val="004B4D8D"/>
    <w:rsid w:val="004B4EB0"/>
    <w:rsid w:val="004B517B"/>
    <w:rsid w:val="004B5435"/>
    <w:rsid w:val="004B553F"/>
    <w:rsid w:val="004B56D1"/>
    <w:rsid w:val="004B5C2E"/>
    <w:rsid w:val="004B5FDC"/>
    <w:rsid w:val="004B69D3"/>
    <w:rsid w:val="004B6AD1"/>
    <w:rsid w:val="004B6D29"/>
    <w:rsid w:val="004B7103"/>
    <w:rsid w:val="004B75A8"/>
    <w:rsid w:val="004B7C41"/>
    <w:rsid w:val="004C0E1C"/>
    <w:rsid w:val="004C0F8E"/>
    <w:rsid w:val="004C1A58"/>
    <w:rsid w:val="004C1B1F"/>
    <w:rsid w:val="004C1E9F"/>
    <w:rsid w:val="004C270F"/>
    <w:rsid w:val="004C2818"/>
    <w:rsid w:val="004C2EC7"/>
    <w:rsid w:val="004C3DEA"/>
    <w:rsid w:val="004C4050"/>
    <w:rsid w:val="004C5CD4"/>
    <w:rsid w:val="004C63B4"/>
    <w:rsid w:val="004C6945"/>
    <w:rsid w:val="004C697A"/>
    <w:rsid w:val="004C725D"/>
    <w:rsid w:val="004C73F0"/>
    <w:rsid w:val="004C7A17"/>
    <w:rsid w:val="004D048A"/>
    <w:rsid w:val="004D049D"/>
    <w:rsid w:val="004D1318"/>
    <w:rsid w:val="004D182A"/>
    <w:rsid w:val="004D2552"/>
    <w:rsid w:val="004D3709"/>
    <w:rsid w:val="004D37B5"/>
    <w:rsid w:val="004D4BEA"/>
    <w:rsid w:val="004D50CD"/>
    <w:rsid w:val="004D5224"/>
    <w:rsid w:val="004D5995"/>
    <w:rsid w:val="004D5E87"/>
    <w:rsid w:val="004D60BD"/>
    <w:rsid w:val="004D60F4"/>
    <w:rsid w:val="004D6AB2"/>
    <w:rsid w:val="004D6D4D"/>
    <w:rsid w:val="004D7030"/>
    <w:rsid w:val="004D71A5"/>
    <w:rsid w:val="004D772E"/>
    <w:rsid w:val="004D7ABE"/>
    <w:rsid w:val="004E0011"/>
    <w:rsid w:val="004E04AC"/>
    <w:rsid w:val="004E04CC"/>
    <w:rsid w:val="004E06FF"/>
    <w:rsid w:val="004E0C89"/>
    <w:rsid w:val="004E1635"/>
    <w:rsid w:val="004E18ED"/>
    <w:rsid w:val="004E2120"/>
    <w:rsid w:val="004E263F"/>
    <w:rsid w:val="004E2757"/>
    <w:rsid w:val="004E2FF5"/>
    <w:rsid w:val="004E3B7D"/>
    <w:rsid w:val="004E3D29"/>
    <w:rsid w:val="004E3DAD"/>
    <w:rsid w:val="004E4154"/>
    <w:rsid w:val="004E46B3"/>
    <w:rsid w:val="004E4EC7"/>
    <w:rsid w:val="004E51EF"/>
    <w:rsid w:val="004E54E9"/>
    <w:rsid w:val="004E572B"/>
    <w:rsid w:val="004E5CE3"/>
    <w:rsid w:val="004E64A0"/>
    <w:rsid w:val="004E68A1"/>
    <w:rsid w:val="004E6FBA"/>
    <w:rsid w:val="004E7645"/>
    <w:rsid w:val="004E7F62"/>
    <w:rsid w:val="004F0046"/>
    <w:rsid w:val="004F022B"/>
    <w:rsid w:val="004F0418"/>
    <w:rsid w:val="004F0740"/>
    <w:rsid w:val="004F096F"/>
    <w:rsid w:val="004F0CFA"/>
    <w:rsid w:val="004F0DFD"/>
    <w:rsid w:val="004F17BB"/>
    <w:rsid w:val="004F1D66"/>
    <w:rsid w:val="004F1F6C"/>
    <w:rsid w:val="004F1FF7"/>
    <w:rsid w:val="004F28A6"/>
    <w:rsid w:val="004F3241"/>
    <w:rsid w:val="004F42C7"/>
    <w:rsid w:val="004F4314"/>
    <w:rsid w:val="004F53DC"/>
    <w:rsid w:val="004F58D1"/>
    <w:rsid w:val="004F7253"/>
    <w:rsid w:val="004F75CA"/>
    <w:rsid w:val="00500241"/>
    <w:rsid w:val="00500C6F"/>
    <w:rsid w:val="0050102C"/>
    <w:rsid w:val="00501983"/>
    <w:rsid w:val="00502074"/>
    <w:rsid w:val="0050249A"/>
    <w:rsid w:val="0050255C"/>
    <w:rsid w:val="005028A6"/>
    <w:rsid w:val="005029BB"/>
    <w:rsid w:val="00502AA3"/>
    <w:rsid w:val="00502BE1"/>
    <w:rsid w:val="005036D2"/>
    <w:rsid w:val="00503BB5"/>
    <w:rsid w:val="0050421F"/>
    <w:rsid w:val="005045BF"/>
    <w:rsid w:val="00504979"/>
    <w:rsid w:val="00504A3F"/>
    <w:rsid w:val="00505417"/>
    <w:rsid w:val="0050543F"/>
    <w:rsid w:val="00505D92"/>
    <w:rsid w:val="00505DAB"/>
    <w:rsid w:val="00506FBF"/>
    <w:rsid w:val="005073BA"/>
    <w:rsid w:val="0050768C"/>
    <w:rsid w:val="005076E5"/>
    <w:rsid w:val="00507F3F"/>
    <w:rsid w:val="00510368"/>
    <w:rsid w:val="00510734"/>
    <w:rsid w:val="0051075B"/>
    <w:rsid w:val="00510D5B"/>
    <w:rsid w:val="00510FB4"/>
    <w:rsid w:val="00511D01"/>
    <w:rsid w:val="00511ECD"/>
    <w:rsid w:val="005120E4"/>
    <w:rsid w:val="00512386"/>
    <w:rsid w:val="0051256E"/>
    <w:rsid w:val="00512909"/>
    <w:rsid w:val="005129AA"/>
    <w:rsid w:val="00512B90"/>
    <w:rsid w:val="00512C22"/>
    <w:rsid w:val="005136B3"/>
    <w:rsid w:val="0051392F"/>
    <w:rsid w:val="00513C1A"/>
    <w:rsid w:val="00513D3C"/>
    <w:rsid w:val="00513F83"/>
    <w:rsid w:val="00514278"/>
    <w:rsid w:val="00514760"/>
    <w:rsid w:val="00514BD2"/>
    <w:rsid w:val="00515335"/>
    <w:rsid w:val="00515AA3"/>
    <w:rsid w:val="00515C93"/>
    <w:rsid w:val="00515CE3"/>
    <w:rsid w:val="0051628C"/>
    <w:rsid w:val="00516324"/>
    <w:rsid w:val="0051675A"/>
    <w:rsid w:val="005167E7"/>
    <w:rsid w:val="00516BB1"/>
    <w:rsid w:val="00516C71"/>
    <w:rsid w:val="005200F9"/>
    <w:rsid w:val="005205DD"/>
    <w:rsid w:val="0052144A"/>
    <w:rsid w:val="00521812"/>
    <w:rsid w:val="005220EC"/>
    <w:rsid w:val="005220FF"/>
    <w:rsid w:val="0052279E"/>
    <w:rsid w:val="005232C3"/>
    <w:rsid w:val="00524626"/>
    <w:rsid w:val="00524806"/>
    <w:rsid w:val="005248B6"/>
    <w:rsid w:val="00524C55"/>
    <w:rsid w:val="00524D4D"/>
    <w:rsid w:val="0052537A"/>
    <w:rsid w:val="00525B7D"/>
    <w:rsid w:val="00525BD9"/>
    <w:rsid w:val="005265AE"/>
    <w:rsid w:val="00526649"/>
    <w:rsid w:val="0052673B"/>
    <w:rsid w:val="00526C56"/>
    <w:rsid w:val="00527903"/>
    <w:rsid w:val="00527BC1"/>
    <w:rsid w:val="005305BD"/>
    <w:rsid w:val="005308EC"/>
    <w:rsid w:val="00530948"/>
    <w:rsid w:val="00530BE0"/>
    <w:rsid w:val="00530EB2"/>
    <w:rsid w:val="00531042"/>
    <w:rsid w:val="0053105E"/>
    <w:rsid w:val="00531788"/>
    <w:rsid w:val="00531C1C"/>
    <w:rsid w:val="0053227B"/>
    <w:rsid w:val="00532355"/>
    <w:rsid w:val="005326E2"/>
    <w:rsid w:val="0053274B"/>
    <w:rsid w:val="0053279B"/>
    <w:rsid w:val="0053377C"/>
    <w:rsid w:val="005339BF"/>
    <w:rsid w:val="00533F26"/>
    <w:rsid w:val="005344EB"/>
    <w:rsid w:val="00534868"/>
    <w:rsid w:val="0053499E"/>
    <w:rsid w:val="00534DCC"/>
    <w:rsid w:val="00534ED4"/>
    <w:rsid w:val="00535460"/>
    <w:rsid w:val="005359B7"/>
    <w:rsid w:val="00535BBD"/>
    <w:rsid w:val="00535FEC"/>
    <w:rsid w:val="005366AD"/>
    <w:rsid w:val="005368AB"/>
    <w:rsid w:val="00536BDD"/>
    <w:rsid w:val="00536E04"/>
    <w:rsid w:val="00536E2A"/>
    <w:rsid w:val="0053736C"/>
    <w:rsid w:val="005374FA"/>
    <w:rsid w:val="00537676"/>
    <w:rsid w:val="00537EE0"/>
    <w:rsid w:val="00540069"/>
    <w:rsid w:val="00540315"/>
    <w:rsid w:val="00540547"/>
    <w:rsid w:val="00540E3B"/>
    <w:rsid w:val="005419C4"/>
    <w:rsid w:val="00541A6F"/>
    <w:rsid w:val="00541FAA"/>
    <w:rsid w:val="00541FEA"/>
    <w:rsid w:val="0054219B"/>
    <w:rsid w:val="005422E9"/>
    <w:rsid w:val="005426E7"/>
    <w:rsid w:val="0054274A"/>
    <w:rsid w:val="00542A45"/>
    <w:rsid w:val="00543A3C"/>
    <w:rsid w:val="00543C6A"/>
    <w:rsid w:val="00543EEF"/>
    <w:rsid w:val="00544751"/>
    <w:rsid w:val="00544A04"/>
    <w:rsid w:val="00544FBD"/>
    <w:rsid w:val="0054574B"/>
    <w:rsid w:val="00545FA8"/>
    <w:rsid w:val="0054658F"/>
    <w:rsid w:val="0054682C"/>
    <w:rsid w:val="00546B56"/>
    <w:rsid w:val="0054738F"/>
    <w:rsid w:val="00547A22"/>
    <w:rsid w:val="00547B0C"/>
    <w:rsid w:val="00547B2E"/>
    <w:rsid w:val="00547BF2"/>
    <w:rsid w:val="00550560"/>
    <w:rsid w:val="005509F9"/>
    <w:rsid w:val="00551145"/>
    <w:rsid w:val="00551655"/>
    <w:rsid w:val="00551B50"/>
    <w:rsid w:val="005520DC"/>
    <w:rsid w:val="00552FDD"/>
    <w:rsid w:val="0055319A"/>
    <w:rsid w:val="00553224"/>
    <w:rsid w:val="005537B0"/>
    <w:rsid w:val="005537C6"/>
    <w:rsid w:val="005539A7"/>
    <w:rsid w:val="00553BC3"/>
    <w:rsid w:val="005541DB"/>
    <w:rsid w:val="00554414"/>
    <w:rsid w:val="00554757"/>
    <w:rsid w:val="005555A0"/>
    <w:rsid w:val="00555F27"/>
    <w:rsid w:val="00555FC0"/>
    <w:rsid w:val="0055697E"/>
    <w:rsid w:val="005569AA"/>
    <w:rsid w:val="00556C3E"/>
    <w:rsid w:val="00556D62"/>
    <w:rsid w:val="005570C2"/>
    <w:rsid w:val="0055770C"/>
    <w:rsid w:val="005577E5"/>
    <w:rsid w:val="005602BA"/>
    <w:rsid w:val="00560870"/>
    <w:rsid w:val="0056095F"/>
    <w:rsid w:val="00560ACA"/>
    <w:rsid w:val="00560C58"/>
    <w:rsid w:val="00561481"/>
    <w:rsid w:val="005621BF"/>
    <w:rsid w:val="00562521"/>
    <w:rsid w:val="00562CB6"/>
    <w:rsid w:val="005631AB"/>
    <w:rsid w:val="00563459"/>
    <w:rsid w:val="005637DB"/>
    <w:rsid w:val="0056399B"/>
    <w:rsid w:val="00563B59"/>
    <w:rsid w:val="00563D7E"/>
    <w:rsid w:val="00564616"/>
    <w:rsid w:val="005648FE"/>
    <w:rsid w:val="005654C8"/>
    <w:rsid w:val="005657D2"/>
    <w:rsid w:val="00565AEE"/>
    <w:rsid w:val="00565C2E"/>
    <w:rsid w:val="00565EE9"/>
    <w:rsid w:val="00565F93"/>
    <w:rsid w:val="00566638"/>
    <w:rsid w:val="0056669A"/>
    <w:rsid w:val="00566714"/>
    <w:rsid w:val="0056697F"/>
    <w:rsid w:val="005673E8"/>
    <w:rsid w:val="0056771F"/>
    <w:rsid w:val="00567D99"/>
    <w:rsid w:val="00567DAC"/>
    <w:rsid w:val="00567F66"/>
    <w:rsid w:val="00570529"/>
    <w:rsid w:val="0057090C"/>
    <w:rsid w:val="00570C51"/>
    <w:rsid w:val="00570DA3"/>
    <w:rsid w:val="0057132D"/>
    <w:rsid w:val="005713E4"/>
    <w:rsid w:val="0057140C"/>
    <w:rsid w:val="00571853"/>
    <w:rsid w:val="00571EB4"/>
    <w:rsid w:val="00571F1B"/>
    <w:rsid w:val="00572256"/>
    <w:rsid w:val="0057268A"/>
    <w:rsid w:val="00572749"/>
    <w:rsid w:val="00572D86"/>
    <w:rsid w:val="00572DA0"/>
    <w:rsid w:val="00573381"/>
    <w:rsid w:val="005737BE"/>
    <w:rsid w:val="00573860"/>
    <w:rsid w:val="005738FD"/>
    <w:rsid w:val="00573ED8"/>
    <w:rsid w:val="00574455"/>
    <w:rsid w:val="005744BC"/>
    <w:rsid w:val="00574F9A"/>
    <w:rsid w:val="00574FC2"/>
    <w:rsid w:val="005750AE"/>
    <w:rsid w:val="005752FB"/>
    <w:rsid w:val="00575680"/>
    <w:rsid w:val="005757D4"/>
    <w:rsid w:val="005758A8"/>
    <w:rsid w:val="00575AC3"/>
    <w:rsid w:val="00575BD3"/>
    <w:rsid w:val="00575F83"/>
    <w:rsid w:val="0057617B"/>
    <w:rsid w:val="005765A4"/>
    <w:rsid w:val="00577550"/>
    <w:rsid w:val="00577C93"/>
    <w:rsid w:val="0058005A"/>
    <w:rsid w:val="00580384"/>
    <w:rsid w:val="005805FD"/>
    <w:rsid w:val="005806CD"/>
    <w:rsid w:val="005814FF"/>
    <w:rsid w:val="005816C9"/>
    <w:rsid w:val="005818FF"/>
    <w:rsid w:val="005819E6"/>
    <w:rsid w:val="00581AE0"/>
    <w:rsid w:val="00581B7C"/>
    <w:rsid w:val="00581CE0"/>
    <w:rsid w:val="005828A2"/>
    <w:rsid w:val="00582FF0"/>
    <w:rsid w:val="0058346F"/>
    <w:rsid w:val="0058390F"/>
    <w:rsid w:val="00583BE2"/>
    <w:rsid w:val="00583C6C"/>
    <w:rsid w:val="00583CD3"/>
    <w:rsid w:val="00584399"/>
    <w:rsid w:val="005851B9"/>
    <w:rsid w:val="00585220"/>
    <w:rsid w:val="005853AF"/>
    <w:rsid w:val="00586706"/>
    <w:rsid w:val="00586F84"/>
    <w:rsid w:val="00586F8C"/>
    <w:rsid w:val="0058782A"/>
    <w:rsid w:val="0059087B"/>
    <w:rsid w:val="00591529"/>
    <w:rsid w:val="005915D7"/>
    <w:rsid w:val="005918B6"/>
    <w:rsid w:val="00591A08"/>
    <w:rsid w:val="00591B72"/>
    <w:rsid w:val="00591F61"/>
    <w:rsid w:val="00592026"/>
    <w:rsid w:val="005922C4"/>
    <w:rsid w:val="0059246D"/>
    <w:rsid w:val="005929A7"/>
    <w:rsid w:val="00592F53"/>
    <w:rsid w:val="005930FA"/>
    <w:rsid w:val="00593763"/>
    <w:rsid w:val="00593A65"/>
    <w:rsid w:val="00593BE0"/>
    <w:rsid w:val="00595523"/>
    <w:rsid w:val="0059640E"/>
    <w:rsid w:val="0059650D"/>
    <w:rsid w:val="00596AAD"/>
    <w:rsid w:val="005970BE"/>
    <w:rsid w:val="00597502"/>
    <w:rsid w:val="005976F9"/>
    <w:rsid w:val="005979C6"/>
    <w:rsid w:val="00597A3E"/>
    <w:rsid w:val="00597C57"/>
    <w:rsid w:val="00597F86"/>
    <w:rsid w:val="005A0174"/>
    <w:rsid w:val="005A037C"/>
    <w:rsid w:val="005A080B"/>
    <w:rsid w:val="005A08C3"/>
    <w:rsid w:val="005A0B60"/>
    <w:rsid w:val="005A12AB"/>
    <w:rsid w:val="005A154B"/>
    <w:rsid w:val="005A1B47"/>
    <w:rsid w:val="005A2000"/>
    <w:rsid w:val="005A2569"/>
    <w:rsid w:val="005A2A12"/>
    <w:rsid w:val="005A39C4"/>
    <w:rsid w:val="005A3C0F"/>
    <w:rsid w:val="005A3C94"/>
    <w:rsid w:val="005A4C51"/>
    <w:rsid w:val="005A4E30"/>
    <w:rsid w:val="005A4E5B"/>
    <w:rsid w:val="005A4F0A"/>
    <w:rsid w:val="005A524B"/>
    <w:rsid w:val="005A59E1"/>
    <w:rsid w:val="005A5E3B"/>
    <w:rsid w:val="005A6788"/>
    <w:rsid w:val="005A76B3"/>
    <w:rsid w:val="005B060B"/>
    <w:rsid w:val="005B072C"/>
    <w:rsid w:val="005B0EB6"/>
    <w:rsid w:val="005B1744"/>
    <w:rsid w:val="005B1E07"/>
    <w:rsid w:val="005B2D92"/>
    <w:rsid w:val="005B3232"/>
    <w:rsid w:val="005B34D9"/>
    <w:rsid w:val="005B37D6"/>
    <w:rsid w:val="005B3B63"/>
    <w:rsid w:val="005B4021"/>
    <w:rsid w:val="005B4216"/>
    <w:rsid w:val="005B4563"/>
    <w:rsid w:val="005B45A0"/>
    <w:rsid w:val="005B45C5"/>
    <w:rsid w:val="005B4BBE"/>
    <w:rsid w:val="005B52AA"/>
    <w:rsid w:val="005B5D13"/>
    <w:rsid w:val="005B639B"/>
    <w:rsid w:val="005B645A"/>
    <w:rsid w:val="005B6C7E"/>
    <w:rsid w:val="005B7D74"/>
    <w:rsid w:val="005B7FA0"/>
    <w:rsid w:val="005C0868"/>
    <w:rsid w:val="005C130E"/>
    <w:rsid w:val="005C1403"/>
    <w:rsid w:val="005C15B9"/>
    <w:rsid w:val="005C1885"/>
    <w:rsid w:val="005C1BFA"/>
    <w:rsid w:val="005C1C07"/>
    <w:rsid w:val="005C1CA9"/>
    <w:rsid w:val="005C1CEB"/>
    <w:rsid w:val="005C2236"/>
    <w:rsid w:val="005C224B"/>
    <w:rsid w:val="005C22E6"/>
    <w:rsid w:val="005C2633"/>
    <w:rsid w:val="005C289A"/>
    <w:rsid w:val="005C3425"/>
    <w:rsid w:val="005C367E"/>
    <w:rsid w:val="005C38C9"/>
    <w:rsid w:val="005C3F4E"/>
    <w:rsid w:val="005C42F8"/>
    <w:rsid w:val="005C4616"/>
    <w:rsid w:val="005C4757"/>
    <w:rsid w:val="005C4896"/>
    <w:rsid w:val="005C5C2F"/>
    <w:rsid w:val="005C5EA1"/>
    <w:rsid w:val="005C5FDA"/>
    <w:rsid w:val="005C6222"/>
    <w:rsid w:val="005C679E"/>
    <w:rsid w:val="005C6B33"/>
    <w:rsid w:val="005C6D9B"/>
    <w:rsid w:val="005C6E8A"/>
    <w:rsid w:val="005C79BC"/>
    <w:rsid w:val="005C79E7"/>
    <w:rsid w:val="005C7A23"/>
    <w:rsid w:val="005D00B4"/>
    <w:rsid w:val="005D0403"/>
    <w:rsid w:val="005D104A"/>
    <w:rsid w:val="005D163B"/>
    <w:rsid w:val="005D16BE"/>
    <w:rsid w:val="005D1CAA"/>
    <w:rsid w:val="005D1CBA"/>
    <w:rsid w:val="005D2065"/>
    <w:rsid w:val="005D28B7"/>
    <w:rsid w:val="005D3835"/>
    <w:rsid w:val="005D3885"/>
    <w:rsid w:val="005D3C59"/>
    <w:rsid w:val="005D3DB6"/>
    <w:rsid w:val="005D3F44"/>
    <w:rsid w:val="005D4332"/>
    <w:rsid w:val="005D46BE"/>
    <w:rsid w:val="005D4869"/>
    <w:rsid w:val="005D5044"/>
    <w:rsid w:val="005D53D7"/>
    <w:rsid w:val="005D5E35"/>
    <w:rsid w:val="005D618C"/>
    <w:rsid w:val="005D643F"/>
    <w:rsid w:val="005D6756"/>
    <w:rsid w:val="005D6A14"/>
    <w:rsid w:val="005D704B"/>
    <w:rsid w:val="005D72F4"/>
    <w:rsid w:val="005D7461"/>
    <w:rsid w:val="005D7482"/>
    <w:rsid w:val="005D7517"/>
    <w:rsid w:val="005D7642"/>
    <w:rsid w:val="005D78D0"/>
    <w:rsid w:val="005D7BE2"/>
    <w:rsid w:val="005E0501"/>
    <w:rsid w:val="005E09E5"/>
    <w:rsid w:val="005E0A01"/>
    <w:rsid w:val="005E1BEB"/>
    <w:rsid w:val="005E1FB8"/>
    <w:rsid w:val="005E207C"/>
    <w:rsid w:val="005E23DC"/>
    <w:rsid w:val="005E2538"/>
    <w:rsid w:val="005E26C8"/>
    <w:rsid w:val="005E2E3E"/>
    <w:rsid w:val="005E33E2"/>
    <w:rsid w:val="005E3A19"/>
    <w:rsid w:val="005E3A62"/>
    <w:rsid w:val="005E3DB9"/>
    <w:rsid w:val="005E3F50"/>
    <w:rsid w:val="005E4224"/>
    <w:rsid w:val="005E42B1"/>
    <w:rsid w:val="005E46AC"/>
    <w:rsid w:val="005E4DA9"/>
    <w:rsid w:val="005E4DD7"/>
    <w:rsid w:val="005E4E6F"/>
    <w:rsid w:val="005E5724"/>
    <w:rsid w:val="005E59A9"/>
    <w:rsid w:val="005E5A15"/>
    <w:rsid w:val="005E5BE2"/>
    <w:rsid w:val="005E605F"/>
    <w:rsid w:val="005E6459"/>
    <w:rsid w:val="005E6807"/>
    <w:rsid w:val="005E7026"/>
    <w:rsid w:val="005E72C3"/>
    <w:rsid w:val="005E7578"/>
    <w:rsid w:val="005E7A37"/>
    <w:rsid w:val="005E7AD6"/>
    <w:rsid w:val="005E7B94"/>
    <w:rsid w:val="005E7B96"/>
    <w:rsid w:val="005E7CAB"/>
    <w:rsid w:val="005E7D5F"/>
    <w:rsid w:val="005E7F1B"/>
    <w:rsid w:val="005F05ED"/>
    <w:rsid w:val="005F0FA2"/>
    <w:rsid w:val="005F11CE"/>
    <w:rsid w:val="005F159F"/>
    <w:rsid w:val="005F17FC"/>
    <w:rsid w:val="005F180D"/>
    <w:rsid w:val="005F18B9"/>
    <w:rsid w:val="005F18F7"/>
    <w:rsid w:val="005F20B1"/>
    <w:rsid w:val="005F2168"/>
    <w:rsid w:val="005F241D"/>
    <w:rsid w:val="005F2548"/>
    <w:rsid w:val="005F2891"/>
    <w:rsid w:val="005F28F8"/>
    <w:rsid w:val="005F29C9"/>
    <w:rsid w:val="005F29E2"/>
    <w:rsid w:val="005F2E5C"/>
    <w:rsid w:val="005F2F4E"/>
    <w:rsid w:val="005F385B"/>
    <w:rsid w:val="005F3935"/>
    <w:rsid w:val="005F3F74"/>
    <w:rsid w:val="005F4263"/>
    <w:rsid w:val="005F429C"/>
    <w:rsid w:val="005F4F04"/>
    <w:rsid w:val="005F5068"/>
    <w:rsid w:val="005F508A"/>
    <w:rsid w:val="005F537E"/>
    <w:rsid w:val="005F59F7"/>
    <w:rsid w:val="005F5F49"/>
    <w:rsid w:val="005F5F5E"/>
    <w:rsid w:val="005F6B0A"/>
    <w:rsid w:val="005F6B86"/>
    <w:rsid w:val="005F6FB1"/>
    <w:rsid w:val="005F70BA"/>
    <w:rsid w:val="005F74A1"/>
    <w:rsid w:val="005F7926"/>
    <w:rsid w:val="005F7C56"/>
    <w:rsid w:val="006000E4"/>
    <w:rsid w:val="0060037E"/>
    <w:rsid w:val="00600A30"/>
    <w:rsid w:val="00600EDA"/>
    <w:rsid w:val="00600FD6"/>
    <w:rsid w:val="00601209"/>
    <w:rsid w:val="006014D1"/>
    <w:rsid w:val="006017CF"/>
    <w:rsid w:val="006017FC"/>
    <w:rsid w:val="006017FD"/>
    <w:rsid w:val="00601E62"/>
    <w:rsid w:val="00602240"/>
    <w:rsid w:val="00602280"/>
    <w:rsid w:val="00602BA8"/>
    <w:rsid w:val="00602E07"/>
    <w:rsid w:val="006030C3"/>
    <w:rsid w:val="006037D3"/>
    <w:rsid w:val="00603C12"/>
    <w:rsid w:val="00603C4B"/>
    <w:rsid w:val="00603D99"/>
    <w:rsid w:val="006041F4"/>
    <w:rsid w:val="00604D8B"/>
    <w:rsid w:val="00605030"/>
    <w:rsid w:val="00605326"/>
    <w:rsid w:val="0060540A"/>
    <w:rsid w:val="006054FD"/>
    <w:rsid w:val="006055A1"/>
    <w:rsid w:val="00605653"/>
    <w:rsid w:val="006056C1"/>
    <w:rsid w:val="00605C5F"/>
    <w:rsid w:val="00605EE9"/>
    <w:rsid w:val="00606DE2"/>
    <w:rsid w:val="00606E24"/>
    <w:rsid w:val="006070D3"/>
    <w:rsid w:val="0060721E"/>
    <w:rsid w:val="00607334"/>
    <w:rsid w:val="00607C13"/>
    <w:rsid w:val="00607CC4"/>
    <w:rsid w:val="00607F20"/>
    <w:rsid w:val="0061069E"/>
    <w:rsid w:val="00610C63"/>
    <w:rsid w:val="00610E79"/>
    <w:rsid w:val="00611A5E"/>
    <w:rsid w:val="006123C8"/>
    <w:rsid w:val="00612B52"/>
    <w:rsid w:val="00612FE1"/>
    <w:rsid w:val="00613336"/>
    <w:rsid w:val="006139AB"/>
    <w:rsid w:val="00613BA9"/>
    <w:rsid w:val="00614152"/>
    <w:rsid w:val="00614345"/>
    <w:rsid w:val="00614526"/>
    <w:rsid w:val="00614D5D"/>
    <w:rsid w:val="0061508A"/>
    <w:rsid w:val="00615182"/>
    <w:rsid w:val="00615772"/>
    <w:rsid w:val="00616AF4"/>
    <w:rsid w:val="00616F9F"/>
    <w:rsid w:val="006175D7"/>
    <w:rsid w:val="0061781A"/>
    <w:rsid w:val="0061782D"/>
    <w:rsid w:val="00620012"/>
    <w:rsid w:val="006207F9"/>
    <w:rsid w:val="00620FE0"/>
    <w:rsid w:val="00621098"/>
    <w:rsid w:val="00621205"/>
    <w:rsid w:val="006212B9"/>
    <w:rsid w:val="006219FB"/>
    <w:rsid w:val="006220DB"/>
    <w:rsid w:val="00622BEE"/>
    <w:rsid w:val="00623155"/>
    <w:rsid w:val="00623881"/>
    <w:rsid w:val="00623AEA"/>
    <w:rsid w:val="00623CBD"/>
    <w:rsid w:val="00623D60"/>
    <w:rsid w:val="00623D99"/>
    <w:rsid w:val="00624264"/>
    <w:rsid w:val="006245B9"/>
    <w:rsid w:val="0062472B"/>
    <w:rsid w:val="00624DD1"/>
    <w:rsid w:val="00625163"/>
    <w:rsid w:val="00625B7B"/>
    <w:rsid w:val="00625F00"/>
    <w:rsid w:val="00626447"/>
    <w:rsid w:val="00626486"/>
    <w:rsid w:val="00626617"/>
    <w:rsid w:val="00626648"/>
    <w:rsid w:val="00626773"/>
    <w:rsid w:val="006269B1"/>
    <w:rsid w:val="00627076"/>
    <w:rsid w:val="006271FE"/>
    <w:rsid w:val="006274B2"/>
    <w:rsid w:val="006276A5"/>
    <w:rsid w:val="00627BF8"/>
    <w:rsid w:val="00627D6E"/>
    <w:rsid w:val="00627EA1"/>
    <w:rsid w:val="0063096F"/>
    <w:rsid w:val="006309AD"/>
    <w:rsid w:val="00630BF5"/>
    <w:rsid w:val="00631603"/>
    <w:rsid w:val="00631884"/>
    <w:rsid w:val="006319D7"/>
    <w:rsid w:val="00631E68"/>
    <w:rsid w:val="006324CE"/>
    <w:rsid w:val="00632D5E"/>
    <w:rsid w:val="00633E65"/>
    <w:rsid w:val="00634095"/>
    <w:rsid w:val="006341D0"/>
    <w:rsid w:val="0063428C"/>
    <w:rsid w:val="00634872"/>
    <w:rsid w:val="006348BD"/>
    <w:rsid w:val="00634C16"/>
    <w:rsid w:val="006353FC"/>
    <w:rsid w:val="00635433"/>
    <w:rsid w:val="00635489"/>
    <w:rsid w:val="00635A26"/>
    <w:rsid w:val="0063664A"/>
    <w:rsid w:val="00636B70"/>
    <w:rsid w:val="00636F04"/>
    <w:rsid w:val="0063720A"/>
    <w:rsid w:val="00637DF6"/>
    <w:rsid w:val="006402D2"/>
    <w:rsid w:val="00640B47"/>
    <w:rsid w:val="00640F7F"/>
    <w:rsid w:val="006415F1"/>
    <w:rsid w:val="0064162D"/>
    <w:rsid w:val="00641737"/>
    <w:rsid w:val="00641BAC"/>
    <w:rsid w:val="00641F9B"/>
    <w:rsid w:val="00642216"/>
    <w:rsid w:val="00642806"/>
    <w:rsid w:val="00643230"/>
    <w:rsid w:val="00643986"/>
    <w:rsid w:val="00644580"/>
    <w:rsid w:val="0064518B"/>
    <w:rsid w:val="00645329"/>
    <w:rsid w:val="00646313"/>
    <w:rsid w:val="00646C66"/>
    <w:rsid w:val="00646D47"/>
    <w:rsid w:val="00646EFE"/>
    <w:rsid w:val="006472B3"/>
    <w:rsid w:val="0064747C"/>
    <w:rsid w:val="0064777C"/>
    <w:rsid w:val="00647A45"/>
    <w:rsid w:val="00650038"/>
    <w:rsid w:val="00650159"/>
    <w:rsid w:val="006502E1"/>
    <w:rsid w:val="0065125D"/>
    <w:rsid w:val="006514DB"/>
    <w:rsid w:val="0065154A"/>
    <w:rsid w:val="006516BB"/>
    <w:rsid w:val="006518A0"/>
    <w:rsid w:val="00652AF6"/>
    <w:rsid w:val="00653199"/>
    <w:rsid w:val="00653274"/>
    <w:rsid w:val="006534DA"/>
    <w:rsid w:val="00653C31"/>
    <w:rsid w:val="00653C8E"/>
    <w:rsid w:val="00653DA9"/>
    <w:rsid w:val="00653FFA"/>
    <w:rsid w:val="00654DD4"/>
    <w:rsid w:val="00654FE8"/>
    <w:rsid w:val="006559BD"/>
    <w:rsid w:val="00655DF5"/>
    <w:rsid w:val="00655F0B"/>
    <w:rsid w:val="00655F7E"/>
    <w:rsid w:val="006561CE"/>
    <w:rsid w:val="006567AD"/>
    <w:rsid w:val="00657148"/>
    <w:rsid w:val="006572A3"/>
    <w:rsid w:val="00657CCD"/>
    <w:rsid w:val="006601DA"/>
    <w:rsid w:val="00660D9C"/>
    <w:rsid w:val="00660EAB"/>
    <w:rsid w:val="00660F4C"/>
    <w:rsid w:val="00661563"/>
    <w:rsid w:val="00662443"/>
    <w:rsid w:val="00662525"/>
    <w:rsid w:val="00662777"/>
    <w:rsid w:val="00662AE1"/>
    <w:rsid w:val="00662CF8"/>
    <w:rsid w:val="0066318D"/>
    <w:rsid w:val="006634A6"/>
    <w:rsid w:val="006637DB"/>
    <w:rsid w:val="006637FD"/>
    <w:rsid w:val="006642D1"/>
    <w:rsid w:val="006647FF"/>
    <w:rsid w:val="00665085"/>
    <w:rsid w:val="00665251"/>
    <w:rsid w:val="0066550B"/>
    <w:rsid w:val="0066589E"/>
    <w:rsid w:val="00665D4A"/>
    <w:rsid w:val="0066677E"/>
    <w:rsid w:val="0066791D"/>
    <w:rsid w:val="00667C28"/>
    <w:rsid w:val="00667C61"/>
    <w:rsid w:val="00667DD1"/>
    <w:rsid w:val="00670048"/>
    <w:rsid w:val="00670BF0"/>
    <w:rsid w:val="00670FA1"/>
    <w:rsid w:val="00671E7D"/>
    <w:rsid w:val="006728D3"/>
    <w:rsid w:val="00673577"/>
    <w:rsid w:val="006737D0"/>
    <w:rsid w:val="006739B0"/>
    <w:rsid w:val="00673BCE"/>
    <w:rsid w:val="00673F51"/>
    <w:rsid w:val="0067415D"/>
    <w:rsid w:val="006743A9"/>
    <w:rsid w:val="00674BE7"/>
    <w:rsid w:val="00674CD7"/>
    <w:rsid w:val="00674F69"/>
    <w:rsid w:val="00675197"/>
    <w:rsid w:val="006751D9"/>
    <w:rsid w:val="006752BE"/>
    <w:rsid w:val="00675EED"/>
    <w:rsid w:val="006761DD"/>
    <w:rsid w:val="006763AE"/>
    <w:rsid w:val="0067641D"/>
    <w:rsid w:val="006774DA"/>
    <w:rsid w:val="00677A4B"/>
    <w:rsid w:val="00680670"/>
    <w:rsid w:val="00680827"/>
    <w:rsid w:val="0068095F"/>
    <w:rsid w:val="00680B59"/>
    <w:rsid w:val="00680CA0"/>
    <w:rsid w:val="00681169"/>
    <w:rsid w:val="00681594"/>
    <w:rsid w:val="00681AD6"/>
    <w:rsid w:val="00681B6F"/>
    <w:rsid w:val="00681BE0"/>
    <w:rsid w:val="00681CD3"/>
    <w:rsid w:val="006828CE"/>
    <w:rsid w:val="00682DB9"/>
    <w:rsid w:val="0068323E"/>
    <w:rsid w:val="0068378F"/>
    <w:rsid w:val="00684145"/>
    <w:rsid w:val="006848B7"/>
    <w:rsid w:val="00685233"/>
    <w:rsid w:val="00685423"/>
    <w:rsid w:val="00685DE0"/>
    <w:rsid w:val="00685E5A"/>
    <w:rsid w:val="006861AF"/>
    <w:rsid w:val="006867E5"/>
    <w:rsid w:val="00686C30"/>
    <w:rsid w:val="00686E5E"/>
    <w:rsid w:val="00686FC1"/>
    <w:rsid w:val="00687250"/>
    <w:rsid w:val="006873BB"/>
    <w:rsid w:val="006875ED"/>
    <w:rsid w:val="00690215"/>
    <w:rsid w:val="006907BA"/>
    <w:rsid w:val="00690B11"/>
    <w:rsid w:val="00690B85"/>
    <w:rsid w:val="00690BDD"/>
    <w:rsid w:val="00691093"/>
    <w:rsid w:val="0069113A"/>
    <w:rsid w:val="006915A5"/>
    <w:rsid w:val="00691A1B"/>
    <w:rsid w:val="00691AC7"/>
    <w:rsid w:val="0069240F"/>
    <w:rsid w:val="006924AF"/>
    <w:rsid w:val="0069277C"/>
    <w:rsid w:val="0069293C"/>
    <w:rsid w:val="00692D68"/>
    <w:rsid w:val="00692E2A"/>
    <w:rsid w:val="00692F33"/>
    <w:rsid w:val="00692F44"/>
    <w:rsid w:val="0069306F"/>
    <w:rsid w:val="00693678"/>
    <w:rsid w:val="0069367A"/>
    <w:rsid w:val="00693F4D"/>
    <w:rsid w:val="00694E18"/>
    <w:rsid w:val="0069528A"/>
    <w:rsid w:val="006954FB"/>
    <w:rsid w:val="00695BE8"/>
    <w:rsid w:val="00695E41"/>
    <w:rsid w:val="00696DA8"/>
    <w:rsid w:val="0069778A"/>
    <w:rsid w:val="006A0440"/>
    <w:rsid w:val="006A0A6F"/>
    <w:rsid w:val="006A0B67"/>
    <w:rsid w:val="006A1422"/>
    <w:rsid w:val="006A1436"/>
    <w:rsid w:val="006A16A6"/>
    <w:rsid w:val="006A17F7"/>
    <w:rsid w:val="006A1DC7"/>
    <w:rsid w:val="006A1E7F"/>
    <w:rsid w:val="006A211B"/>
    <w:rsid w:val="006A22D4"/>
    <w:rsid w:val="006A2778"/>
    <w:rsid w:val="006A2865"/>
    <w:rsid w:val="006A2903"/>
    <w:rsid w:val="006A2CE7"/>
    <w:rsid w:val="006A320D"/>
    <w:rsid w:val="006A3D68"/>
    <w:rsid w:val="006A4164"/>
    <w:rsid w:val="006A4923"/>
    <w:rsid w:val="006A4C8B"/>
    <w:rsid w:val="006A4E29"/>
    <w:rsid w:val="006A4E92"/>
    <w:rsid w:val="006A5119"/>
    <w:rsid w:val="006A58C6"/>
    <w:rsid w:val="006A5B0E"/>
    <w:rsid w:val="006A5B6D"/>
    <w:rsid w:val="006A5B9A"/>
    <w:rsid w:val="006A61AB"/>
    <w:rsid w:val="006A742D"/>
    <w:rsid w:val="006A7811"/>
    <w:rsid w:val="006A78A2"/>
    <w:rsid w:val="006A7B8A"/>
    <w:rsid w:val="006A7BE1"/>
    <w:rsid w:val="006A7E40"/>
    <w:rsid w:val="006B0368"/>
    <w:rsid w:val="006B06F9"/>
    <w:rsid w:val="006B0DFD"/>
    <w:rsid w:val="006B0EE4"/>
    <w:rsid w:val="006B10DF"/>
    <w:rsid w:val="006B152E"/>
    <w:rsid w:val="006B1555"/>
    <w:rsid w:val="006B16A9"/>
    <w:rsid w:val="006B18F7"/>
    <w:rsid w:val="006B2BCB"/>
    <w:rsid w:val="006B2D62"/>
    <w:rsid w:val="006B2E69"/>
    <w:rsid w:val="006B3C86"/>
    <w:rsid w:val="006B4462"/>
    <w:rsid w:val="006B4570"/>
    <w:rsid w:val="006B4F0E"/>
    <w:rsid w:val="006B53EA"/>
    <w:rsid w:val="006B5AF9"/>
    <w:rsid w:val="006B5FFC"/>
    <w:rsid w:val="006B69E7"/>
    <w:rsid w:val="006B6E03"/>
    <w:rsid w:val="006B71BC"/>
    <w:rsid w:val="006B71F3"/>
    <w:rsid w:val="006B7321"/>
    <w:rsid w:val="006B742C"/>
    <w:rsid w:val="006B74A4"/>
    <w:rsid w:val="006C027A"/>
    <w:rsid w:val="006C0FC8"/>
    <w:rsid w:val="006C14CD"/>
    <w:rsid w:val="006C1A49"/>
    <w:rsid w:val="006C2624"/>
    <w:rsid w:val="006C2625"/>
    <w:rsid w:val="006C265A"/>
    <w:rsid w:val="006C26E8"/>
    <w:rsid w:val="006C272F"/>
    <w:rsid w:val="006C2761"/>
    <w:rsid w:val="006C27FF"/>
    <w:rsid w:val="006C2841"/>
    <w:rsid w:val="006C28DF"/>
    <w:rsid w:val="006C2BB0"/>
    <w:rsid w:val="006C3209"/>
    <w:rsid w:val="006C3820"/>
    <w:rsid w:val="006C3E51"/>
    <w:rsid w:val="006C3FDB"/>
    <w:rsid w:val="006C590B"/>
    <w:rsid w:val="006C5A11"/>
    <w:rsid w:val="006C6364"/>
    <w:rsid w:val="006C6579"/>
    <w:rsid w:val="006C684D"/>
    <w:rsid w:val="006C68A8"/>
    <w:rsid w:val="006C68FB"/>
    <w:rsid w:val="006C7F08"/>
    <w:rsid w:val="006C7F96"/>
    <w:rsid w:val="006D04C8"/>
    <w:rsid w:val="006D0747"/>
    <w:rsid w:val="006D0899"/>
    <w:rsid w:val="006D09FD"/>
    <w:rsid w:val="006D0BD3"/>
    <w:rsid w:val="006D1816"/>
    <w:rsid w:val="006D1AB7"/>
    <w:rsid w:val="006D1C77"/>
    <w:rsid w:val="006D1FDA"/>
    <w:rsid w:val="006D27B0"/>
    <w:rsid w:val="006D2F3D"/>
    <w:rsid w:val="006D34D0"/>
    <w:rsid w:val="006D39D3"/>
    <w:rsid w:val="006D42EE"/>
    <w:rsid w:val="006D43D3"/>
    <w:rsid w:val="006D45DD"/>
    <w:rsid w:val="006D4C43"/>
    <w:rsid w:val="006D4D57"/>
    <w:rsid w:val="006D513D"/>
    <w:rsid w:val="006D5429"/>
    <w:rsid w:val="006D5615"/>
    <w:rsid w:val="006D5895"/>
    <w:rsid w:val="006D5AAF"/>
    <w:rsid w:val="006D5F0A"/>
    <w:rsid w:val="006D6582"/>
    <w:rsid w:val="006D6C65"/>
    <w:rsid w:val="006D73F5"/>
    <w:rsid w:val="006D7595"/>
    <w:rsid w:val="006E0245"/>
    <w:rsid w:val="006E0E11"/>
    <w:rsid w:val="006E1BD2"/>
    <w:rsid w:val="006E2701"/>
    <w:rsid w:val="006E2D14"/>
    <w:rsid w:val="006E2FCF"/>
    <w:rsid w:val="006E3173"/>
    <w:rsid w:val="006E3601"/>
    <w:rsid w:val="006E3626"/>
    <w:rsid w:val="006E3A71"/>
    <w:rsid w:val="006E3B69"/>
    <w:rsid w:val="006E3DE4"/>
    <w:rsid w:val="006E410A"/>
    <w:rsid w:val="006E4148"/>
    <w:rsid w:val="006E4450"/>
    <w:rsid w:val="006E484B"/>
    <w:rsid w:val="006E4AB7"/>
    <w:rsid w:val="006E4C44"/>
    <w:rsid w:val="006E4F33"/>
    <w:rsid w:val="006E51F5"/>
    <w:rsid w:val="006E580C"/>
    <w:rsid w:val="006E58A5"/>
    <w:rsid w:val="006E5905"/>
    <w:rsid w:val="006E5B34"/>
    <w:rsid w:val="006E5DF5"/>
    <w:rsid w:val="006E60CA"/>
    <w:rsid w:val="006E6166"/>
    <w:rsid w:val="006E65B5"/>
    <w:rsid w:val="006E6836"/>
    <w:rsid w:val="006E72D6"/>
    <w:rsid w:val="006E73A7"/>
    <w:rsid w:val="006E7FDC"/>
    <w:rsid w:val="006E7FFA"/>
    <w:rsid w:val="006F0671"/>
    <w:rsid w:val="006F0F15"/>
    <w:rsid w:val="006F1900"/>
    <w:rsid w:val="006F1DD3"/>
    <w:rsid w:val="006F1F53"/>
    <w:rsid w:val="006F24E4"/>
    <w:rsid w:val="006F2788"/>
    <w:rsid w:val="006F34A3"/>
    <w:rsid w:val="006F375F"/>
    <w:rsid w:val="006F3A43"/>
    <w:rsid w:val="006F431B"/>
    <w:rsid w:val="006F44F6"/>
    <w:rsid w:val="006F47AF"/>
    <w:rsid w:val="006F47C9"/>
    <w:rsid w:val="006F5B45"/>
    <w:rsid w:val="006F5BFB"/>
    <w:rsid w:val="006F5D3E"/>
    <w:rsid w:val="006F6710"/>
    <w:rsid w:val="006F7089"/>
    <w:rsid w:val="006F7101"/>
    <w:rsid w:val="0070010C"/>
    <w:rsid w:val="00700830"/>
    <w:rsid w:val="0070173C"/>
    <w:rsid w:val="007017D7"/>
    <w:rsid w:val="00701D62"/>
    <w:rsid w:val="00701FF8"/>
    <w:rsid w:val="0070298F"/>
    <w:rsid w:val="00702B9E"/>
    <w:rsid w:val="00702C1B"/>
    <w:rsid w:val="00703680"/>
    <w:rsid w:val="00703A3B"/>
    <w:rsid w:val="00703CA7"/>
    <w:rsid w:val="00704303"/>
    <w:rsid w:val="00704351"/>
    <w:rsid w:val="00704F60"/>
    <w:rsid w:val="00705B04"/>
    <w:rsid w:val="00705DCE"/>
    <w:rsid w:val="00707CA1"/>
    <w:rsid w:val="0071011B"/>
    <w:rsid w:val="007107F8"/>
    <w:rsid w:val="007116E2"/>
    <w:rsid w:val="00711F17"/>
    <w:rsid w:val="007124E2"/>
    <w:rsid w:val="00712AF3"/>
    <w:rsid w:val="00712B80"/>
    <w:rsid w:val="0071354C"/>
    <w:rsid w:val="00713AAE"/>
    <w:rsid w:val="007146EF"/>
    <w:rsid w:val="00714AE6"/>
    <w:rsid w:val="0071500E"/>
    <w:rsid w:val="0071573D"/>
    <w:rsid w:val="00715D6E"/>
    <w:rsid w:val="007163B8"/>
    <w:rsid w:val="00716AD0"/>
    <w:rsid w:val="007176BF"/>
    <w:rsid w:val="0071798F"/>
    <w:rsid w:val="00717C2A"/>
    <w:rsid w:val="00717F33"/>
    <w:rsid w:val="007202A9"/>
    <w:rsid w:val="00720508"/>
    <w:rsid w:val="007205B1"/>
    <w:rsid w:val="007206B1"/>
    <w:rsid w:val="0072094D"/>
    <w:rsid w:val="00720D79"/>
    <w:rsid w:val="00720E52"/>
    <w:rsid w:val="007210F5"/>
    <w:rsid w:val="007212BA"/>
    <w:rsid w:val="007214E8"/>
    <w:rsid w:val="00721863"/>
    <w:rsid w:val="007219F7"/>
    <w:rsid w:val="00721D4F"/>
    <w:rsid w:val="00721E12"/>
    <w:rsid w:val="007220B2"/>
    <w:rsid w:val="0072220C"/>
    <w:rsid w:val="00722242"/>
    <w:rsid w:val="00722472"/>
    <w:rsid w:val="007226A2"/>
    <w:rsid w:val="00722981"/>
    <w:rsid w:val="00722A32"/>
    <w:rsid w:val="00722ABA"/>
    <w:rsid w:val="0072315E"/>
    <w:rsid w:val="007233B8"/>
    <w:rsid w:val="007234FC"/>
    <w:rsid w:val="00723899"/>
    <w:rsid w:val="00723B35"/>
    <w:rsid w:val="00724164"/>
    <w:rsid w:val="007247B1"/>
    <w:rsid w:val="00724D55"/>
    <w:rsid w:val="00725A50"/>
    <w:rsid w:val="0072602B"/>
    <w:rsid w:val="007260F6"/>
    <w:rsid w:val="007274C0"/>
    <w:rsid w:val="007274E7"/>
    <w:rsid w:val="00727562"/>
    <w:rsid w:val="00727769"/>
    <w:rsid w:val="00727D00"/>
    <w:rsid w:val="00727F9D"/>
    <w:rsid w:val="007300AD"/>
    <w:rsid w:val="00730A65"/>
    <w:rsid w:val="0073208D"/>
    <w:rsid w:val="0073234A"/>
    <w:rsid w:val="00732B36"/>
    <w:rsid w:val="007330D0"/>
    <w:rsid w:val="007333BC"/>
    <w:rsid w:val="00733530"/>
    <w:rsid w:val="00733655"/>
    <w:rsid w:val="007339DB"/>
    <w:rsid w:val="00733C84"/>
    <w:rsid w:val="00733FB4"/>
    <w:rsid w:val="007348B3"/>
    <w:rsid w:val="00734E8E"/>
    <w:rsid w:val="00735218"/>
    <w:rsid w:val="00735254"/>
    <w:rsid w:val="00735936"/>
    <w:rsid w:val="00735C2C"/>
    <w:rsid w:val="00736270"/>
    <w:rsid w:val="0073665E"/>
    <w:rsid w:val="0073738B"/>
    <w:rsid w:val="0074097F"/>
    <w:rsid w:val="00740B8C"/>
    <w:rsid w:val="007416AB"/>
    <w:rsid w:val="00741D8E"/>
    <w:rsid w:val="007420C2"/>
    <w:rsid w:val="00742887"/>
    <w:rsid w:val="00742889"/>
    <w:rsid w:val="00742EC9"/>
    <w:rsid w:val="007430FD"/>
    <w:rsid w:val="0074336D"/>
    <w:rsid w:val="00743673"/>
    <w:rsid w:val="0074384A"/>
    <w:rsid w:val="00743AC3"/>
    <w:rsid w:val="00743B9D"/>
    <w:rsid w:val="007445E9"/>
    <w:rsid w:val="007449BF"/>
    <w:rsid w:val="0074617A"/>
    <w:rsid w:val="00746ADF"/>
    <w:rsid w:val="00747755"/>
    <w:rsid w:val="00747D81"/>
    <w:rsid w:val="00747DDF"/>
    <w:rsid w:val="00747EFC"/>
    <w:rsid w:val="00747FC3"/>
    <w:rsid w:val="00750442"/>
    <w:rsid w:val="0075053E"/>
    <w:rsid w:val="00750632"/>
    <w:rsid w:val="0075099A"/>
    <w:rsid w:val="00751806"/>
    <w:rsid w:val="00752CF1"/>
    <w:rsid w:val="00752D10"/>
    <w:rsid w:val="00753185"/>
    <w:rsid w:val="00753452"/>
    <w:rsid w:val="00753C78"/>
    <w:rsid w:val="007540DC"/>
    <w:rsid w:val="007542D3"/>
    <w:rsid w:val="007542F7"/>
    <w:rsid w:val="007548AD"/>
    <w:rsid w:val="00754E79"/>
    <w:rsid w:val="00755589"/>
    <w:rsid w:val="00755E7F"/>
    <w:rsid w:val="00755F28"/>
    <w:rsid w:val="00756585"/>
    <w:rsid w:val="00756661"/>
    <w:rsid w:val="007567D3"/>
    <w:rsid w:val="007567DA"/>
    <w:rsid w:val="00756A3E"/>
    <w:rsid w:val="00756CD1"/>
    <w:rsid w:val="0075744E"/>
    <w:rsid w:val="007574D4"/>
    <w:rsid w:val="00757546"/>
    <w:rsid w:val="0075797E"/>
    <w:rsid w:val="007601EA"/>
    <w:rsid w:val="0076028F"/>
    <w:rsid w:val="007603F8"/>
    <w:rsid w:val="00760EB1"/>
    <w:rsid w:val="00760F6D"/>
    <w:rsid w:val="00762A5C"/>
    <w:rsid w:val="0076316D"/>
    <w:rsid w:val="00763476"/>
    <w:rsid w:val="0076357C"/>
    <w:rsid w:val="00764273"/>
    <w:rsid w:val="00764707"/>
    <w:rsid w:val="0076526E"/>
    <w:rsid w:val="00765712"/>
    <w:rsid w:val="0076574B"/>
    <w:rsid w:val="00765B56"/>
    <w:rsid w:val="00765D02"/>
    <w:rsid w:val="00766252"/>
    <w:rsid w:val="007672AA"/>
    <w:rsid w:val="00767A2C"/>
    <w:rsid w:val="00770302"/>
    <w:rsid w:val="00770337"/>
    <w:rsid w:val="00770981"/>
    <w:rsid w:val="00770C81"/>
    <w:rsid w:val="00770CE4"/>
    <w:rsid w:val="00770E81"/>
    <w:rsid w:val="007710CC"/>
    <w:rsid w:val="0077240B"/>
    <w:rsid w:val="00772890"/>
    <w:rsid w:val="00772E4F"/>
    <w:rsid w:val="0077305A"/>
    <w:rsid w:val="007732D3"/>
    <w:rsid w:val="00773860"/>
    <w:rsid w:val="00774019"/>
    <w:rsid w:val="007740CA"/>
    <w:rsid w:val="007741B9"/>
    <w:rsid w:val="007747F9"/>
    <w:rsid w:val="00775C11"/>
    <w:rsid w:val="00775C4A"/>
    <w:rsid w:val="0077622B"/>
    <w:rsid w:val="00776520"/>
    <w:rsid w:val="00776727"/>
    <w:rsid w:val="0077672B"/>
    <w:rsid w:val="00776998"/>
    <w:rsid w:val="007769D1"/>
    <w:rsid w:val="00776B90"/>
    <w:rsid w:val="00776FCE"/>
    <w:rsid w:val="0077725F"/>
    <w:rsid w:val="0077748C"/>
    <w:rsid w:val="007774E0"/>
    <w:rsid w:val="00777601"/>
    <w:rsid w:val="00777604"/>
    <w:rsid w:val="00777654"/>
    <w:rsid w:val="00777B00"/>
    <w:rsid w:val="00777F45"/>
    <w:rsid w:val="00780026"/>
    <w:rsid w:val="007806D9"/>
    <w:rsid w:val="00780DB6"/>
    <w:rsid w:val="00780F9B"/>
    <w:rsid w:val="00780FF4"/>
    <w:rsid w:val="0078117F"/>
    <w:rsid w:val="007812B2"/>
    <w:rsid w:val="00781772"/>
    <w:rsid w:val="00781DAC"/>
    <w:rsid w:val="00782232"/>
    <w:rsid w:val="007823CF"/>
    <w:rsid w:val="007826DF"/>
    <w:rsid w:val="007827B0"/>
    <w:rsid w:val="00782AC5"/>
    <w:rsid w:val="00782FBB"/>
    <w:rsid w:val="007830C0"/>
    <w:rsid w:val="007832A1"/>
    <w:rsid w:val="007832C4"/>
    <w:rsid w:val="007835DC"/>
    <w:rsid w:val="00783CE3"/>
    <w:rsid w:val="00784315"/>
    <w:rsid w:val="007846FF"/>
    <w:rsid w:val="007849CE"/>
    <w:rsid w:val="00784A77"/>
    <w:rsid w:val="00784D98"/>
    <w:rsid w:val="00784E95"/>
    <w:rsid w:val="00785158"/>
    <w:rsid w:val="0078557B"/>
    <w:rsid w:val="00785B45"/>
    <w:rsid w:val="007862F8"/>
    <w:rsid w:val="007866A1"/>
    <w:rsid w:val="00787C9C"/>
    <w:rsid w:val="007900F4"/>
    <w:rsid w:val="007908C7"/>
    <w:rsid w:val="00791030"/>
    <w:rsid w:val="0079111D"/>
    <w:rsid w:val="007911D7"/>
    <w:rsid w:val="007912C7"/>
    <w:rsid w:val="007914CE"/>
    <w:rsid w:val="0079159A"/>
    <w:rsid w:val="007920FD"/>
    <w:rsid w:val="00792674"/>
    <w:rsid w:val="007926B2"/>
    <w:rsid w:val="007929FB"/>
    <w:rsid w:val="00792C78"/>
    <w:rsid w:val="00792F5D"/>
    <w:rsid w:val="0079333E"/>
    <w:rsid w:val="00794526"/>
    <w:rsid w:val="00794A7F"/>
    <w:rsid w:val="00794C19"/>
    <w:rsid w:val="007953AD"/>
    <w:rsid w:val="00795D60"/>
    <w:rsid w:val="00796513"/>
    <w:rsid w:val="00796FF2"/>
    <w:rsid w:val="00797384"/>
    <w:rsid w:val="00797447"/>
    <w:rsid w:val="007978E0"/>
    <w:rsid w:val="00797DA6"/>
    <w:rsid w:val="007A06EF"/>
    <w:rsid w:val="007A0B8F"/>
    <w:rsid w:val="007A177E"/>
    <w:rsid w:val="007A1A1D"/>
    <w:rsid w:val="007A2051"/>
    <w:rsid w:val="007A215A"/>
    <w:rsid w:val="007A3100"/>
    <w:rsid w:val="007A319E"/>
    <w:rsid w:val="007A372A"/>
    <w:rsid w:val="007A3E7E"/>
    <w:rsid w:val="007A4A4D"/>
    <w:rsid w:val="007A58B4"/>
    <w:rsid w:val="007A5903"/>
    <w:rsid w:val="007A59DE"/>
    <w:rsid w:val="007A5E69"/>
    <w:rsid w:val="007A5F41"/>
    <w:rsid w:val="007A630D"/>
    <w:rsid w:val="007A7176"/>
    <w:rsid w:val="007A7980"/>
    <w:rsid w:val="007A7B2A"/>
    <w:rsid w:val="007A7B7D"/>
    <w:rsid w:val="007A7D2F"/>
    <w:rsid w:val="007B063A"/>
    <w:rsid w:val="007B07D0"/>
    <w:rsid w:val="007B0912"/>
    <w:rsid w:val="007B0992"/>
    <w:rsid w:val="007B0C32"/>
    <w:rsid w:val="007B0E32"/>
    <w:rsid w:val="007B0E41"/>
    <w:rsid w:val="007B2085"/>
    <w:rsid w:val="007B2372"/>
    <w:rsid w:val="007B256B"/>
    <w:rsid w:val="007B3036"/>
    <w:rsid w:val="007B30AA"/>
    <w:rsid w:val="007B31C0"/>
    <w:rsid w:val="007B3394"/>
    <w:rsid w:val="007B3909"/>
    <w:rsid w:val="007B39E4"/>
    <w:rsid w:val="007B3A10"/>
    <w:rsid w:val="007B4356"/>
    <w:rsid w:val="007B4670"/>
    <w:rsid w:val="007B4B5F"/>
    <w:rsid w:val="007B539C"/>
    <w:rsid w:val="007B58EB"/>
    <w:rsid w:val="007B5FAD"/>
    <w:rsid w:val="007B641C"/>
    <w:rsid w:val="007B64C5"/>
    <w:rsid w:val="007B64F2"/>
    <w:rsid w:val="007B6D37"/>
    <w:rsid w:val="007B6F67"/>
    <w:rsid w:val="007B721C"/>
    <w:rsid w:val="007B75FF"/>
    <w:rsid w:val="007B7B38"/>
    <w:rsid w:val="007B7E50"/>
    <w:rsid w:val="007B7E5A"/>
    <w:rsid w:val="007B7EF3"/>
    <w:rsid w:val="007B7FE0"/>
    <w:rsid w:val="007C02FB"/>
    <w:rsid w:val="007C05B8"/>
    <w:rsid w:val="007C0CE4"/>
    <w:rsid w:val="007C135A"/>
    <w:rsid w:val="007C1BA2"/>
    <w:rsid w:val="007C1D0A"/>
    <w:rsid w:val="007C1F49"/>
    <w:rsid w:val="007C21F8"/>
    <w:rsid w:val="007C2244"/>
    <w:rsid w:val="007C2251"/>
    <w:rsid w:val="007C2286"/>
    <w:rsid w:val="007C22F4"/>
    <w:rsid w:val="007C24AB"/>
    <w:rsid w:val="007C2816"/>
    <w:rsid w:val="007C2C1F"/>
    <w:rsid w:val="007C2DA9"/>
    <w:rsid w:val="007C36CB"/>
    <w:rsid w:val="007C3F3D"/>
    <w:rsid w:val="007C3F82"/>
    <w:rsid w:val="007C3F92"/>
    <w:rsid w:val="007C423C"/>
    <w:rsid w:val="007C4E15"/>
    <w:rsid w:val="007C53BF"/>
    <w:rsid w:val="007C587E"/>
    <w:rsid w:val="007C6E6A"/>
    <w:rsid w:val="007C7655"/>
    <w:rsid w:val="007C7678"/>
    <w:rsid w:val="007D061C"/>
    <w:rsid w:val="007D0761"/>
    <w:rsid w:val="007D0887"/>
    <w:rsid w:val="007D08ED"/>
    <w:rsid w:val="007D0945"/>
    <w:rsid w:val="007D0FC8"/>
    <w:rsid w:val="007D140E"/>
    <w:rsid w:val="007D1724"/>
    <w:rsid w:val="007D1DC2"/>
    <w:rsid w:val="007D2535"/>
    <w:rsid w:val="007D29AD"/>
    <w:rsid w:val="007D2C03"/>
    <w:rsid w:val="007D2DFC"/>
    <w:rsid w:val="007D374C"/>
    <w:rsid w:val="007D4539"/>
    <w:rsid w:val="007D47CD"/>
    <w:rsid w:val="007D485F"/>
    <w:rsid w:val="007D4997"/>
    <w:rsid w:val="007D4BCE"/>
    <w:rsid w:val="007D4C75"/>
    <w:rsid w:val="007D55F9"/>
    <w:rsid w:val="007D5B5C"/>
    <w:rsid w:val="007D62DA"/>
    <w:rsid w:val="007D632A"/>
    <w:rsid w:val="007D64FC"/>
    <w:rsid w:val="007D6778"/>
    <w:rsid w:val="007D6E05"/>
    <w:rsid w:val="007D7228"/>
    <w:rsid w:val="007D759A"/>
    <w:rsid w:val="007D7881"/>
    <w:rsid w:val="007D79CA"/>
    <w:rsid w:val="007D7AA3"/>
    <w:rsid w:val="007E044F"/>
    <w:rsid w:val="007E0A32"/>
    <w:rsid w:val="007E11F8"/>
    <w:rsid w:val="007E1453"/>
    <w:rsid w:val="007E1681"/>
    <w:rsid w:val="007E1B4F"/>
    <w:rsid w:val="007E1D08"/>
    <w:rsid w:val="007E1E3D"/>
    <w:rsid w:val="007E1E67"/>
    <w:rsid w:val="007E1E79"/>
    <w:rsid w:val="007E1FD9"/>
    <w:rsid w:val="007E2165"/>
    <w:rsid w:val="007E23B9"/>
    <w:rsid w:val="007E2B4C"/>
    <w:rsid w:val="007E31FE"/>
    <w:rsid w:val="007E3270"/>
    <w:rsid w:val="007E32A0"/>
    <w:rsid w:val="007E34F4"/>
    <w:rsid w:val="007E3B9B"/>
    <w:rsid w:val="007E3C79"/>
    <w:rsid w:val="007E3DE4"/>
    <w:rsid w:val="007E46B1"/>
    <w:rsid w:val="007E49D9"/>
    <w:rsid w:val="007E4B6B"/>
    <w:rsid w:val="007E4D53"/>
    <w:rsid w:val="007E4E89"/>
    <w:rsid w:val="007E50BB"/>
    <w:rsid w:val="007E51A5"/>
    <w:rsid w:val="007E544C"/>
    <w:rsid w:val="007E551E"/>
    <w:rsid w:val="007E57D0"/>
    <w:rsid w:val="007E5A24"/>
    <w:rsid w:val="007E5C8C"/>
    <w:rsid w:val="007E61B1"/>
    <w:rsid w:val="007E6250"/>
    <w:rsid w:val="007E7527"/>
    <w:rsid w:val="007E7EDC"/>
    <w:rsid w:val="007F01A4"/>
    <w:rsid w:val="007F0B05"/>
    <w:rsid w:val="007F0B0F"/>
    <w:rsid w:val="007F10CA"/>
    <w:rsid w:val="007F10E7"/>
    <w:rsid w:val="007F14BA"/>
    <w:rsid w:val="007F16E9"/>
    <w:rsid w:val="007F1E04"/>
    <w:rsid w:val="007F2455"/>
    <w:rsid w:val="007F30EB"/>
    <w:rsid w:val="007F3452"/>
    <w:rsid w:val="007F3568"/>
    <w:rsid w:val="007F4070"/>
    <w:rsid w:val="007F4325"/>
    <w:rsid w:val="007F4526"/>
    <w:rsid w:val="007F4580"/>
    <w:rsid w:val="007F4E0A"/>
    <w:rsid w:val="007F4EEB"/>
    <w:rsid w:val="007F52E7"/>
    <w:rsid w:val="007F533B"/>
    <w:rsid w:val="007F56B7"/>
    <w:rsid w:val="007F5905"/>
    <w:rsid w:val="007F5B7C"/>
    <w:rsid w:val="007F5C16"/>
    <w:rsid w:val="007F6064"/>
    <w:rsid w:val="007F60E6"/>
    <w:rsid w:val="007F6415"/>
    <w:rsid w:val="007F65E7"/>
    <w:rsid w:val="007F684D"/>
    <w:rsid w:val="007F68BA"/>
    <w:rsid w:val="007F6E71"/>
    <w:rsid w:val="007F6F90"/>
    <w:rsid w:val="007F6FF0"/>
    <w:rsid w:val="007F73FB"/>
    <w:rsid w:val="007F7A5B"/>
    <w:rsid w:val="007F7BA7"/>
    <w:rsid w:val="00800076"/>
    <w:rsid w:val="0080055F"/>
    <w:rsid w:val="00800C29"/>
    <w:rsid w:val="00800C55"/>
    <w:rsid w:val="00800D9C"/>
    <w:rsid w:val="008013CA"/>
    <w:rsid w:val="00801441"/>
    <w:rsid w:val="0080171A"/>
    <w:rsid w:val="00801951"/>
    <w:rsid w:val="00801B9C"/>
    <w:rsid w:val="00801E7F"/>
    <w:rsid w:val="00802387"/>
    <w:rsid w:val="0080279C"/>
    <w:rsid w:val="008036D7"/>
    <w:rsid w:val="008036E9"/>
    <w:rsid w:val="0080499A"/>
    <w:rsid w:val="00805129"/>
    <w:rsid w:val="00805308"/>
    <w:rsid w:val="00805676"/>
    <w:rsid w:val="00806145"/>
    <w:rsid w:val="008061BB"/>
    <w:rsid w:val="00806282"/>
    <w:rsid w:val="0080689E"/>
    <w:rsid w:val="00806C5F"/>
    <w:rsid w:val="00806F32"/>
    <w:rsid w:val="00807182"/>
    <w:rsid w:val="008077DC"/>
    <w:rsid w:val="0081027A"/>
    <w:rsid w:val="008103F9"/>
    <w:rsid w:val="008114A2"/>
    <w:rsid w:val="008127F8"/>
    <w:rsid w:val="00812ADA"/>
    <w:rsid w:val="00812F1D"/>
    <w:rsid w:val="0081316C"/>
    <w:rsid w:val="0081318D"/>
    <w:rsid w:val="008134E7"/>
    <w:rsid w:val="00814022"/>
    <w:rsid w:val="0081414D"/>
    <w:rsid w:val="0081414E"/>
    <w:rsid w:val="008144D6"/>
    <w:rsid w:val="00814790"/>
    <w:rsid w:val="008153E8"/>
    <w:rsid w:val="0081595A"/>
    <w:rsid w:val="00815985"/>
    <w:rsid w:val="00815A3D"/>
    <w:rsid w:val="00815B12"/>
    <w:rsid w:val="00815F1B"/>
    <w:rsid w:val="008165DB"/>
    <w:rsid w:val="00816F42"/>
    <w:rsid w:val="0081764F"/>
    <w:rsid w:val="00817993"/>
    <w:rsid w:val="00817ADF"/>
    <w:rsid w:val="00820619"/>
    <w:rsid w:val="00820746"/>
    <w:rsid w:val="00820AF2"/>
    <w:rsid w:val="0082121B"/>
    <w:rsid w:val="0082133A"/>
    <w:rsid w:val="008213E4"/>
    <w:rsid w:val="00821EF3"/>
    <w:rsid w:val="00821F72"/>
    <w:rsid w:val="00822099"/>
    <w:rsid w:val="0082219E"/>
    <w:rsid w:val="00822D8D"/>
    <w:rsid w:val="00823171"/>
    <w:rsid w:val="00823417"/>
    <w:rsid w:val="008236BA"/>
    <w:rsid w:val="00823DBB"/>
    <w:rsid w:val="0082425F"/>
    <w:rsid w:val="00824674"/>
    <w:rsid w:val="00824ADB"/>
    <w:rsid w:val="00825D9E"/>
    <w:rsid w:val="008273CB"/>
    <w:rsid w:val="00827612"/>
    <w:rsid w:val="00827F5D"/>
    <w:rsid w:val="00830594"/>
    <w:rsid w:val="008308CE"/>
    <w:rsid w:val="00831015"/>
    <w:rsid w:val="0083175D"/>
    <w:rsid w:val="0083195C"/>
    <w:rsid w:val="00831A68"/>
    <w:rsid w:val="00831E06"/>
    <w:rsid w:val="00831F7D"/>
    <w:rsid w:val="00831F8B"/>
    <w:rsid w:val="00832143"/>
    <w:rsid w:val="00832370"/>
    <w:rsid w:val="00832736"/>
    <w:rsid w:val="00832A5D"/>
    <w:rsid w:val="00832FAA"/>
    <w:rsid w:val="00832FD0"/>
    <w:rsid w:val="008334BA"/>
    <w:rsid w:val="00833EFE"/>
    <w:rsid w:val="008344C5"/>
    <w:rsid w:val="00834CFF"/>
    <w:rsid w:val="00834D28"/>
    <w:rsid w:val="00834DE8"/>
    <w:rsid w:val="00834E19"/>
    <w:rsid w:val="00834F24"/>
    <w:rsid w:val="00835551"/>
    <w:rsid w:val="0083556B"/>
    <w:rsid w:val="00835783"/>
    <w:rsid w:val="00835E5C"/>
    <w:rsid w:val="008367A5"/>
    <w:rsid w:val="008369CD"/>
    <w:rsid w:val="00837413"/>
    <w:rsid w:val="008400CD"/>
    <w:rsid w:val="0084053A"/>
    <w:rsid w:val="0084056C"/>
    <w:rsid w:val="00840EB9"/>
    <w:rsid w:val="00840F84"/>
    <w:rsid w:val="00841228"/>
    <w:rsid w:val="0084145F"/>
    <w:rsid w:val="00841552"/>
    <w:rsid w:val="00841815"/>
    <w:rsid w:val="00841823"/>
    <w:rsid w:val="0084195A"/>
    <w:rsid w:val="00842398"/>
    <w:rsid w:val="008423D9"/>
    <w:rsid w:val="008424EE"/>
    <w:rsid w:val="00842730"/>
    <w:rsid w:val="00842E99"/>
    <w:rsid w:val="008430A7"/>
    <w:rsid w:val="00844A29"/>
    <w:rsid w:val="00844A7D"/>
    <w:rsid w:val="00844D61"/>
    <w:rsid w:val="008465EA"/>
    <w:rsid w:val="0084660E"/>
    <w:rsid w:val="00846661"/>
    <w:rsid w:val="008468E3"/>
    <w:rsid w:val="00846BFC"/>
    <w:rsid w:val="0084731A"/>
    <w:rsid w:val="00847517"/>
    <w:rsid w:val="008475D6"/>
    <w:rsid w:val="00847807"/>
    <w:rsid w:val="00847922"/>
    <w:rsid w:val="00847FE6"/>
    <w:rsid w:val="00850D5E"/>
    <w:rsid w:val="008519A6"/>
    <w:rsid w:val="00851B9B"/>
    <w:rsid w:val="00851BEA"/>
    <w:rsid w:val="00851F7F"/>
    <w:rsid w:val="0085264C"/>
    <w:rsid w:val="0085279E"/>
    <w:rsid w:val="0085291F"/>
    <w:rsid w:val="00852BEC"/>
    <w:rsid w:val="00852C48"/>
    <w:rsid w:val="00852E32"/>
    <w:rsid w:val="0085326B"/>
    <w:rsid w:val="008538FF"/>
    <w:rsid w:val="00853A85"/>
    <w:rsid w:val="00853F58"/>
    <w:rsid w:val="0085414E"/>
    <w:rsid w:val="00854AC4"/>
    <w:rsid w:val="00855382"/>
    <w:rsid w:val="008553D6"/>
    <w:rsid w:val="00855450"/>
    <w:rsid w:val="00855576"/>
    <w:rsid w:val="0085559F"/>
    <w:rsid w:val="008566A9"/>
    <w:rsid w:val="00856A72"/>
    <w:rsid w:val="00856B8E"/>
    <w:rsid w:val="00857540"/>
    <w:rsid w:val="008579D3"/>
    <w:rsid w:val="00857C48"/>
    <w:rsid w:val="00860206"/>
    <w:rsid w:val="00860535"/>
    <w:rsid w:val="00860881"/>
    <w:rsid w:val="00860BA8"/>
    <w:rsid w:val="00860DF9"/>
    <w:rsid w:val="00860E6C"/>
    <w:rsid w:val="00860E7B"/>
    <w:rsid w:val="008611ED"/>
    <w:rsid w:val="0086155F"/>
    <w:rsid w:val="00861859"/>
    <w:rsid w:val="00861AC7"/>
    <w:rsid w:val="00861FCE"/>
    <w:rsid w:val="0086207B"/>
    <w:rsid w:val="0086277F"/>
    <w:rsid w:val="0086280B"/>
    <w:rsid w:val="00862C5F"/>
    <w:rsid w:val="00862D7D"/>
    <w:rsid w:val="00863057"/>
    <w:rsid w:val="008633BA"/>
    <w:rsid w:val="008633E4"/>
    <w:rsid w:val="008635BA"/>
    <w:rsid w:val="008635DC"/>
    <w:rsid w:val="00863BE6"/>
    <w:rsid w:val="008641AD"/>
    <w:rsid w:val="008644D0"/>
    <w:rsid w:val="00864881"/>
    <w:rsid w:val="00864945"/>
    <w:rsid w:val="00864992"/>
    <w:rsid w:val="00864A86"/>
    <w:rsid w:val="00864E40"/>
    <w:rsid w:val="00864E9F"/>
    <w:rsid w:val="008651D4"/>
    <w:rsid w:val="00865CAB"/>
    <w:rsid w:val="008662BD"/>
    <w:rsid w:val="00866345"/>
    <w:rsid w:val="00866823"/>
    <w:rsid w:val="00866B8D"/>
    <w:rsid w:val="00866EAE"/>
    <w:rsid w:val="00867045"/>
    <w:rsid w:val="008670EA"/>
    <w:rsid w:val="00867376"/>
    <w:rsid w:val="008674AC"/>
    <w:rsid w:val="00867579"/>
    <w:rsid w:val="0086759A"/>
    <w:rsid w:val="00867907"/>
    <w:rsid w:val="00867E9C"/>
    <w:rsid w:val="008703E3"/>
    <w:rsid w:val="00870894"/>
    <w:rsid w:val="00870981"/>
    <w:rsid w:val="00870AB1"/>
    <w:rsid w:val="008716F3"/>
    <w:rsid w:val="00871980"/>
    <w:rsid w:val="00871AC7"/>
    <w:rsid w:val="00871CEA"/>
    <w:rsid w:val="00872127"/>
    <w:rsid w:val="00872398"/>
    <w:rsid w:val="00872697"/>
    <w:rsid w:val="0087346B"/>
    <w:rsid w:val="00873496"/>
    <w:rsid w:val="0087372A"/>
    <w:rsid w:val="008739CB"/>
    <w:rsid w:val="00873A5D"/>
    <w:rsid w:val="00873CF7"/>
    <w:rsid w:val="00873E76"/>
    <w:rsid w:val="00874078"/>
    <w:rsid w:val="0087432F"/>
    <w:rsid w:val="00874CD1"/>
    <w:rsid w:val="00875260"/>
    <w:rsid w:val="0087580D"/>
    <w:rsid w:val="008758CB"/>
    <w:rsid w:val="00875FE0"/>
    <w:rsid w:val="008764B6"/>
    <w:rsid w:val="0087680E"/>
    <w:rsid w:val="00876B25"/>
    <w:rsid w:val="00876E2D"/>
    <w:rsid w:val="0087708E"/>
    <w:rsid w:val="008777C2"/>
    <w:rsid w:val="00877C4E"/>
    <w:rsid w:val="00877F08"/>
    <w:rsid w:val="008803FD"/>
    <w:rsid w:val="008807CC"/>
    <w:rsid w:val="008809B7"/>
    <w:rsid w:val="00880A7A"/>
    <w:rsid w:val="00880DAE"/>
    <w:rsid w:val="00881581"/>
    <w:rsid w:val="00881CC1"/>
    <w:rsid w:val="00881D49"/>
    <w:rsid w:val="008820C9"/>
    <w:rsid w:val="008824AB"/>
    <w:rsid w:val="0088268E"/>
    <w:rsid w:val="00882D1A"/>
    <w:rsid w:val="00882FF8"/>
    <w:rsid w:val="00883041"/>
    <w:rsid w:val="00883153"/>
    <w:rsid w:val="008832C9"/>
    <w:rsid w:val="00883573"/>
    <w:rsid w:val="008835D4"/>
    <w:rsid w:val="00883BBC"/>
    <w:rsid w:val="008845C9"/>
    <w:rsid w:val="0088499E"/>
    <w:rsid w:val="00884ED2"/>
    <w:rsid w:val="00885369"/>
    <w:rsid w:val="00885FF8"/>
    <w:rsid w:val="0088698A"/>
    <w:rsid w:val="00886E4B"/>
    <w:rsid w:val="008873F2"/>
    <w:rsid w:val="0088751F"/>
    <w:rsid w:val="00887921"/>
    <w:rsid w:val="0088797B"/>
    <w:rsid w:val="0089049E"/>
    <w:rsid w:val="00890754"/>
    <w:rsid w:val="00890792"/>
    <w:rsid w:val="008908E7"/>
    <w:rsid w:val="00890A09"/>
    <w:rsid w:val="00890BE8"/>
    <w:rsid w:val="00890D9A"/>
    <w:rsid w:val="00891382"/>
    <w:rsid w:val="0089188A"/>
    <w:rsid w:val="00891E3B"/>
    <w:rsid w:val="00891EAC"/>
    <w:rsid w:val="0089243E"/>
    <w:rsid w:val="008926A9"/>
    <w:rsid w:val="00892B3F"/>
    <w:rsid w:val="00892C43"/>
    <w:rsid w:val="00893243"/>
    <w:rsid w:val="0089370D"/>
    <w:rsid w:val="008939DB"/>
    <w:rsid w:val="00893C8D"/>
    <w:rsid w:val="0089456C"/>
    <w:rsid w:val="0089481B"/>
    <w:rsid w:val="00894DDF"/>
    <w:rsid w:val="00894F9A"/>
    <w:rsid w:val="008964ED"/>
    <w:rsid w:val="00896824"/>
    <w:rsid w:val="008973CE"/>
    <w:rsid w:val="008973E6"/>
    <w:rsid w:val="00897682"/>
    <w:rsid w:val="008A01F1"/>
    <w:rsid w:val="008A0463"/>
    <w:rsid w:val="008A0B6F"/>
    <w:rsid w:val="008A182A"/>
    <w:rsid w:val="008A1D2F"/>
    <w:rsid w:val="008A2156"/>
    <w:rsid w:val="008A23FB"/>
    <w:rsid w:val="008A2837"/>
    <w:rsid w:val="008A3071"/>
    <w:rsid w:val="008A3274"/>
    <w:rsid w:val="008A342B"/>
    <w:rsid w:val="008A34F0"/>
    <w:rsid w:val="008A35AA"/>
    <w:rsid w:val="008A3C7F"/>
    <w:rsid w:val="008A4B4B"/>
    <w:rsid w:val="008A4BDF"/>
    <w:rsid w:val="008A4D38"/>
    <w:rsid w:val="008A4DAA"/>
    <w:rsid w:val="008A5171"/>
    <w:rsid w:val="008A6392"/>
    <w:rsid w:val="008A697F"/>
    <w:rsid w:val="008A6D3C"/>
    <w:rsid w:val="008A6DAA"/>
    <w:rsid w:val="008A6E8C"/>
    <w:rsid w:val="008A7852"/>
    <w:rsid w:val="008A7F4E"/>
    <w:rsid w:val="008B002C"/>
    <w:rsid w:val="008B0951"/>
    <w:rsid w:val="008B104B"/>
    <w:rsid w:val="008B1727"/>
    <w:rsid w:val="008B1737"/>
    <w:rsid w:val="008B1A7A"/>
    <w:rsid w:val="008B1C9A"/>
    <w:rsid w:val="008B1FB8"/>
    <w:rsid w:val="008B29D9"/>
    <w:rsid w:val="008B2F00"/>
    <w:rsid w:val="008B30A4"/>
    <w:rsid w:val="008B332E"/>
    <w:rsid w:val="008B3334"/>
    <w:rsid w:val="008B3371"/>
    <w:rsid w:val="008B3687"/>
    <w:rsid w:val="008B3D9A"/>
    <w:rsid w:val="008B3F3E"/>
    <w:rsid w:val="008B4035"/>
    <w:rsid w:val="008B501C"/>
    <w:rsid w:val="008B5589"/>
    <w:rsid w:val="008B5E49"/>
    <w:rsid w:val="008B5FF7"/>
    <w:rsid w:val="008B6384"/>
    <w:rsid w:val="008B6529"/>
    <w:rsid w:val="008B7556"/>
    <w:rsid w:val="008B79AA"/>
    <w:rsid w:val="008B7B75"/>
    <w:rsid w:val="008C01F3"/>
    <w:rsid w:val="008C0212"/>
    <w:rsid w:val="008C04CE"/>
    <w:rsid w:val="008C0884"/>
    <w:rsid w:val="008C11F3"/>
    <w:rsid w:val="008C13CD"/>
    <w:rsid w:val="008C1451"/>
    <w:rsid w:val="008C1FF3"/>
    <w:rsid w:val="008C2088"/>
    <w:rsid w:val="008C230D"/>
    <w:rsid w:val="008C2588"/>
    <w:rsid w:val="008C28FC"/>
    <w:rsid w:val="008C2984"/>
    <w:rsid w:val="008C2C7F"/>
    <w:rsid w:val="008C2FC3"/>
    <w:rsid w:val="008C4546"/>
    <w:rsid w:val="008C454E"/>
    <w:rsid w:val="008C55B9"/>
    <w:rsid w:val="008C5EA6"/>
    <w:rsid w:val="008C5F33"/>
    <w:rsid w:val="008C6A0D"/>
    <w:rsid w:val="008C6AF8"/>
    <w:rsid w:val="008C6FF2"/>
    <w:rsid w:val="008C733E"/>
    <w:rsid w:val="008C796C"/>
    <w:rsid w:val="008C7CE3"/>
    <w:rsid w:val="008D0638"/>
    <w:rsid w:val="008D07B7"/>
    <w:rsid w:val="008D1296"/>
    <w:rsid w:val="008D1A7E"/>
    <w:rsid w:val="008D1B47"/>
    <w:rsid w:val="008D1BF0"/>
    <w:rsid w:val="008D24C3"/>
    <w:rsid w:val="008D26C1"/>
    <w:rsid w:val="008D2B02"/>
    <w:rsid w:val="008D2EC0"/>
    <w:rsid w:val="008D2EC1"/>
    <w:rsid w:val="008D358E"/>
    <w:rsid w:val="008D3705"/>
    <w:rsid w:val="008D3F51"/>
    <w:rsid w:val="008D469E"/>
    <w:rsid w:val="008D480D"/>
    <w:rsid w:val="008D4A5E"/>
    <w:rsid w:val="008D550B"/>
    <w:rsid w:val="008D58A7"/>
    <w:rsid w:val="008D5C18"/>
    <w:rsid w:val="008D67BA"/>
    <w:rsid w:val="008D6843"/>
    <w:rsid w:val="008D6A4F"/>
    <w:rsid w:val="008D70C8"/>
    <w:rsid w:val="008D7252"/>
    <w:rsid w:val="008D75C5"/>
    <w:rsid w:val="008D7CBD"/>
    <w:rsid w:val="008E072B"/>
    <w:rsid w:val="008E166F"/>
    <w:rsid w:val="008E1B16"/>
    <w:rsid w:val="008E2801"/>
    <w:rsid w:val="008E28C5"/>
    <w:rsid w:val="008E34B8"/>
    <w:rsid w:val="008E3BC4"/>
    <w:rsid w:val="008E4502"/>
    <w:rsid w:val="008E4A33"/>
    <w:rsid w:val="008E4D70"/>
    <w:rsid w:val="008E56A8"/>
    <w:rsid w:val="008E56D3"/>
    <w:rsid w:val="008E5DBE"/>
    <w:rsid w:val="008E5E16"/>
    <w:rsid w:val="008E5EDC"/>
    <w:rsid w:val="008E5FE1"/>
    <w:rsid w:val="008E6082"/>
    <w:rsid w:val="008E6255"/>
    <w:rsid w:val="008E633C"/>
    <w:rsid w:val="008E65E2"/>
    <w:rsid w:val="008E66C3"/>
    <w:rsid w:val="008E6859"/>
    <w:rsid w:val="008E6A4E"/>
    <w:rsid w:val="008E6C2E"/>
    <w:rsid w:val="008E6CF5"/>
    <w:rsid w:val="008E6FC5"/>
    <w:rsid w:val="008E79B0"/>
    <w:rsid w:val="008E7BEE"/>
    <w:rsid w:val="008E7FF7"/>
    <w:rsid w:val="008F02DD"/>
    <w:rsid w:val="008F09A9"/>
    <w:rsid w:val="008F0D2C"/>
    <w:rsid w:val="008F0EA2"/>
    <w:rsid w:val="008F1371"/>
    <w:rsid w:val="008F1ED3"/>
    <w:rsid w:val="008F2202"/>
    <w:rsid w:val="008F2398"/>
    <w:rsid w:val="008F2495"/>
    <w:rsid w:val="008F27FF"/>
    <w:rsid w:val="008F29BE"/>
    <w:rsid w:val="008F2F15"/>
    <w:rsid w:val="008F330C"/>
    <w:rsid w:val="008F332C"/>
    <w:rsid w:val="008F3554"/>
    <w:rsid w:val="008F3828"/>
    <w:rsid w:val="008F43EB"/>
    <w:rsid w:val="008F48FC"/>
    <w:rsid w:val="008F49EE"/>
    <w:rsid w:val="008F503F"/>
    <w:rsid w:val="008F5087"/>
    <w:rsid w:val="008F50F0"/>
    <w:rsid w:val="008F5C50"/>
    <w:rsid w:val="008F605F"/>
    <w:rsid w:val="008F6117"/>
    <w:rsid w:val="008F65D7"/>
    <w:rsid w:val="008F6CDA"/>
    <w:rsid w:val="008F7515"/>
    <w:rsid w:val="008F76A1"/>
    <w:rsid w:val="008F7AD5"/>
    <w:rsid w:val="008F7B2A"/>
    <w:rsid w:val="008F7E25"/>
    <w:rsid w:val="008F7EFF"/>
    <w:rsid w:val="008F7F20"/>
    <w:rsid w:val="00900570"/>
    <w:rsid w:val="00900846"/>
    <w:rsid w:val="00900EE8"/>
    <w:rsid w:val="00900F8E"/>
    <w:rsid w:val="00901CFD"/>
    <w:rsid w:val="00901E24"/>
    <w:rsid w:val="00902726"/>
    <w:rsid w:val="0090304B"/>
    <w:rsid w:val="00903A85"/>
    <w:rsid w:val="00904337"/>
    <w:rsid w:val="0090491B"/>
    <w:rsid w:val="00904ABD"/>
    <w:rsid w:val="00904C6C"/>
    <w:rsid w:val="00904DB6"/>
    <w:rsid w:val="009050FC"/>
    <w:rsid w:val="009057D6"/>
    <w:rsid w:val="00905D80"/>
    <w:rsid w:val="00906297"/>
    <w:rsid w:val="009063A8"/>
    <w:rsid w:val="00906547"/>
    <w:rsid w:val="00906AB8"/>
    <w:rsid w:val="00906CC1"/>
    <w:rsid w:val="00906FB2"/>
    <w:rsid w:val="009077C4"/>
    <w:rsid w:val="00907A59"/>
    <w:rsid w:val="00907DEB"/>
    <w:rsid w:val="00910436"/>
    <w:rsid w:val="0091178A"/>
    <w:rsid w:val="009121C0"/>
    <w:rsid w:val="0091286B"/>
    <w:rsid w:val="00912A00"/>
    <w:rsid w:val="00912CCC"/>
    <w:rsid w:val="009130F2"/>
    <w:rsid w:val="0091315F"/>
    <w:rsid w:val="00913D13"/>
    <w:rsid w:val="009145F1"/>
    <w:rsid w:val="00914FA3"/>
    <w:rsid w:val="009151BB"/>
    <w:rsid w:val="00915996"/>
    <w:rsid w:val="00915F86"/>
    <w:rsid w:val="00916360"/>
    <w:rsid w:val="009164F0"/>
    <w:rsid w:val="00916BE0"/>
    <w:rsid w:val="00916C35"/>
    <w:rsid w:val="00916E13"/>
    <w:rsid w:val="009170BE"/>
    <w:rsid w:val="00917958"/>
    <w:rsid w:val="00920058"/>
    <w:rsid w:val="00920703"/>
    <w:rsid w:val="00920879"/>
    <w:rsid w:val="00920B43"/>
    <w:rsid w:val="00920D36"/>
    <w:rsid w:val="00921BB6"/>
    <w:rsid w:val="0092293F"/>
    <w:rsid w:val="0092354B"/>
    <w:rsid w:val="00923AEF"/>
    <w:rsid w:val="00923EF5"/>
    <w:rsid w:val="009245EB"/>
    <w:rsid w:val="009249CD"/>
    <w:rsid w:val="00925371"/>
    <w:rsid w:val="00925AAD"/>
    <w:rsid w:val="00926028"/>
    <w:rsid w:val="00926320"/>
    <w:rsid w:val="009264BD"/>
    <w:rsid w:val="00927008"/>
    <w:rsid w:val="00927039"/>
    <w:rsid w:val="009275A7"/>
    <w:rsid w:val="009277D9"/>
    <w:rsid w:val="00927805"/>
    <w:rsid w:val="009279D6"/>
    <w:rsid w:val="00927C86"/>
    <w:rsid w:val="00927EF3"/>
    <w:rsid w:val="0093053D"/>
    <w:rsid w:val="00930C2A"/>
    <w:rsid w:val="00930CED"/>
    <w:rsid w:val="00931E26"/>
    <w:rsid w:val="00932B61"/>
    <w:rsid w:val="00932E50"/>
    <w:rsid w:val="00933363"/>
    <w:rsid w:val="00933604"/>
    <w:rsid w:val="00933739"/>
    <w:rsid w:val="00933DA5"/>
    <w:rsid w:val="00933F83"/>
    <w:rsid w:val="00934185"/>
    <w:rsid w:val="00934A4B"/>
    <w:rsid w:val="009355CC"/>
    <w:rsid w:val="00935605"/>
    <w:rsid w:val="00935718"/>
    <w:rsid w:val="009364A2"/>
    <w:rsid w:val="00936787"/>
    <w:rsid w:val="00936E79"/>
    <w:rsid w:val="0094062E"/>
    <w:rsid w:val="009406A4"/>
    <w:rsid w:val="009415DC"/>
    <w:rsid w:val="0094171A"/>
    <w:rsid w:val="00941884"/>
    <w:rsid w:val="00942040"/>
    <w:rsid w:val="009423D2"/>
    <w:rsid w:val="009424EF"/>
    <w:rsid w:val="00942CD9"/>
    <w:rsid w:val="00942FAC"/>
    <w:rsid w:val="00943ACF"/>
    <w:rsid w:val="00943B77"/>
    <w:rsid w:val="009441AB"/>
    <w:rsid w:val="0094435C"/>
    <w:rsid w:val="0094467E"/>
    <w:rsid w:val="009449C6"/>
    <w:rsid w:val="009450B2"/>
    <w:rsid w:val="00945234"/>
    <w:rsid w:val="009455B7"/>
    <w:rsid w:val="0094615B"/>
    <w:rsid w:val="00946378"/>
    <w:rsid w:val="009463B2"/>
    <w:rsid w:val="00946CF2"/>
    <w:rsid w:val="00946D0C"/>
    <w:rsid w:val="00946FDA"/>
    <w:rsid w:val="00947368"/>
    <w:rsid w:val="00947F86"/>
    <w:rsid w:val="00951287"/>
    <w:rsid w:val="009514C2"/>
    <w:rsid w:val="009517F5"/>
    <w:rsid w:val="00951BDA"/>
    <w:rsid w:val="00952791"/>
    <w:rsid w:val="009528C8"/>
    <w:rsid w:val="009529F5"/>
    <w:rsid w:val="00952EAD"/>
    <w:rsid w:val="009535EB"/>
    <w:rsid w:val="00953F03"/>
    <w:rsid w:val="0095485E"/>
    <w:rsid w:val="00954891"/>
    <w:rsid w:val="00954ADC"/>
    <w:rsid w:val="00954C16"/>
    <w:rsid w:val="00954F3B"/>
    <w:rsid w:val="009552EF"/>
    <w:rsid w:val="009557B7"/>
    <w:rsid w:val="00956079"/>
    <w:rsid w:val="00956081"/>
    <w:rsid w:val="0095632C"/>
    <w:rsid w:val="009569CB"/>
    <w:rsid w:val="00957939"/>
    <w:rsid w:val="00957BDE"/>
    <w:rsid w:val="00960192"/>
    <w:rsid w:val="0096064A"/>
    <w:rsid w:val="00960B01"/>
    <w:rsid w:val="00960D99"/>
    <w:rsid w:val="0096157A"/>
    <w:rsid w:val="00961742"/>
    <w:rsid w:val="0096190A"/>
    <w:rsid w:val="00961BB6"/>
    <w:rsid w:val="009621F6"/>
    <w:rsid w:val="00962B2C"/>
    <w:rsid w:val="0096362F"/>
    <w:rsid w:val="009637C9"/>
    <w:rsid w:val="00963862"/>
    <w:rsid w:val="00963AB5"/>
    <w:rsid w:val="00963AF6"/>
    <w:rsid w:val="00963B26"/>
    <w:rsid w:val="00963C15"/>
    <w:rsid w:val="00964106"/>
    <w:rsid w:val="00964254"/>
    <w:rsid w:val="0096496D"/>
    <w:rsid w:val="009649E0"/>
    <w:rsid w:val="00964AFD"/>
    <w:rsid w:val="00964B04"/>
    <w:rsid w:val="00965125"/>
    <w:rsid w:val="009653A0"/>
    <w:rsid w:val="00965547"/>
    <w:rsid w:val="0096555C"/>
    <w:rsid w:val="0096594C"/>
    <w:rsid w:val="00966706"/>
    <w:rsid w:val="00966BC5"/>
    <w:rsid w:val="00966C35"/>
    <w:rsid w:val="0096712A"/>
    <w:rsid w:val="00967A54"/>
    <w:rsid w:val="00967B1B"/>
    <w:rsid w:val="0097048A"/>
    <w:rsid w:val="00970D18"/>
    <w:rsid w:val="00971FFA"/>
    <w:rsid w:val="0097200C"/>
    <w:rsid w:val="00972590"/>
    <w:rsid w:val="009725F9"/>
    <w:rsid w:val="009726A6"/>
    <w:rsid w:val="0097325B"/>
    <w:rsid w:val="0097387D"/>
    <w:rsid w:val="00973B17"/>
    <w:rsid w:val="00973EC2"/>
    <w:rsid w:val="00973F09"/>
    <w:rsid w:val="0097461B"/>
    <w:rsid w:val="00974661"/>
    <w:rsid w:val="00974899"/>
    <w:rsid w:val="0097520D"/>
    <w:rsid w:val="0097523B"/>
    <w:rsid w:val="009754C0"/>
    <w:rsid w:val="00975A7B"/>
    <w:rsid w:val="00976199"/>
    <w:rsid w:val="0097634B"/>
    <w:rsid w:val="00976794"/>
    <w:rsid w:val="00976A3B"/>
    <w:rsid w:val="00976D5C"/>
    <w:rsid w:val="00976D6D"/>
    <w:rsid w:val="00977373"/>
    <w:rsid w:val="0098014A"/>
    <w:rsid w:val="009802B7"/>
    <w:rsid w:val="009809C4"/>
    <w:rsid w:val="00980BED"/>
    <w:rsid w:val="00980FE5"/>
    <w:rsid w:val="0098135D"/>
    <w:rsid w:val="0098146B"/>
    <w:rsid w:val="00983042"/>
    <w:rsid w:val="0098305A"/>
    <w:rsid w:val="0098355F"/>
    <w:rsid w:val="00983C27"/>
    <w:rsid w:val="00983DE0"/>
    <w:rsid w:val="00983E36"/>
    <w:rsid w:val="00983E62"/>
    <w:rsid w:val="00983E91"/>
    <w:rsid w:val="00983F6B"/>
    <w:rsid w:val="009842D9"/>
    <w:rsid w:val="009846B6"/>
    <w:rsid w:val="009849BF"/>
    <w:rsid w:val="00984C2D"/>
    <w:rsid w:val="009855AD"/>
    <w:rsid w:val="00985AD5"/>
    <w:rsid w:val="00985B39"/>
    <w:rsid w:val="00985C5C"/>
    <w:rsid w:val="00986635"/>
    <w:rsid w:val="00986DDD"/>
    <w:rsid w:val="009870D6"/>
    <w:rsid w:val="0098729D"/>
    <w:rsid w:val="009877CC"/>
    <w:rsid w:val="00987B53"/>
    <w:rsid w:val="00987C3B"/>
    <w:rsid w:val="0099008D"/>
    <w:rsid w:val="00990376"/>
    <w:rsid w:val="00990509"/>
    <w:rsid w:val="00990A63"/>
    <w:rsid w:val="00990E01"/>
    <w:rsid w:val="00990F2F"/>
    <w:rsid w:val="009911D2"/>
    <w:rsid w:val="0099141B"/>
    <w:rsid w:val="00991B5D"/>
    <w:rsid w:val="00991DD5"/>
    <w:rsid w:val="00991EB8"/>
    <w:rsid w:val="0099241E"/>
    <w:rsid w:val="00992423"/>
    <w:rsid w:val="009928C9"/>
    <w:rsid w:val="00992AC9"/>
    <w:rsid w:val="00992B38"/>
    <w:rsid w:val="00992CDE"/>
    <w:rsid w:val="009930D0"/>
    <w:rsid w:val="00993388"/>
    <w:rsid w:val="00993416"/>
    <w:rsid w:val="009937E7"/>
    <w:rsid w:val="0099381B"/>
    <w:rsid w:val="00994139"/>
    <w:rsid w:val="009942AD"/>
    <w:rsid w:val="009943A8"/>
    <w:rsid w:val="00994DD1"/>
    <w:rsid w:val="00995293"/>
    <w:rsid w:val="009954EF"/>
    <w:rsid w:val="00995756"/>
    <w:rsid w:val="00995ED9"/>
    <w:rsid w:val="009960FA"/>
    <w:rsid w:val="00996554"/>
    <w:rsid w:val="00996B44"/>
    <w:rsid w:val="00996B61"/>
    <w:rsid w:val="00996D1A"/>
    <w:rsid w:val="00997DDC"/>
    <w:rsid w:val="00997E24"/>
    <w:rsid w:val="00997F2C"/>
    <w:rsid w:val="009A02F2"/>
    <w:rsid w:val="009A0498"/>
    <w:rsid w:val="009A0813"/>
    <w:rsid w:val="009A08D0"/>
    <w:rsid w:val="009A0F32"/>
    <w:rsid w:val="009A0F5E"/>
    <w:rsid w:val="009A0F5F"/>
    <w:rsid w:val="009A1555"/>
    <w:rsid w:val="009A160B"/>
    <w:rsid w:val="009A1740"/>
    <w:rsid w:val="009A21B1"/>
    <w:rsid w:val="009A2D2A"/>
    <w:rsid w:val="009A2E17"/>
    <w:rsid w:val="009A317C"/>
    <w:rsid w:val="009A330F"/>
    <w:rsid w:val="009A35A1"/>
    <w:rsid w:val="009A3A64"/>
    <w:rsid w:val="009A3B39"/>
    <w:rsid w:val="009A3D29"/>
    <w:rsid w:val="009A40EB"/>
    <w:rsid w:val="009A411F"/>
    <w:rsid w:val="009A4272"/>
    <w:rsid w:val="009A4B6E"/>
    <w:rsid w:val="009A4F67"/>
    <w:rsid w:val="009A51D6"/>
    <w:rsid w:val="009A5205"/>
    <w:rsid w:val="009A5724"/>
    <w:rsid w:val="009A574D"/>
    <w:rsid w:val="009A64F6"/>
    <w:rsid w:val="009A669E"/>
    <w:rsid w:val="009A6A7D"/>
    <w:rsid w:val="009A7833"/>
    <w:rsid w:val="009A7ACE"/>
    <w:rsid w:val="009A7B48"/>
    <w:rsid w:val="009B0178"/>
    <w:rsid w:val="009B088F"/>
    <w:rsid w:val="009B0F7F"/>
    <w:rsid w:val="009B1331"/>
    <w:rsid w:val="009B1409"/>
    <w:rsid w:val="009B17C9"/>
    <w:rsid w:val="009B18DD"/>
    <w:rsid w:val="009B1E0F"/>
    <w:rsid w:val="009B1FEA"/>
    <w:rsid w:val="009B2DB0"/>
    <w:rsid w:val="009B3735"/>
    <w:rsid w:val="009B43C3"/>
    <w:rsid w:val="009B4C42"/>
    <w:rsid w:val="009B4CFA"/>
    <w:rsid w:val="009B4E99"/>
    <w:rsid w:val="009B4F6D"/>
    <w:rsid w:val="009B5146"/>
    <w:rsid w:val="009B55EB"/>
    <w:rsid w:val="009B5B21"/>
    <w:rsid w:val="009B5C0E"/>
    <w:rsid w:val="009B5CE3"/>
    <w:rsid w:val="009B62B2"/>
    <w:rsid w:val="009B6312"/>
    <w:rsid w:val="009B638C"/>
    <w:rsid w:val="009B63C1"/>
    <w:rsid w:val="009B63CB"/>
    <w:rsid w:val="009B704A"/>
    <w:rsid w:val="009B7069"/>
    <w:rsid w:val="009B72E2"/>
    <w:rsid w:val="009B7462"/>
    <w:rsid w:val="009B7735"/>
    <w:rsid w:val="009B7959"/>
    <w:rsid w:val="009C024D"/>
    <w:rsid w:val="009C026E"/>
    <w:rsid w:val="009C0386"/>
    <w:rsid w:val="009C05FB"/>
    <w:rsid w:val="009C0772"/>
    <w:rsid w:val="009C12C1"/>
    <w:rsid w:val="009C18ED"/>
    <w:rsid w:val="009C1CBA"/>
    <w:rsid w:val="009C1FAE"/>
    <w:rsid w:val="009C1FFE"/>
    <w:rsid w:val="009C21A2"/>
    <w:rsid w:val="009C2284"/>
    <w:rsid w:val="009C2E4A"/>
    <w:rsid w:val="009C392F"/>
    <w:rsid w:val="009C3C96"/>
    <w:rsid w:val="009C3E12"/>
    <w:rsid w:val="009C46F1"/>
    <w:rsid w:val="009C4A77"/>
    <w:rsid w:val="009C545B"/>
    <w:rsid w:val="009C5870"/>
    <w:rsid w:val="009C5FFA"/>
    <w:rsid w:val="009C6573"/>
    <w:rsid w:val="009C677F"/>
    <w:rsid w:val="009C6902"/>
    <w:rsid w:val="009C7250"/>
    <w:rsid w:val="009C7268"/>
    <w:rsid w:val="009C72AD"/>
    <w:rsid w:val="009C7A24"/>
    <w:rsid w:val="009C7A54"/>
    <w:rsid w:val="009C7A9A"/>
    <w:rsid w:val="009C7ABC"/>
    <w:rsid w:val="009D08BB"/>
    <w:rsid w:val="009D09B8"/>
    <w:rsid w:val="009D0A9B"/>
    <w:rsid w:val="009D0DDA"/>
    <w:rsid w:val="009D120A"/>
    <w:rsid w:val="009D1629"/>
    <w:rsid w:val="009D1A35"/>
    <w:rsid w:val="009D2232"/>
    <w:rsid w:val="009D3746"/>
    <w:rsid w:val="009D38E5"/>
    <w:rsid w:val="009D3E22"/>
    <w:rsid w:val="009D40CA"/>
    <w:rsid w:val="009D4153"/>
    <w:rsid w:val="009D4882"/>
    <w:rsid w:val="009D4CD7"/>
    <w:rsid w:val="009D5788"/>
    <w:rsid w:val="009D6017"/>
    <w:rsid w:val="009D63E0"/>
    <w:rsid w:val="009D66BF"/>
    <w:rsid w:val="009D691A"/>
    <w:rsid w:val="009D6D77"/>
    <w:rsid w:val="009D6F9E"/>
    <w:rsid w:val="009D7108"/>
    <w:rsid w:val="009D73B3"/>
    <w:rsid w:val="009D7ED7"/>
    <w:rsid w:val="009E00B6"/>
    <w:rsid w:val="009E025D"/>
    <w:rsid w:val="009E035B"/>
    <w:rsid w:val="009E03EB"/>
    <w:rsid w:val="009E04C2"/>
    <w:rsid w:val="009E064C"/>
    <w:rsid w:val="009E0831"/>
    <w:rsid w:val="009E08D1"/>
    <w:rsid w:val="009E0FF4"/>
    <w:rsid w:val="009E108A"/>
    <w:rsid w:val="009E1CC4"/>
    <w:rsid w:val="009E2645"/>
    <w:rsid w:val="009E26E5"/>
    <w:rsid w:val="009E26EE"/>
    <w:rsid w:val="009E2E20"/>
    <w:rsid w:val="009E2E32"/>
    <w:rsid w:val="009E2E4F"/>
    <w:rsid w:val="009E35E4"/>
    <w:rsid w:val="009E3766"/>
    <w:rsid w:val="009E44D2"/>
    <w:rsid w:val="009E4839"/>
    <w:rsid w:val="009E495D"/>
    <w:rsid w:val="009E4C54"/>
    <w:rsid w:val="009E5769"/>
    <w:rsid w:val="009E5860"/>
    <w:rsid w:val="009E59AC"/>
    <w:rsid w:val="009E59C0"/>
    <w:rsid w:val="009E5B8E"/>
    <w:rsid w:val="009E5BF0"/>
    <w:rsid w:val="009E6BFB"/>
    <w:rsid w:val="009E6D70"/>
    <w:rsid w:val="009E6F59"/>
    <w:rsid w:val="009E70E0"/>
    <w:rsid w:val="009E7A7A"/>
    <w:rsid w:val="009E7C9B"/>
    <w:rsid w:val="009E7F5A"/>
    <w:rsid w:val="009F0A20"/>
    <w:rsid w:val="009F0EBA"/>
    <w:rsid w:val="009F1195"/>
    <w:rsid w:val="009F131A"/>
    <w:rsid w:val="009F18C0"/>
    <w:rsid w:val="009F1CCE"/>
    <w:rsid w:val="009F1E85"/>
    <w:rsid w:val="009F2167"/>
    <w:rsid w:val="009F220D"/>
    <w:rsid w:val="009F294B"/>
    <w:rsid w:val="009F2BD3"/>
    <w:rsid w:val="009F2C7B"/>
    <w:rsid w:val="009F2E4A"/>
    <w:rsid w:val="009F36C4"/>
    <w:rsid w:val="009F3A48"/>
    <w:rsid w:val="009F3DB6"/>
    <w:rsid w:val="009F49A2"/>
    <w:rsid w:val="009F50AD"/>
    <w:rsid w:val="009F51AD"/>
    <w:rsid w:val="009F54EE"/>
    <w:rsid w:val="009F56F1"/>
    <w:rsid w:val="009F59C5"/>
    <w:rsid w:val="009F5E38"/>
    <w:rsid w:val="009F5EA8"/>
    <w:rsid w:val="009F63F8"/>
    <w:rsid w:val="00A00D05"/>
    <w:rsid w:val="00A01358"/>
    <w:rsid w:val="00A01931"/>
    <w:rsid w:val="00A01A2F"/>
    <w:rsid w:val="00A01A6F"/>
    <w:rsid w:val="00A01C86"/>
    <w:rsid w:val="00A022D0"/>
    <w:rsid w:val="00A02FDD"/>
    <w:rsid w:val="00A03355"/>
    <w:rsid w:val="00A042E0"/>
    <w:rsid w:val="00A044D9"/>
    <w:rsid w:val="00A04E1F"/>
    <w:rsid w:val="00A050FC"/>
    <w:rsid w:val="00A052A6"/>
    <w:rsid w:val="00A05DE9"/>
    <w:rsid w:val="00A0696A"/>
    <w:rsid w:val="00A06B7C"/>
    <w:rsid w:val="00A07975"/>
    <w:rsid w:val="00A07E8B"/>
    <w:rsid w:val="00A07EA8"/>
    <w:rsid w:val="00A07EB5"/>
    <w:rsid w:val="00A10618"/>
    <w:rsid w:val="00A1068A"/>
    <w:rsid w:val="00A109B6"/>
    <w:rsid w:val="00A10B4A"/>
    <w:rsid w:val="00A1107F"/>
    <w:rsid w:val="00A126FA"/>
    <w:rsid w:val="00A13E3B"/>
    <w:rsid w:val="00A141F9"/>
    <w:rsid w:val="00A14988"/>
    <w:rsid w:val="00A14BA8"/>
    <w:rsid w:val="00A14BDF"/>
    <w:rsid w:val="00A153D4"/>
    <w:rsid w:val="00A1555C"/>
    <w:rsid w:val="00A155C2"/>
    <w:rsid w:val="00A1560E"/>
    <w:rsid w:val="00A160FF"/>
    <w:rsid w:val="00A1613F"/>
    <w:rsid w:val="00A16B30"/>
    <w:rsid w:val="00A16B4E"/>
    <w:rsid w:val="00A16C84"/>
    <w:rsid w:val="00A17162"/>
    <w:rsid w:val="00A17232"/>
    <w:rsid w:val="00A17D46"/>
    <w:rsid w:val="00A17D90"/>
    <w:rsid w:val="00A211EC"/>
    <w:rsid w:val="00A21649"/>
    <w:rsid w:val="00A21AE4"/>
    <w:rsid w:val="00A21CF0"/>
    <w:rsid w:val="00A227BA"/>
    <w:rsid w:val="00A22C8C"/>
    <w:rsid w:val="00A23205"/>
    <w:rsid w:val="00A235F3"/>
    <w:rsid w:val="00A23897"/>
    <w:rsid w:val="00A240C1"/>
    <w:rsid w:val="00A245ED"/>
    <w:rsid w:val="00A2496A"/>
    <w:rsid w:val="00A252FE"/>
    <w:rsid w:val="00A25B79"/>
    <w:rsid w:val="00A25EEE"/>
    <w:rsid w:val="00A2606E"/>
    <w:rsid w:val="00A2617A"/>
    <w:rsid w:val="00A26420"/>
    <w:rsid w:val="00A267F5"/>
    <w:rsid w:val="00A269A5"/>
    <w:rsid w:val="00A270A8"/>
    <w:rsid w:val="00A2788C"/>
    <w:rsid w:val="00A27CF0"/>
    <w:rsid w:val="00A27D4B"/>
    <w:rsid w:val="00A3000D"/>
    <w:rsid w:val="00A30C9E"/>
    <w:rsid w:val="00A30D49"/>
    <w:rsid w:val="00A30E49"/>
    <w:rsid w:val="00A31AE7"/>
    <w:rsid w:val="00A32889"/>
    <w:rsid w:val="00A32917"/>
    <w:rsid w:val="00A32A35"/>
    <w:rsid w:val="00A32AF1"/>
    <w:rsid w:val="00A32D3E"/>
    <w:rsid w:val="00A33215"/>
    <w:rsid w:val="00A3340B"/>
    <w:rsid w:val="00A33B05"/>
    <w:rsid w:val="00A33B5B"/>
    <w:rsid w:val="00A33FF9"/>
    <w:rsid w:val="00A34009"/>
    <w:rsid w:val="00A340F9"/>
    <w:rsid w:val="00A342AE"/>
    <w:rsid w:val="00A3439E"/>
    <w:rsid w:val="00A343A1"/>
    <w:rsid w:val="00A34742"/>
    <w:rsid w:val="00A3568C"/>
    <w:rsid w:val="00A358B1"/>
    <w:rsid w:val="00A35AEA"/>
    <w:rsid w:val="00A35B78"/>
    <w:rsid w:val="00A35D98"/>
    <w:rsid w:val="00A361DA"/>
    <w:rsid w:val="00A36529"/>
    <w:rsid w:val="00A365B1"/>
    <w:rsid w:val="00A36CAD"/>
    <w:rsid w:val="00A3713A"/>
    <w:rsid w:val="00A37186"/>
    <w:rsid w:val="00A372BA"/>
    <w:rsid w:val="00A376B5"/>
    <w:rsid w:val="00A37E78"/>
    <w:rsid w:val="00A401B2"/>
    <w:rsid w:val="00A404B7"/>
    <w:rsid w:val="00A408F4"/>
    <w:rsid w:val="00A4094E"/>
    <w:rsid w:val="00A40B00"/>
    <w:rsid w:val="00A40E38"/>
    <w:rsid w:val="00A40FD7"/>
    <w:rsid w:val="00A4169F"/>
    <w:rsid w:val="00A4181E"/>
    <w:rsid w:val="00A41BC3"/>
    <w:rsid w:val="00A42096"/>
    <w:rsid w:val="00A42352"/>
    <w:rsid w:val="00A42401"/>
    <w:rsid w:val="00A42A3A"/>
    <w:rsid w:val="00A4312E"/>
    <w:rsid w:val="00A4319F"/>
    <w:rsid w:val="00A43541"/>
    <w:rsid w:val="00A43C8A"/>
    <w:rsid w:val="00A44310"/>
    <w:rsid w:val="00A44F18"/>
    <w:rsid w:val="00A457B1"/>
    <w:rsid w:val="00A45930"/>
    <w:rsid w:val="00A45A43"/>
    <w:rsid w:val="00A45D61"/>
    <w:rsid w:val="00A45E42"/>
    <w:rsid w:val="00A46119"/>
    <w:rsid w:val="00A4667C"/>
    <w:rsid w:val="00A46716"/>
    <w:rsid w:val="00A474F6"/>
    <w:rsid w:val="00A47CB4"/>
    <w:rsid w:val="00A502AD"/>
    <w:rsid w:val="00A5040E"/>
    <w:rsid w:val="00A5046E"/>
    <w:rsid w:val="00A508EE"/>
    <w:rsid w:val="00A51C66"/>
    <w:rsid w:val="00A521FB"/>
    <w:rsid w:val="00A522E6"/>
    <w:rsid w:val="00A52691"/>
    <w:rsid w:val="00A5286C"/>
    <w:rsid w:val="00A52E74"/>
    <w:rsid w:val="00A530EC"/>
    <w:rsid w:val="00A53689"/>
    <w:rsid w:val="00A537D1"/>
    <w:rsid w:val="00A53978"/>
    <w:rsid w:val="00A539E1"/>
    <w:rsid w:val="00A53D24"/>
    <w:rsid w:val="00A53F2C"/>
    <w:rsid w:val="00A54216"/>
    <w:rsid w:val="00A54239"/>
    <w:rsid w:val="00A54A78"/>
    <w:rsid w:val="00A54AB4"/>
    <w:rsid w:val="00A5530B"/>
    <w:rsid w:val="00A554A4"/>
    <w:rsid w:val="00A554E8"/>
    <w:rsid w:val="00A558FA"/>
    <w:rsid w:val="00A55BBB"/>
    <w:rsid w:val="00A56491"/>
    <w:rsid w:val="00A564A3"/>
    <w:rsid w:val="00A56831"/>
    <w:rsid w:val="00A56927"/>
    <w:rsid w:val="00A56B3D"/>
    <w:rsid w:val="00A572C1"/>
    <w:rsid w:val="00A57322"/>
    <w:rsid w:val="00A574D1"/>
    <w:rsid w:val="00A576B3"/>
    <w:rsid w:val="00A57D99"/>
    <w:rsid w:val="00A57FA5"/>
    <w:rsid w:val="00A601BE"/>
    <w:rsid w:val="00A60684"/>
    <w:rsid w:val="00A609F7"/>
    <w:rsid w:val="00A60C4F"/>
    <w:rsid w:val="00A6212C"/>
    <w:rsid w:val="00A6235D"/>
    <w:rsid w:val="00A6253B"/>
    <w:rsid w:val="00A6269B"/>
    <w:rsid w:val="00A62A01"/>
    <w:rsid w:val="00A62D35"/>
    <w:rsid w:val="00A63335"/>
    <w:rsid w:val="00A63EEA"/>
    <w:rsid w:val="00A6498E"/>
    <w:rsid w:val="00A64A32"/>
    <w:rsid w:val="00A64B14"/>
    <w:rsid w:val="00A64D38"/>
    <w:rsid w:val="00A6529B"/>
    <w:rsid w:val="00A6644F"/>
    <w:rsid w:val="00A664F9"/>
    <w:rsid w:val="00A66C98"/>
    <w:rsid w:val="00A66E29"/>
    <w:rsid w:val="00A66F5D"/>
    <w:rsid w:val="00A673B3"/>
    <w:rsid w:val="00A67411"/>
    <w:rsid w:val="00A67772"/>
    <w:rsid w:val="00A679CF"/>
    <w:rsid w:val="00A70305"/>
    <w:rsid w:val="00A70948"/>
    <w:rsid w:val="00A7158A"/>
    <w:rsid w:val="00A7170E"/>
    <w:rsid w:val="00A71C4B"/>
    <w:rsid w:val="00A721A5"/>
    <w:rsid w:val="00A72866"/>
    <w:rsid w:val="00A728D2"/>
    <w:rsid w:val="00A72B73"/>
    <w:rsid w:val="00A733E4"/>
    <w:rsid w:val="00A74FB8"/>
    <w:rsid w:val="00A75168"/>
    <w:rsid w:val="00A75303"/>
    <w:rsid w:val="00A75379"/>
    <w:rsid w:val="00A75B1F"/>
    <w:rsid w:val="00A761B4"/>
    <w:rsid w:val="00A7631F"/>
    <w:rsid w:val="00A764FE"/>
    <w:rsid w:val="00A773C7"/>
    <w:rsid w:val="00A77980"/>
    <w:rsid w:val="00A77D21"/>
    <w:rsid w:val="00A77D67"/>
    <w:rsid w:val="00A8018B"/>
    <w:rsid w:val="00A809F2"/>
    <w:rsid w:val="00A8118E"/>
    <w:rsid w:val="00A81257"/>
    <w:rsid w:val="00A815F1"/>
    <w:rsid w:val="00A81780"/>
    <w:rsid w:val="00A82640"/>
    <w:rsid w:val="00A826DE"/>
    <w:rsid w:val="00A8274C"/>
    <w:rsid w:val="00A82CA7"/>
    <w:rsid w:val="00A82F82"/>
    <w:rsid w:val="00A83275"/>
    <w:rsid w:val="00A83791"/>
    <w:rsid w:val="00A83B3D"/>
    <w:rsid w:val="00A84459"/>
    <w:rsid w:val="00A84969"/>
    <w:rsid w:val="00A84993"/>
    <w:rsid w:val="00A84C7A"/>
    <w:rsid w:val="00A84F61"/>
    <w:rsid w:val="00A85A72"/>
    <w:rsid w:val="00A85F6D"/>
    <w:rsid w:val="00A8656A"/>
    <w:rsid w:val="00A87032"/>
    <w:rsid w:val="00A87EBC"/>
    <w:rsid w:val="00A87EFA"/>
    <w:rsid w:val="00A9010F"/>
    <w:rsid w:val="00A90176"/>
    <w:rsid w:val="00A901DB"/>
    <w:rsid w:val="00A9032C"/>
    <w:rsid w:val="00A90DF8"/>
    <w:rsid w:val="00A915B8"/>
    <w:rsid w:val="00A918AA"/>
    <w:rsid w:val="00A918E5"/>
    <w:rsid w:val="00A91EA6"/>
    <w:rsid w:val="00A927FE"/>
    <w:rsid w:val="00A929CB"/>
    <w:rsid w:val="00A92B06"/>
    <w:rsid w:val="00A92B53"/>
    <w:rsid w:val="00A92F84"/>
    <w:rsid w:val="00A93402"/>
    <w:rsid w:val="00A938AF"/>
    <w:rsid w:val="00A9407C"/>
    <w:rsid w:val="00A9489C"/>
    <w:rsid w:val="00A94A42"/>
    <w:rsid w:val="00A94B58"/>
    <w:rsid w:val="00A94EF7"/>
    <w:rsid w:val="00A9506D"/>
    <w:rsid w:val="00A9576A"/>
    <w:rsid w:val="00A95A0F"/>
    <w:rsid w:val="00A95DD6"/>
    <w:rsid w:val="00A95EA2"/>
    <w:rsid w:val="00A95EBF"/>
    <w:rsid w:val="00A96122"/>
    <w:rsid w:val="00A963C2"/>
    <w:rsid w:val="00A97022"/>
    <w:rsid w:val="00A9712C"/>
    <w:rsid w:val="00A977F7"/>
    <w:rsid w:val="00A97AFE"/>
    <w:rsid w:val="00AA049A"/>
    <w:rsid w:val="00AA04EC"/>
    <w:rsid w:val="00AA0578"/>
    <w:rsid w:val="00AA06B1"/>
    <w:rsid w:val="00AA121B"/>
    <w:rsid w:val="00AA180B"/>
    <w:rsid w:val="00AA1C60"/>
    <w:rsid w:val="00AA2A5A"/>
    <w:rsid w:val="00AA3213"/>
    <w:rsid w:val="00AA3AB3"/>
    <w:rsid w:val="00AA3AC2"/>
    <w:rsid w:val="00AA3C4D"/>
    <w:rsid w:val="00AA400C"/>
    <w:rsid w:val="00AA4B88"/>
    <w:rsid w:val="00AA4EF6"/>
    <w:rsid w:val="00AA4FD2"/>
    <w:rsid w:val="00AA534F"/>
    <w:rsid w:val="00AA55F9"/>
    <w:rsid w:val="00AA5A95"/>
    <w:rsid w:val="00AA5AFE"/>
    <w:rsid w:val="00AA5E6F"/>
    <w:rsid w:val="00AA61CE"/>
    <w:rsid w:val="00AA62C1"/>
    <w:rsid w:val="00AA6769"/>
    <w:rsid w:val="00AA680D"/>
    <w:rsid w:val="00AA6873"/>
    <w:rsid w:val="00AA6A06"/>
    <w:rsid w:val="00AA6A5A"/>
    <w:rsid w:val="00AA6D16"/>
    <w:rsid w:val="00AA709A"/>
    <w:rsid w:val="00AA7708"/>
    <w:rsid w:val="00AA77AF"/>
    <w:rsid w:val="00AA77E5"/>
    <w:rsid w:val="00AA7F7F"/>
    <w:rsid w:val="00AB0685"/>
    <w:rsid w:val="00AB077F"/>
    <w:rsid w:val="00AB09CE"/>
    <w:rsid w:val="00AB0EFE"/>
    <w:rsid w:val="00AB1010"/>
    <w:rsid w:val="00AB1259"/>
    <w:rsid w:val="00AB1275"/>
    <w:rsid w:val="00AB14EF"/>
    <w:rsid w:val="00AB17FA"/>
    <w:rsid w:val="00AB19F8"/>
    <w:rsid w:val="00AB1EC7"/>
    <w:rsid w:val="00AB24CF"/>
    <w:rsid w:val="00AB290A"/>
    <w:rsid w:val="00AB30A3"/>
    <w:rsid w:val="00AB30B0"/>
    <w:rsid w:val="00AB3279"/>
    <w:rsid w:val="00AB3656"/>
    <w:rsid w:val="00AB3A6C"/>
    <w:rsid w:val="00AB3B17"/>
    <w:rsid w:val="00AB4026"/>
    <w:rsid w:val="00AB4050"/>
    <w:rsid w:val="00AB41FC"/>
    <w:rsid w:val="00AB4711"/>
    <w:rsid w:val="00AB48C5"/>
    <w:rsid w:val="00AB4B3C"/>
    <w:rsid w:val="00AB4CF9"/>
    <w:rsid w:val="00AB4EBF"/>
    <w:rsid w:val="00AB5225"/>
    <w:rsid w:val="00AB5352"/>
    <w:rsid w:val="00AB5D7F"/>
    <w:rsid w:val="00AB660E"/>
    <w:rsid w:val="00AB6CF1"/>
    <w:rsid w:val="00AB72E5"/>
    <w:rsid w:val="00AB7ADE"/>
    <w:rsid w:val="00AB7BCF"/>
    <w:rsid w:val="00AC0D54"/>
    <w:rsid w:val="00AC10CD"/>
    <w:rsid w:val="00AC18FA"/>
    <w:rsid w:val="00AC1F74"/>
    <w:rsid w:val="00AC289D"/>
    <w:rsid w:val="00AC2A1F"/>
    <w:rsid w:val="00AC2C21"/>
    <w:rsid w:val="00AC2E66"/>
    <w:rsid w:val="00AC31EE"/>
    <w:rsid w:val="00AC3646"/>
    <w:rsid w:val="00AC39EE"/>
    <w:rsid w:val="00AC3EDE"/>
    <w:rsid w:val="00AC4941"/>
    <w:rsid w:val="00AC4EA3"/>
    <w:rsid w:val="00AC512F"/>
    <w:rsid w:val="00AC62B5"/>
    <w:rsid w:val="00AC62E6"/>
    <w:rsid w:val="00AC64BC"/>
    <w:rsid w:val="00AC7408"/>
    <w:rsid w:val="00AC779E"/>
    <w:rsid w:val="00AC78DE"/>
    <w:rsid w:val="00AC7922"/>
    <w:rsid w:val="00AC7CC3"/>
    <w:rsid w:val="00AC7CFC"/>
    <w:rsid w:val="00AC7F6D"/>
    <w:rsid w:val="00AD07B5"/>
    <w:rsid w:val="00AD088E"/>
    <w:rsid w:val="00AD0B14"/>
    <w:rsid w:val="00AD0C9E"/>
    <w:rsid w:val="00AD0FB7"/>
    <w:rsid w:val="00AD13C4"/>
    <w:rsid w:val="00AD1437"/>
    <w:rsid w:val="00AD1634"/>
    <w:rsid w:val="00AD1D94"/>
    <w:rsid w:val="00AD1F1B"/>
    <w:rsid w:val="00AD1FE2"/>
    <w:rsid w:val="00AD2204"/>
    <w:rsid w:val="00AD26C7"/>
    <w:rsid w:val="00AD286C"/>
    <w:rsid w:val="00AD289F"/>
    <w:rsid w:val="00AD3329"/>
    <w:rsid w:val="00AD3770"/>
    <w:rsid w:val="00AD4199"/>
    <w:rsid w:val="00AD422E"/>
    <w:rsid w:val="00AD42D2"/>
    <w:rsid w:val="00AD4482"/>
    <w:rsid w:val="00AD482D"/>
    <w:rsid w:val="00AD4CBF"/>
    <w:rsid w:val="00AD57CD"/>
    <w:rsid w:val="00AD5EAF"/>
    <w:rsid w:val="00AD748E"/>
    <w:rsid w:val="00AD752F"/>
    <w:rsid w:val="00AD7B1B"/>
    <w:rsid w:val="00AE0479"/>
    <w:rsid w:val="00AE0593"/>
    <w:rsid w:val="00AE063C"/>
    <w:rsid w:val="00AE099F"/>
    <w:rsid w:val="00AE09F4"/>
    <w:rsid w:val="00AE10FC"/>
    <w:rsid w:val="00AE233D"/>
    <w:rsid w:val="00AE258E"/>
    <w:rsid w:val="00AE2899"/>
    <w:rsid w:val="00AE290B"/>
    <w:rsid w:val="00AE290C"/>
    <w:rsid w:val="00AE2A15"/>
    <w:rsid w:val="00AE2BD1"/>
    <w:rsid w:val="00AE3CD1"/>
    <w:rsid w:val="00AE3D8B"/>
    <w:rsid w:val="00AE46E6"/>
    <w:rsid w:val="00AE48BA"/>
    <w:rsid w:val="00AE4BE5"/>
    <w:rsid w:val="00AE4CB7"/>
    <w:rsid w:val="00AE56F4"/>
    <w:rsid w:val="00AE6005"/>
    <w:rsid w:val="00AE60CC"/>
    <w:rsid w:val="00AE6616"/>
    <w:rsid w:val="00AE6C32"/>
    <w:rsid w:val="00AE7043"/>
    <w:rsid w:val="00AE72AD"/>
    <w:rsid w:val="00AE72BC"/>
    <w:rsid w:val="00AE743B"/>
    <w:rsid w:val="00AE7D46"/>
    <w:rsid w:val="00AE7F78"/>
    <w:rsid w:val="00AF01DA"/>
    <w:rsid w:val="00AF045B"/>
    <w:rsid w:val="00AF0C8D"/>
    <w:rsid w:val="00AF0C9E"/>
    <w:rsid w:val="00AF0CC0"/>
    <w:rsid w:val="00AF0E8B"/>
    <w:rsid w:val="00AF0FC8"/>
    <w:rsid w:val="00AF1259"/>
    <w:rsid w:val="00AF1AFD"/>
    <w:rsid w:val="00AF1F4D"/>
    <w:rsid w:val="00AF218E"/>
    <w:rsid w:val="00AF2213"/>
    <w:rsid w:val="00AF2537"/>
    <w:rsid w:val="00AF2B7B"/>
    <w:rsid w:val="00AF2C4D"/>
    <w:rsid w:val="00AF2E5E"/>
    <w:rsid w:val="00AF2EA9"/>
    <w:rsid w:val="00AF30DD"/>
    <w:rsid w:val="00AF3491"/>
    <w:rsid w:val="00AF371B"/>
    <w:rsid w:val="00AF3BB8"/>
    <w:rsid w:val="00AF3E70"/>
    <w:rsid w:val="00AF41CF"/>
    <w:rsid w:val="00AF47A7"/>
    <w:rsid w:val="00AF48CC"/>
    <w:rsid w:val="00AF490B"/>
    <w:rsid w:val="00AF4917"/>
    <w:rsid w:val="00AF5344"/>
    <w:rsid w:val="00AF5B02"/>
    <w:rsid w:val="00AF5C77"/>
    <w:rsid w:val="00AF5E1B"/>
    <w:rsid w:val="00AF6641"/>
    <w:rsid w:val="00AF6D47"/>
    <w:rsid w:val="00AF7140"/>
    <w:rsid w:val="00AF746E"/>
    <w:rsid w:val="00AF773F"/>
    <w:rsid w:val="00AF79C2"/>
    <w:rsid w:val="00AF79D3"/>
    <w:rsid w:val="00B00299"/>
    <w:rsid w:val="00B00310"/>
    <w:rsid w:val="00B00B6A"/>
    <w:rsid w:val="00B00F1D"/>
    <w:rsid w:val="00B02482"/>
    <w:rsid w:val="00B029F0"/>
    <w:rsid w:val="00B032D3"/>
    <w:rsid w:val="00B0358F"/>
    <w:rsid w:val="00B039C5"/>
    <w:rsid w:val="00B03AE7"/>
    <w:rsid w:val="00B03EC1"/>
    <w:rsid w:val="00B03FEB"/>
    <w:rsid w:val="00B04321"/>
    <w:rsid w:val="00B046CE"/>
    <w:rsid w:val="00B04D1F"/>
    <w:rsid w:val="00B04DB9"/>
    <w:rsid w:val="00B051B7"/>
    <w:rsid w:val="00B053B1"/>
    <w:rsid w:val="00B06508"/>
    <w:rsid w:val="00B0676C"/>
    <w:rsid w:val="00B06C5C"/>
    <w:rsid w:val="00B06F13"/>
    <w:rsid w:val="00B06F16"/>
    <w:rsid w:val="00B10132"/>
    <w:rsid w:val="00B120C7"/>
    <w:rsid w:val="00B1266C"/>
    <w:rsid w:val="00B12D71"/>
    <w:rsid w:val="00B12E02"/>
    <w:rsid w:val="00B131F0"/>
    <w:rsid w:val="00B13294"/>
    <w:rsid w:val="00B13AA3"/>
    <w:rsid w:val="00B13E9E"/>
    <w:rsid w:val="00B14896"/>
    <w:rsid w:val="00B14DEA"/>
    <w:rsid w:val="00B15D76"/>
    <w:rsid w:val="00B15D7E"/>
    <w:rsid w:val="00B15F50"/>
    <w:rsid w:val="00B16080"/>
    <w:rsid w:val="00B160B7"/>
    <w:rsid w:val="00B1639D"/>
    <w:rsid w:val="00B16476"/>
    <w:rsid w:val="00B165D7"/>
    <w:rsid w:val="00B165DF"/>
    <w:rsid w:val="00B16A9C"/>
    <w:rsid w:val="00B17400"/>
    <w:rsid w:val="00B178FA"/>
    <w:rsid w:val="00B17E9A"/>
    <w:rsid w:val="00B17ED8"/>
    <w:rsid w:val="00B20E11"/>
    <w:rsid w:val="00B2122E"/>
    <w:rsid w:val="00B212EA"/>
    <w:rsid w:val="00B2139D"/>
    <w:rsid w:val="00B21981"/>
    <w:rsid w:val="00B22987"/>
    <w:rsid w:val="00B22B8E"/>
    <w:rsid w:val="00B22C5A"/>
    <w:rsid w:val="00B22D68"/>
    <w:rsid w:val="00B23637"/>
    <w:rsid w:val="00B23B7E"/>
    <w:rsid w:val="00B23CA8"/>
    <w:rsid w:val="00B23CF8"/>
    <w:rsid w:val="00B23F25"/>
    <w:rsid w:val="00B23F45"/>
    <w:rsid w:val="00B257F6"/>
    <w:rsid w:val="00B25A70"/>
    <w:rsid w:val="00B25B85"/>
    <w:rsid w:val="00B25C9E"/>
    <w:rsid w:val="00B25DD5"/>
    <w:rsid w:val="00B2627B"/>
    <w:rsid w:val="00B26478"/>
    <w:rsid w:val="00B26AD4"/>
    <w:rsid w:val="00B26FA1"/>
    <w:rsid w:val="00B272BC"/>
    <w:rsid w:val="00B27415"/>
    <w:rsid w:val="00B275DD"/>
    <w:rsid w:val="00B27610"/>
    <w:rsid w:val="00B2770C"/>
    <w:rsid w:val="00B278D8"/>
    <w:rsid w:val="00B27A8B"/>
    <w:rsid w:val="00B3010B"/>
    <w:rsid w:val="00B30203"/>
    <w:rsid w:val="00B302CF"/>
    <w:rsid w:val="00B30BAB"/>
    <w:rsid w:val="00B30DF5"/>
    <w:rsid w:val="00B31875"/>
    <w:rsid w:val="00B31F62"/>
    <w:rsid w:val="00B32656"/>
    <w:rsid w:val="00B32BCE"/>
    <w:rsid w:val="00B3344B"/>
    <w:rsid w:val="00B339F5"/>
    <w:rsid w:val="00B34049"/>
    <w:rsid w:val="00B34078"/>
    <w:rsid w:val="00B34401"/>
    <w:rsid w:val="00B34696"/>
    <w:rsid w:val="00B3491F"/>
    <w:rsid w:val="00B34AAD"/>
    <w:rsid w:val="00B35260"/>
    <w:rsid w:val="00B355B3"/>
    <w:rsid w:val="00B35AE9"/>
    <w:rsid w:val="00B36086"/>
    <w:rsid w:val="00B367BB"/>
    <w:rsid w:val="00B369D6"/>
    <w:rsid w:val="00B36DE0"/>
    <w:rsid w:val="00B3745F"/>
    <w:rsid w:val="00B37AE5"/>
    <w:rsid w:val="00B4007F"/>
    <w:rsid w:val="00B4070D"/>
    <w:rsid w:val="00B40D3C"/>
    <w:rsid w:val="00B411B9"/>
    <w:rsid w:val="00B41781"/>
    <w:rsid w:val="00B41912"/>
    <w:rsid w:val="00B41EC8"/>
    <w:rsid w:val="00B422F7"/>
    <w:rsid w:val="00B42436"/>
    <w:rsid w:val="00B43000"/>
    <w:rsid w:val="00B436F2"/>
    <w:rsid w:val="00B43DDC"/>
    <w:rsid w:val="00B43E62"/>
    <w:rsid w:val="00B442E5"/>
    <w:rsid w:val="00B44541"/>
    <w:rsid w:val="00B4462E"/>
    <w:rsid w:val="00B44A89"/>
    <w:rsid w:val="00B44EFC"/>
    <w:rsid w:val="00B45790"/>
    <w:rsid w:val="00B45B07"/>
    <w:rsid w:val="00B45B90"/>
    <w:rsid w:val="00B45DDA"/>
    <w:rsid w:val="00B469B9"/>
    <w:rsid w:val="00B46E27"/>
    <w:rsid w:val="00B47372"/>
    <w:rsid w:val="00B4749C"/>
    <w:rsid w:val="00B479D7"/>
    <w:rsid w:val="00B47CA4"/>
    <w:rsid w:val="00B500B5"/>
    <w:rsid w:val="00B504C7"/>
    <w:rsid w:val="00B5051E"/>
    <w:rsid w:val="00B50680"/>
    <w:rsid w:val="00B50E0B"/>
    <w:rsid w:val="00B5177D"/>
    <w:rsid w:val="00B51799"/>
    <w:rsid w:val="00B5181A"/>
    <w:rsid w:val="00B51884"/>
    <w:rsid w:val="00B51B2B"/>
    <w:rsid w:val="00B5237B"/>
    <w:rsid w:val="00B5250B"/>
    <w:rsid w:val="00B528A9"/>
    <w:rsid w:val="00B52C96"/>
    <w:rsid w:val="00B53DA8"/>
    <w:rsid w:val="00B54B6F"/>
    <w:rsid w:val="00B54C1C"/>
    <w:rsid w:val="00B54D81"/>
    <w:rsid w:val="00B55723"/>
    <w:rsid w:val="00B55760"/>
    <w:rsid w:val="00B55E7D"/>
    <w:rsid w:val="00B56728"/>
    <w:rsid w:val="00B56746"/>
    <w:rsid w:val="00B56CF2"/>
    <w:rsid w:val="00B57361"/>
    <w:rsid w:val="00B57C3C"/>
    <w:rsid w:val="00B600C9"/>
    <w:rsid w:val="00B60459"/>
    <w:rsid w:val="00B605A4"/>
    <w:rsid w:val="00B60621"/>
    <w:rsid w:val="00B6131F"/>
    <w:rsid w:val="00B61468"/>
    <w:rsid w:val="00B61A4B"/>
    <w:rsid w:val="00B62346"/>
    <w:rsid w:val="00B62380"/>
    <w:rsid w:val="00B64138"/>
    <w:rsid w:val="00B645C1"/>
    <w:rsid w:val="00B6469E"/>
    <w:rsid w:val="00B647CE"/>
    <w:rsid w:val="00B64BAA"/>
    <w:rsid w:val="00B64FFB"/>
    <w:rsid w:val="00B652A1"/>
    <w:rsid w:val="00B65D95"/>
    <w:rsid w:val="00B664E0"/>
    <w:rsid w:val="00B66886"/>
    <w:rsid w:val="00B6739A"/>
    <w:rsid w:val="00B67700"/>
    <w:rsid w:val="00B67AFC"/>
    <w:rsid w:val="00B7045C"/>
    <w:rsid w:val="00B70524"/>
    <w:rsid w:val="00B71030"/>
    <w:rsid w:val="00B710FA"/>
    <w:rsid w:val="00B713F3"/>
    <w:rsid w:val="00B71799"/>
    <w:rsid w:val="00B72135"/>
    <w:rsid w:val="00B7225E"/>
    <w:rsid w:val="00B72470"/>
    <w:rsid w:val="00B7271F"/>
    <w:rsid w:val="00B73493"/>
    <w:rsid w:val="00B734AC"/>
    <w:rsid w:val="00B737FA"/>
    <w:rsid w:val="00B7391D"/>
    <w:rsid w:val="00B73E10"/>
    <w:rsid w:val="00B7441A"/>
    <w:rsid w:val="00B755B3"/>
    <w:rsid w:val="00B75804"/>
    <w:rsid w:val="00B764D6"/>
    <w:rsid w:val="00B76AE9"/>
    <w:rsid w:val="00B76C9D"/>
    <w:rsid w:val="00B774C5"/>
    <w:rsid w:val="00B7779A"/>
    <w:rsid w:val="00B80192"/>
    <w:rsid w:val="00B8060E"/>
    <w:rsid w:val="00B80B2E"/>
    <w:rsid w:val="00B80EB1"/>
    <w:rsid w:val="00B81057"/>
    <w:rsid w:val="00B81504"/>
    <w:rsid w:val="00B81566"/>
    <w:rsid w:val="00B817EC"/>
    <w:rsid w:val="00B818EB"/>
    <w:rsid w:val="00B81AC9"/>
    <w:rsid w:val="00B8222D"/>
    <w:rsid w:val="00B822A9"/>
    <w:rsid w:val="00B828CD"/>
    <w:rsid w:val="00B82D00"/>
    <w:rsid w:val="00B83509"/>
    <w:rsid w:val="00B83551"/>
    <w:rsid w:val="00B8391E"/>
    <w:rsid w:val="00B83F1D"/>
    <w:rsid w:val="00B83F94"/>
    <w:rsid w:val="00B84D6C"/>
    <w:rsid w:val="00B84E1B"/>
    <w:rsid w:val="00B84ECB"/>
    <w:rsid w:val="00B851BA"/>
    <w:rsid w:val="00B852D0"/>
    <w:rsid w:val="00B85313"/>
    <w:rsid w:val="00B859E8"/>
    <w:rsid w:val="00B85AAB"/>
    <w:rsid w:val="00B85C42"/>
    <w:rsid w:val="00B8610A"/>
    <w:rsid w:val="00B863C6"/>
    <w:rsid w:val="00B86F8C"/>
    <w:rsid w:val="00B8739A"/>
    <w:rsid w:val="00B879FA"/>
    <w:rsid w:val="00B87AA2"/>
    <w:rsid w:val="00B87B4B"/>
    <w:rsid w:val="00B87C69"/>
    <w:rsid w:val="00B87E09"/>
    <w:rsid w:val="00B87E95"/>
    <w:rsid w:val="00B87F09"/>
    <w:rsid w:val="00B905B6"/>
    <w:rsid w:val="00B90F06"/>
    <w:rsid w:val="00B910D3"/>
    <w:rsid w:val="00B911B8"/>
    <w:rsid w:val="00B91485"/>
    <w:rsid w:val="00B916B6"/>
    <w:rsid w:val="00B91829"/>
    <w:rsid w:val="00B9269B"/>
    <w:rsid w:val="00B93175"/>
    <w:rsid w:val="00B93397"/>
    <w:rsid w:val="00B934D4"/>
    <w:rsid w:val="00B93D01"/>
    <w:rsid w:val="00B93D29"/>
    <w:rsid w:val="00B94225"/>
    <w:rsid w:val="00B94951"/>
    <w:rsid w:val="00B949DB"/>
    <w:rsid w:val="00B9503D"/>
    <w:rsid w:val="00B95139"/>
    <w:rsid w:val="00B95519"/>
    <w:rsid w:val="00B95868"/>
    <w:rsid w:val="00B958A7"/>
    <w:rsid w:val="00B95A08"/>
    <w:rsid w:val="00B95BB7"/>
    <w:rsid w:val="00B96EAE"/>
    <w:rsid w:val="00B972D4"/>
    <w:rsid w:val="00B97A52"/>
    <w:rsid w:val="00BA0A52"/>
    <w:rsid w:val="00BA0CA2"/>
    <w:rsid w:val="00BA1743"/>
    <w:rsid w:val="00BA1E23"/>
    <w:rsid w:val="00BA22BC"/>
    <w:rsid w:val="00BA29CF"/>
    <w:rsid w:val="00BA2E35"/>
    <w:rsid w:val="00BA36E8"/>
    <w:rsid w:val="00BA3A2C"/>
    <w:rsid w:val="00BA4374"/>
    <w:rsid w:val="00BA4B0C"/>
    <w:rsid w:val="00BA4C7F"/>
    <w:rsid w:val="00BA577E"/>
    <w:rsid w:val="00BA5AD3"/>
    <w:rsid w:val="00BA5C21"/>
    <w:rsid w:val="00BA5E36"/>
    <w:rsid w:val="00BA6343"/>
    <w:rsid w:val="00BA6373"/>
    <w:rsid w:val="00BA6951"/>
    <w:rsid w:val="00BA6CB8"/>
    <w:rsid w:val="00BA6D1F"/>
    <w:rsid w:val="00BA78CB"/>
    <w:rsid w:val="00BA7CD8"/>
    <w:rsid w:val="00BA7D00"/>
    <w:rsid w:val="00BA7E39"/>
    <w:rsid w:val="00BB0087"/>
    <w:rsid w:val="00BB075C"/>
    <w:rsid w:val="00BB0927"/>
    <w:rsid w:val="00BB0DE3"/>
    <w:rsid w:val="00BB1F2E"/>
    <w:rsid w:val="00BB1FCD"/>
    <w:rsid w:val="00BB2897"/>
    <w:rsid w:val="00BB2E52"/>
    <w:rsid w:val="00BB3A1F"/>
    <w:rsid w:val="00BB40D0"/>
    <w:rsid w:val="00BB415D"/>
    <w:rsid w:val="00BB454E"/>
    <w:rsid w:val="00BB46D2"/>
    <w:rsid w:val="00BB48C9"/>
    <w:rsid w:val="00BB4FDF"/>
    <w:rsid w:val="00BB514C"/>
    <w:rsid w:val="00BB58D3"/>
    <w:rsid w:val="00BB5DA0"/>
    <w:rsid w:val="00BB5E9E"/>
    <w:rsid w:val="00BB6934"/>
    <w:rsid w:val="00BB6C91"/>
    <w:rsid w:val="00BB6D30"/>
    <w:rsid w:val="00BB6DD2"/>
    <w:rsid w:val="00BB6FDC"/>
    <w:rsid w:val="00BB7122"/>
    <w:rsid w:val="00BB71B0"/>
    <w:rsid w:val="00BB757E"/>
    <w:rsid w:val="00BB7662"/>
    <w:rsid w:val="00BB77C5"/>
    <w:rsid w:val="00BB7D27"/>
    <w:rsid w:val="00BC0278"/>
    <w:rsid w:val="00BC054F"/>
    <w:rsid w:val="00BC06B5"/>
    <w:rsid w:val="00BC1537"/>
    <w:rsid w:val="00BC1900"/>
    <w:rsid w:val="00BC1D02"/>
    <w:rsid w:val="00BC2074"/>
    <w:rsid w:val="00BC2AFF"/>
    <w:rsid w:val="00BC2BA4"/>
    <w:rsid w:val="00BC2CD1"/>
    <w:rsid w:val="00BC2E33"/>
    <w:rsid w:val="00BC385D"/>
    <w:rsid w:val="00BC3ABF"/>
    <w:rsid w:val="00BC4017"/>
    <w:rsid w:val="00BC41D8"/>
    <w:rsid w:val="00BC45A2"/>
    <w:rsid w:val="00BC4D27"/>
    <w:rsid w:val="00BC5719"/>
    <w:rsid w:val="00BC57F0"/>
    <w:rsid w:val="00BC5AE8"/>
    <w:rsid w:val="00BC5FAC"/>
    <w:rsid w:val="00BC6141"/>
    <w:rsid w:val="00BC6199"/>
    <w:rsid w:val="00BC6E53"/>
    <w:rsid w:val="00BC6FAF"/>
    <w:rsid w:val="00BC70D4"/>
    <w:rsid w:val="00BC7377"/>
    <w:rsid w:val="00BC75E6"/>
    <w:rsid w:val="00BD00E0"/>
    <w:rsid w:val="00BD060E"/>
    <w:rsid w:val="00BD0792"/>
    <w:rsid w:val="00BD07C2"/>
    <w:rsid w:val="00BD09C0"/>
    <w:rsid w:val="00BD09E7"/>
    <w:rsid w:val="00BD0EFF"/>
    <w:rsid w:val="00BD1CCD"/>
    <w:rsid w:val="00BD24C5"/>
    <w:rsid w:val="00BD2800"/>
    <w:rsid w:val="00BD282B"/>
    <w:rsid w:val="00BD2881"/>
    <w:rsid w:val="00BD2C45"/>
    <w:rsid w:val="00BD3544"/>
    <w:rsid w:val="00BD386E"/>
    <w:rsid w:val="00BD559F"/>
    <w:rsid w:val="00BD5916"/>
    <w:rsid w:val="00BD5F13"/>
    <w:rsid w:val="00BD5FBE"/>
    <w:rsid w:val="00BD6650"/>
    <w:rsid w:val="00BD6872"/>
    <w:rsid w:val="00BD71AF"/>
    <w:rsid w:val="00BD72E5"/>
    <w:rsid w:val="00BD7765"/>
    <w:rsid w:val="00BD7A59"/>
    <w:rsid w:val="00BE004A"/>
    <w:rsid w:val="00BE009B"/>
    <w:rsid w:val="00BE025B"/>
    <w:rsid w:val="00BE0590"/>
    <w:rsid w:val="00BE05B0"/>
    <w:rsid w:val="00BE0763"/>
    <w:rsid w:val="00BE0A3E"/>
    <w:rsid w:val="00BE0FC3"/>
    <w:rsid w:val="00BE11BA"/>
    <w:rsid w:val="00BE12E4"/>
    <w:rsid w:val="00BE1B29"/>
    <w:rsid w:val="00BE1B8F"/>
    <w:rsid w:val="00BE28C7"/>
    <w:rsid w:val="00BE2FF6"/>
    <w:rsid w:val="00BE30E5"/>
    <w:rsid w:val="00BE3146"/>
    <w:rsid w:val="00BE323A"/>
    <w:rsid w:val="00BE3557"/>
    <w:rsid w:val="00BE4090"/>
    <w:rsid w:val="00BE45EA"/>
    <w:rsid w:val="00BE4CE3"/>
    <w:rsid w:val="00BE58D8"/>
    <w:rsid w:val="00BE6654"/>
    <w:rsid w:val="00BE693E"/>
    <w:rsid w:val="00BE6A04"/>
    <w:rsid w:val="00BE71C0"/>
    <w:rsid w:val="00BE7618"/>
    <w:rsid w:val="00BF0AF5"/>
    <w:rsid w:val="00BF0F79"/>
    <w:rsid w:val="00BF18AB"/>
    <w:rsid w:val="00BF1E57"/>
    <w:rsid w:val="00BF2525"/>
    <w:rsid w:val="00BF287D"/>
    <w:rsid w:val="00BF29E3"/>
    <w:rsid w:val="00BF2FA0"/>
    <w:rsid w:val="00BF3A9D"/>
    <w:rsid w:val="00BF3BEB"/>
    <w:rsid w:val="00BF49C9"/>
    <w:rsid w:val="00BF4B98"/>
    <w:rsid w:val="00BF4BFB"/>
    <w:rsid w:val="00BF53CC"/>
    <w:rsid w:val="00BF557B"/>
    <w:rsid w:val="00BF5818"/>
    <w:rsid w:val="00BF5943"/>
    <w:rsid w:val="00BF5E7F"/>
    <w:rsid w:val="00C000F0"/>
    <w:rsid w:val="00C003C8"/>
    <w:rsid w:val="00C005EB"/>
    <w:rsid w:val="00C00A10"/>
    <w:rsid w:val="00C019C2"/>
    <w:rsid w:val="00C0202F"/>
    <w:rsid w:val="00C0276F"/>
    <w:rsid w:val="00C0295A"/>
    <w:rsid w:val="00C02FC8"/>
    <w:rsid w:val="00C04107"/>
    <w:rsid w:val="00C04213"/>
    <w:rsid w:val="00C0438F"/>
    <w:rsid w:val="00C051EE"/>
    <w:rsid w:val="00C0577A"/>
    <w:rsid w:val="00C058D4"/>
    <w:rsid w:val="00C05BA9"/>
    <w:rsid w:val="00C06110"/>
    <w:rsid w:val="00C067E7"/>
    <w:rsid w:val="00C07A65"/>
    <w:rsid w:val="00C07CE2"/>
    <w:rsid w:val="00C10619"/>
    <w:rsid w:val="00C1096F"/>
    <w:rsid w:val="00C10F05"/>
    <w:rsid w:val="00C1147E"/>
    <w:rsid w:val="00C11684"/>
    <w:rsid w:val="00C116A0"/>
    <w:rsid w:val="00C11F5C"/>
    <w:rsid w:val="00C121C9"/>
    <w:rsid w:val="00C12441"/>
    <w:rsid w:val="00C1292C"/>
    <w:rsid w:val="00C1293B"/>
    <w:rsid w:val="00C12B5B"/>
    <w:rsid w:val="00C132FC"/>
    <w:rsid w:val="00C13640"/>
    <w:rsid w:val="00C137C0"/>
    <w:rsid w:val="00C13A46"/>
    <w:rsid w:val="00C13F17"/>
    <w:rsid w:val="00C140B6"/>
    <w:rsid w:val="00C140ED"/>
    <w:rsid w:val="00C143DE"/>
    <w:rsid w:val="00C14688"/>
    <w:rsid w:val="00C14D82"/>
    <w:rsid w:val="00C14FD8"/>
    <w:rsid w:val="00C1568C"/>
    <w:rsid w:val="00C1579B"/>
    <w:rsid w:val="00C15836"/>
    <w:rsid w:val="00C158AA"/>
    <w:rsid w:val="00C164FA"/>
    <w:rsid w:val="00C16845"/>
    <w:rsid w:val="00C169E8"/>
    <w:rsid w:val="00C16D4E"/>
    <w:rsid w:val="00C16E1B"/>
    <w:rsid w:val="00C173A2"/>
    <w:rsid w:val="00C17DE5"/>
    <w:rsid w:val="00C200AA"/>
    <w:rsid w:val="00C200DA"/>
    <w:rsid w:val="00C2106E"/>
    <w:rsid w:val="00C2178C"/>
    <w:rsid w:val="00C217A9"/>
    <w:rsid w:val="00C21AA3"/>
    <w:rsid w:val="00C21B96"/>
    <w:rsid w:val="00C227BB"/>
    <w:rsid w:val="00C2280C"/>
    <w:rsid w:val="00C22AD6"/>
    <w:rsid w:val="00C22D4A"/>
    <w:rsid w:val="00C23091"/>
    <w:rsid w:val="00C23149"/>
    <w:rsid w:val="00C234A7"/>
    <w:rsid w:val="00C234D3"/>
    <w:rsid w:val="00C23CBF"/>
    <w:rsid w:val="00C23F09"/>
    <w:rsid w:val="00C23F64"/>
    <w:rsid w:val="00C24033"/>
    <w:rsid w:val="00C241A0"/>
    <w:rsid w:val="00C24613"/>
    <w:rsid w:val="00C24913"/>
    <w:rsid w:val="00C24B47"/>
    <w:rsid w:val="00C24BB6"/>
    <w:rsid w:val="00C2556B"/>
    <w:rsid w:val="00C26060"/>
    <w:rsid w:val="00C2617E"/>
    <w:rsid w:val="00C2650F"/>
    <w:rsid w:val="00C26980"/>
    <w:rsid w:val="00C26A2D"/>
    <w:rsid w:val="00C272B1"/>
    <w:rsid w:val="00C277C7"/>
    <w:rsid w:val="00C279A8"/>
    <w:rsid w:val="00C27F2F"/>
    <w:rsid w:val="00C3001A"/>
    <w:rsid w:val="00C3023B"/>
    <w:rsid w:val="00C313DA"/>
    <w:rsid w:val="00C3145D"/>
    <w:rsid w:val="00C31668"/>
    <w:rsid w:val="00C317F9"/>
    <w:rsid w:val="00C31C11"/>
    <w:rsid w:val="00C31DBD"/>
    <w:rsid w:val="00C3253D"/>
    <w:rsid w:val="00C330FD"/>
    <w:rsid w:val="00C33504"/>
    <w:rsid w:val="00C335B8"/>
    <w:rsid w:val="00C33EA6"/>
    <w:rsid w:val="00C34125"/>
    <w:rsid w:val="00C34143"/>
    <w:rsid w:val="00C3419A"/>
    <w:rsid w:val="00C346D5"/>
    <w:rsid w:val="00C34B2D"/>
    <w:rsid w:val="00C355FF"/>
    <w:rsid w:val="00C358E6"/>
    <w:rsid w:val="00C36068"/>
    <w:rsid w:val="00C36252"/>
    <w:rsid w:val="00C36401"/>
    <w:rsid w:val="00C36B19"/>
    <w:rsid w:val="00C36D2C"/>
    <w:rsid w:val="00C373AF"/>
    <w:rsid w:val="00C37A50"/>
    <w:rsid w:val="00C404E7"/>
    <w:rsid w:val="00C40748"/>
    <w:rsid w:val="00C40CE4"/>
    <w:rsid w:val="00C41076"/>
    <w:rsid w:val="00C4124C"/>
    <w:rsid w:val="00C41546"/>
    <w:rsid w:val="00C4165A"/>
    <w:rsid w:val="00C418A4"/>
    <w:rsid w:val="00C418D3"/>
    <w:rsid w:val="00C41A9A"/>
    <w:rsid w:val="00C41C42"/>
    <w:rsid w:val="00C420BF"/>
    <w:rsid w:val="00C42B8B"/>
    <w:rsid w:val="00C42BD8"/>
    <w:rsid w:val="00C42FAA"/>
    <w:rsid w:val="00C43009"/>
    <w:rsid w:val="00C435AA"/>
    <w:rsid w:val="00C43D9A"/>
    <w:rsid w:val="00C44B10"/>
    <w:rsid w:val="00C44EB7"/>
    <w:rsid w:val="00C457AB"/>
    <w:rsid w:val="00C45879"/>
    <w:rsid w:val="00C45BE6"/>
    <w:rsid w:val="00C463C8"/>
    <w:rsid w:val="00C471B5"/>
    <w:rsid w:val="00C47390"/>
    <w:rsid w:val="00C476B8"/>
    <w:rsid w:val="00C47B27"/>
    <w:rsid w:val="00C50015"/>
    <w:rsid w:val="00C50EFE"/>
    <w:rsid w:val="00C51095"/>
    <w:rsid w:val="00C51764"/>
    <w:rsid w:val="00C51A2E"/>
    <w:rsid w:val="00C51E34"/>
    <w:rsid w:val="00C5211D"/>
    <w:rsid w:val="00C52881"/>
    <w:rsid w:val="00C52AAA"/>
    <w:rsid w:val="00C52D75"/>
    <w:rsid w:val="00C5301D"/>
    <w:rsid w:val="00C530F9"/>
    <w:rsid w:val="00C53221"/>
    <w:rsid w:val="00C534B8"/>
    <w:rsid w:val="00C537A6"/>
    <w:rsid w:val="00C53CD1"/>
    <w:rsid w:val="00C53D49"/>
    <w:rsid w:val="00C53E59"/>
    <w:rsid w:val="00C53F89"/>
    <w:rsid w:val="00C54243"/>
    <w:rsid w:val="00C5431D"/>
    <w:rsid w:val="00C54596"/>
    <w:rsid w:val="00C549A7"/>
    <w:rsid w:val="00C54C8E"/>
    <w:rsid w:val="00C54F96"/>
    <w:rsid w:val="00C54FD9"/>
    <w:rsid w:val="00C55153"/>
    <w:rsid w:val="00C55312"/>
    <w:rsid w:val="00C558F4"/>
    <w:rsid w:val="00C559DE"/>
    <w:rsid w:val="00C56010"/>
    <w:rsid w:val="00C560A1"/>
    <w:rsid w:val="00C56464"/>
    <w:rsid w:val="00C567A6"/>
    <w:rsid w:val="00C56D5D"/>
    <w:rsid w:val="00C56F57"/>
    <w:rsid w:val="00C574A2"/>
    <w:rsid w:val="00C574B5"/>
    <w:rsid w:val="00C5779F"/>
    <w:rsid w:val="00C57EDC"/>
    <w:rsid w:val="00C60210"/>
    <w:rsid w:val="00C60447"/>
    <w:rsid w:val="00C60BC3"/>
    <w:rsid w:val="00C60CDF"/>
    <w:rsid w:val="00C613A0"/>
    <w:rsid w:val="00C616AF"/>
    <w:rsid w:val="00C62EAD"/>
    <w:rsid w:val="00C634FB"/>
    <w:rsid w:val="00C63552"/>
    <w:rsid w:val="00C63714"/>
    <w:rsid w:val="00C63933"/>
    <w:rsid w:val="00C63B6B"/>
    <w:rsid w:val="00C6418A"/>
    <w:rsid w:val="00C64BBE"/>
    <w:rsid w:val="00C65604"/>
    <w:rsid w:val="00C6576E"/>
    <w:rsid w:val="00C65EDB"/>
    <w:rsid w:val="00C661CD"/>
    <w:rsid w:val="00C66616"/>
    <w:rsid w:val="00C6697C"/>
    <w:rsid w:val="00C66E89"/>
    <w:rsid w:val="00C67475"/>
    <w:rsid w:val="00C706CF"/>
    <w:rsid w:val="00C70E78"/>
    <w:rsid w:val="00C70F2A"/>
    <w:rsid w:val="00C711F1"/>
    <w:rsid w:val="00C711F5"/>
    <w:rsid w:val="00C71308"/>
    <w:rsid w:val="00C713A0"/>
    <w:rsid w:val="00C72D4F"/>
    <w:rsid w:val="00C73606"/>
    <w:rsid w:val="00C73B26"/>
    <w:rsid w:val="00C73E1D"/>
    <w:rsid w:val="00C73FC5"/>
    <w:rsid w:val="00C740C6"/>
    <w:rsid w:val="00C747EF"/>
    <w:rsid w:val="00C747FC"/>
    <w:rsid w:val="00C74CB4"/>
    <w:rsid w:val="00C74CE0"/>
    <w:rsid w:val="00C7511E"/>
    <w:rsid w:val="00C75228"/>
    <w:rsid w:val="00C75516"/>
    <w:rsid w:val="00C75F9A"/>
    <w:rsid w:val="00C762F9"/>
    <w:rsid w:val="00C76A33"/>
    <w:rsid w:val="00C771BD"/>
    <w:rsid w:val="00C77222"/>
    <w:rsid w:val="00C7794E"/>
    <w:rsid w:val="00C77E85"/>
    <w:rsid w:val="00C77F6E"/>
    <w:rsid w:val="00C8000F"/>
    <w:rsid w:val="00C80570"/>
    <w:rsid w:val="00C806A3"/>
    <w:rsid w:val="00C80AF6"/>
    <w:rsid w:val="00C80C1A"/>
    <w:rsid w:val="00C81037"/>
    <w:rsid w:val="00C81547"/>
    <w:rsid w:val="00C8169C"/>
    <w:rsid w:val="00C82AB1"/>
    <w:rsid w:val="00C82E6D"/>
    <w:rsid w:val="00C82F51"/>
    <w:rsid w:val="00C834E7"/>
    <w:rsid w:val="00C83561"/>
    <w:rsid w:val="00C83A75"/>
    <w:rsid w:val="00C83D33"/>
    <w:rsid w:val="00C841B0"/>
    <w:rsid w:val="00C844C2"/>
    <w:rsid w:val="00C8491A"/>
    <w:rsid w:val="00C852E3"/>
    <w:rsid w:val="00C85AB5"/>
    <w:rsid w:val="00C85F09"/>
    <w:rsid w:val="00C86298"/>
    <w:rsid w:val="00C867ED"/>
    <w:rsid w:val="00C86A0C"/>
    <w:rsid w:val="00C86CED"/>
    <w:rsid w:val="00C876C8"/>
    <w:rsid w:val="00C87DA6"/>
    <w:rsid w:val="00C90E34"/>
    <w:rsid w:val="00C91096"/>
    <w:rsid w:val="00C917DC"/>
    <w:rsid w:val="00C91B6E"/>
    <w:rsid w:val="00C92335"/>
    <w:rsid w:val="00C9243F"/>
    <w:rsid w:val="00C93179"/>
    <w:rsid w:val="00C93454"/>
    <w:rsid w:val="00C93BB7"/>
    <w:rsid w:val="00C93ED7"/>
    <w:rsid w:val="00C94364"/>
    <w:rsid w:val="00C9457A"/>
    <w:rsid w:val="00C949CE"/>
    <w:rsid w:val="00C94A94"/>
    <w:rsid w:val="00C95352"/>
    <w:rsid w:val="00C95518"/>
    <w:rsid w:val="00C95547"/>
    <w:rsid w:val="00C9556C"/>
    <w:rsid w:val="00C95605"/>
    <w:rsid w:val="00C95C72"/>
    <w:rsid w:val="00C96654"/>
    <w:rsid w:val="00C972F9"/>
    <w:rsid w:val="00C97561"/>
    <w:rsid w:val="00C97E27"/>
    <w:rsid w:val="00CA00DF"/>
    <w:rsid w:val="00CA0493"/>
    <w:rsid w:val="00CA08CE"/>
    <w:rsid w:val="00CA0CD1"/>
    <w:rsid w:val="00CA0D54"/>
    <w:rsid w:val="00CA0E0F"/>
    <w:rsid w:val="00CA123A"/>
    <w:rsid w:val="00CA12E6"/>
    <w:rsid w:val="00CA1CE2"/>
    <w:rsid w:val="00CA2306"/>
    <w:rsid w:val="00CA2326"/>
    <w:rsid w:val="00CA2871"/>
    <w:rsid w:val="00CA2DA3"/>
    <w:rsid w:val="00CA329E"/>
    <w:rsid w:val="00CA358E"/>
    <w:rsid w:val="00CA35BE"/>
    <w:rsid w:val="00CA3A1A"/>
    <w:rsid w:val="00CA3E1B"/>
    <w:rsid w:val="00CA3E93"/>
    <w:rsid w:val="00CA3F2D"/>
    <w:rsid w:val="00CA42BE"/>
    <w:rsid w:val="00CA42FA"/>
    <w:rsid w:val="00CA46E4"/>
    <w:rsid w:val="00CA48E2"/>
    <w:rsid w:val="00CA497D"/>
    <w:rsid w:val="00CA5CCF"/>
    <w:rsid w:val="00CA67DF"/>
    <w:rsid w:val="00CA75C5"/>
    <w:rsid w:val="00CA7DAF"/>
    <w:rsid w:val="00CA7F23"/>
    <w:rsid w:val="00CB0154"/>
    <w:rsid w:val="00CB0319"/>
    <w:rsid w:val="00CB0389"/>
    <w:rsid w:val="00CB09A6"/>
    <w:rsid w:val="00CB0EE1"/>
    <w:rsid w:val="00CB2266"/>
    <w:rsid w:val="00CB264C"/>
    <w:rsid w:val="00CB281E"/>
    <w:rsid w:val="00CB2C3C"/>
    <w:rsid w:val="00CB2DAF"/>
    <w:rsid w:val="00CB2E06"/>
    <w:rsid w:val="00CB3165"/>
    <w:rsid w:val="00CB328B"/>
    <w:rsid w:val="00CB3390"/>
    <w:rsid w:val="00CB34CE"/>
    <w:rsid w:val="00CB3788"/>
    <w:rsid w:val="00CB4177"/>
    <w:rsid w:val="00CB4208"/>
    <w:rsid w:val="00CB4409"/>
    <w:rsid w:val="00CB462C"/>
    <w:rsid w:val="00CB47F4"/>
    <w:rsid w:val="00CB4883"/>
    <w:rsid w:val="00CB49C5"/>
    <w:rsid w:val="00CB51F0"/>
    <w:rsid w:val="00CB64D9"/>
    <w:rsid w:val="00CB65B3"/>
    <w:rsid w:val="00CC01D4"/>
    <w:rsid w:val="00CC044E"/>
    <w:rsid w:val="00CC07D0"/>
    <w:rsid w:val="00CC0861"/>
    <w:rsid w:val="00CC0A1C"/>
    <w:rsid w:val="00CC0A83"/>
    <w:rsid w:val="00CC15ED"/>
    <w:rsid w:val="00CC16D1"/>
    <w:rsid w:val="00CC1954"/>
    <w:rsid w:val="00CC1E51"/>
    <w:rsid w:val="00CC235B"/>
    <w:rsid w:val="00CC2889"/>
    <w:rsid w:val="00CC2DBE"/>
    <w:rsid w:val="00CC32E7"/>
    <w:rsid w:val="00CC3798"/>
    <w:rsid w:val="00CC3A07"/>
    <w:rsid w:val="00CC3D33"/>
    <w:rsid w:val="00CC3F01"/>
    <w:rsid w:val="00CC3F15"/>
    <w:rsid w:val="00CC4138"/>
    <w:rsid w:val="00CC41A9"/>
    <w:rsid w:val="00CC4725"/>
    <w:rsid w:val="00CC49DE"/>
    <w:rsid w:val="00CC4AC2"/>
    <w:rsid w:val="00CC4F3E"/>
    <w:rsid w:val="00CC5450"/>
    <w:rsid w:val="00CC57B7"/>
    <w:rsid w:val="00CC57F2"/>
    <w:rsid w:val="00CC5D1E"/>
    <w:rsid w:val="00CC625E"/>
    <w:rsid w:val="00CC62AB"/>
    <w:rsid w:val="00CC64AC"/>
    <w:rsid w:val="00CC6C8C"/>
    <w:rsid w:val="00CC6DBD"/>
    <w:rsid w:val="00CC715D"/>
    <w:rsid w:val="00CC71FB"/>
    <w:rsid w:val="00CC789C"/>
    <w:rsid w:val="00CC78F6"/>
    <w:rsid w:val="00CC7ED1"/>
    <w:rsid w:val="00CD05E3"/>
    <w:rsid w:val="00CD13AC"/>
    <w:rsid w:val="00CD17B7"/>
    <w:rsid w:val="00CD1C8F"/>
    <w:rsid w:val="00CD1F59"/>
    <w:rsid w:val="00CD2456"/>
    <w:rsid w:val="00CD27B4"/>
    <w:rsid w:val="00CD2B50"/>
    <w:rsid w:val="00CD2CED"/>
    <w:rsid w:val="00CD3170"/>
    <w:rsid w:val="00CD33C2"/>
    <w:rsid w:val="00CD34F2"/>
    <w:rsid w:val="00CD3646"/>
    <w:rsid w:val="00CD39BC"/>
    <w:rsid w:val="00CD413E"/>
    <w:rsid w:val="00CD4A10"/>
    <w:rsid w:val="00CD563B"/>
    <w:rsid w:val="00CD5795"/>
    <w:rsid w:val="00CD604E"/>
    <w:rsid w:val="00CD62D0"/>
    <w:rsid w:val="00CD7889"/>
    <w:rsid w:val="00CD7AA1"/>
    <w:rsid w:val="00CD7B24"/>
    <w:rsid w:val="00CD7D00"/>
    <w:rsid w:val="00CD7DC2"/>
    <w:rsid w:val="00CE0B3A"/>
    <w:rsid w:val="00CE1027"/>
    <w:rsid w:val="00CE102F"/>
    <w:rsid w:val="00CE13EA"/>
    <w:rsid w:val="00CE1E38"/>
    <w:rsid w:val="00CE223D"/>
    <w:rsid w:val="00CE254A"/>
    <w:rsid w:val="00CE27FD"/>
    <w:rsid w:val="00CE2C51"/>
    <w:rsid w:val="00CE373A"/>
    <w:rsid w:val="00CE3C38"/>
    <w:rsid w:val="00CE43DB"/>
    <w:rsid w:val="00CE4F0E"/>
    <w:rsid w:val="00CE5D0D"/>
    <w:rsid w:val="00CE6A3B"/>
    <w:rsid w:val="00CE74BE"/>
    <w:rsid w:val="00CE7ABF"/>
    <w:rsid w:val="00CE7E5E"/>
    <w:rsid w:val="00CF023E"/>
    <w:rsid w:val="00CF0860"/>
    <w:rsid w:val="00CF10A4"/>
    <w:rsid w:val="00CF11E8"/>
    <w:rsid w:val="00CF16D5"/>
    <w:rsid w:val="00CF1848"/>
    <w:rsid w:val="00CF18AA"/>
    <w:rsid w:val="00CF18E9"/>
    <w:rsid w:val="00CF1918"/>
    <w:rsid w:val="00CF1A9A"/>
    <w:rsid w:val="00CF2517"/>
    <w:rsid w:val="00CF28FD"/>
    <w:rsid w:val="00CF2926"/>
    <w:rsid w:val="00CF2A2B"/>
    <w:rsid w:val="00CF2C25"/>
    <w:rsid w:val="00CF2C48"/>
    <w:rsid w:val="00CF3678"/>
    <w:rsid w:val="00CF3C3C"/>
    <w:rsid w:val="00CF41AA"/>
    <w:rsid w:val="00CF4345"/>
    <w:rsid w:val="00CF4453"/>
    <w:rsid w:val="00CF4779"/>
    <w:rsid w:val="00CF5536"/>
    <w:rsid w:val="00CF5863"/>
    <w:rsid w:val="00CF5C07"/>
    <w:rsid w:val="00CF5E6F"/>
    <w:rsid w:val="00CF6643"/>
    <w:rsid w:val="00CF7436"/>
    <w:rsid w:val="00CF77D7"/>
    <w:rsid w:val="00D00243"/>
    <w:rsid w:val="00D0034E"/>
    <w:rsid w:val="00D00663"/>
    <w:rsid w:val="00D00928"/>
    <w:rsid w:val="00D00CE7"/>
    <w:rsid w:val="00D01023"/>
    <w:rsid w:val="00D01604"/>
    <w:rsid w:val="00D01860"/>
    <w:rsid w:val="00D01B09"/>
    <w:rsid w:val="00D01F8B"/>
    <w:rsid w:val="00D027BB"/>
    <w:rsid w:val="00D02A9F"/>
    <w:rsid w:val="00D033D5"/>
    <w:rsid w:val="00D03CDA"/>
    <w:rsid w:val="00D04BD0"/>
    <w:rsid w:val="00D04E16"/>
    <w:rsid w:val="00D053A7"/>
    <w:rsid w:val="00D057A1"/>
    <w:rsid w:val="00D06397"/>
    <w:rsid w:val="00D06590"/>
    <w:rsid w:val="00D06881"/>
    <w:rsid w:val="00D068B6"/>
    <w:rsid w:val="00D0743E"/>
    <w:rsid w:val="00D07B66"/>
    <w:rsid w:val="00D10841"/>
    <w:rsid w:val="00D10F01"/>
    <w:rsid w:val="00D10FC1"/>
    <w:rsid w:val="00D11103"/>
    <w:rsid w:val="00D117DF"/>
    <w:rsid w:val="00D11B9D"/>
    <w:rsid w:val="00D11F8D"/>
    <w:rsid w:val="00D12218"/>
    <w:rsid w:val="00D126F6"/>
    <w:rsid w:val="00D12C41"/>
    <w:rsid w:val="00D12CDE"/>
    <w:rsid w:val="00D12FF1"/>
    <w:rsid w:val="00D13394"/>
    <w:rsid w:val="00D13667"/>
    <w:rsid w:val="00D13F5C"/>
    <w:rsid w:val="00D1451A"/>
    <w:rsid w:val="00D148DF"/>
    <w:rsid w:val="00D14EAF"/>
    <w:rsid w:val="00D15837"/>
    <w:rsid w:val="00D1584D"/>
    <w:rsid w:val="00D15AED"/>
    <w:rsid w:val="00D15C2F"/>
    <w:rsid w:val="00D16032"/>
    <w:rsid w:val="00D1637F"/>
    <w:rsid w:val="00D163A7"/>
    <w:rsid w:val="00D16B71"/>
    <w:rsid w:val="00D16D38"/>
    <w:rsid w:val="00D172D4"/>
    <w:rsid w:val="00D17C40"/>
    <w:rsid w:val="00D17DF0"/>
    <w:rsid w:val="00D20295"/>
    <w:rsid w:val="00D22128"/>
    <w:rsid w:val="00D2281F"/>
    <w:rsid w:val="00D22A3D"/>
    <w:rsid w:val="00D22CA6"/>
    <w:rsid w:val="00D22CEB"/>
    <w:rsid w:val="00D22CFD"/>
    <w:rsid w:val="00D23432"/>
    <w:rsid w:val="00D2392B"/>
    <w:rsid w:val="00D23E27"/>
    <w:rsid w:val="00D24F4B"/>
    <w:rsid w:val="00D25527"/>
    <w:rsid w:val="00D25894"/>
    <w:rsid w:val="00D2596B"/>
    <w:rsid w:val="00D26207"/>
    <w:rsid w:val="00D26290"/>
    <w:rsid w:val="00D272B7"/>
    <w:rsid w:val="00D27DE3"/>
    <w:rsid w:val="00D303C3"/>
    <w:rsid w:val="00D3042E"/>
    <w:rsid w:val="00D305CF"/>
    <w:rsid w:val="00D30A48"/>
    <w:rsid w:val="00D30B9F"/>
    <w:rsid w:val="00D30C52"/>
    <w:rsid w:val="00D30E1C"/>
    <w:rsid w:val="00D31480"/>
    <w:rsid w:val="00D3152D"/>
    <w:rsid w:val="00D3153F"/>
    <w:rsid w:val="00D318AD"/>
    <w:rsid w:val="00D319F3"/>
    <w:rsid w:val="00D330E9"/>
    <w:rsid w:val="00D336E6"/>
    <w:rsid w:val="00D3371C"/>
    <w:rsid w:val="00D339B7"/>
    <w:rsid w:val="00D34313"/>
    <w:rsid w:val="00D34996"/>
    <w:rsid w:val="00D349F5"/>
    <w:rsid w:val="00D34CBF"/>
    <w:rsid w:val="00D352B6"/>
    <w:rsid w:val="00D354A1"/>
    <w:rsid w:val="00D35755"/>
    <w:rsid w:val="00D35B3C"/>
    <w:rsid w:val="00D362D2"/>
    <w:rsid w:val="00D365FD"/>
    <w:rsid w:val="00D36679"/>
    <w:rsid w:val="00D373FE"/>
    <w:rsid w:val="00D37A6A"/>
    <w:rsid w:val="00D37CB5"/>
    <w:rsid w:val="00D37F9B"/>
    <w:rsid w:val="00D40163"/>
    <w:rsid w:val="00D40598"/>
    <w:rsid w:val="00D4092D"/>
    <w:rsid w:val="00D4094C"/>
    <w:rsid w:val="00D409F2"/>
    <w:rsid w:val="00D41034"/>
    <w:rsid w:val="00D4109F"/>
    <w:rsid w:val="00D413C6"/>
    <w:rsid w:val="00D41445"/>
    <w:rsid w:val="00D41F1A"/>
    <w:rsid w:val="00D4334F"/>
    <w:rsid w:val="00D433F2"/>
    <w:rsid w:val="00D43444"/>
    <w:rsid w:val="00D43B0C"/>
    <w:rsid w:val="00D43ED4"/>
    <w:rsid w:val="00D4413B"/>
    <w:rsid w:val="00D45602"/>
    <w:rsid w:val="00D457B7"/>
    <w:rsid w:val="00D45DDF"/>
    <w:rsid w:val="00D46096"/>
    <w:rsid w:val="00D461F5"/>
    <w:rsid w:val="00D46612"/>
    <w:rsid w:val="00D466BE"/>
    <w:rsid w:val="00D469BD"/>
    <w:rsid w:val="00D46A49"/>
    <w:rsid w:val="00D46E71"/>
    <w:rsid w:val="00D46FF2"/>
    <w:rsid w:val="00D470ED"/>
    <w:rsid w:val="00D4726C"/>
    <w:rsid w:val="00D47575"/>
    <w:rsid w:val="00D4773E"/>
    <w:rsid w:val="00D47EBC"/>
    <w:rsid w:val="00D5118E"/>
    <w:rsid w:val="00D51E21"/>
    <w:rsid w:val="00D52670"/>
    <w:rsid w:val="00D52765"/>
    <w:rsid w:val="00D52862"/>
    <w:rsid w:val="00D52C1B"/>
    <w:rsid w:val="00D52C57"/>
    <w:rsid w:val="00D52F22"/>
    <w:rsid w:val="00D52F63"/>
    <w:rsid w:val="00D530A2"/>
    <w:rsid w:val="00D53162"/>
    <w:rsid w:val="00D537D8"/>
    <w:rsid w:val="00D53953"/>
    <w:rsid w:val="00D53EAB"/>
    <w:rsid w:val="00D53ECD"/>
    <w:rsid w:val="00D5409B"/>
    <w:rsid w:val="00D54328"/>
    <w:rsid w:val="00D547F0"/>
    <w:rsid w:val="00D54B7F"/>
    <w:rsid w:val="00D54C53"/>
    <w:rsid w:val="00D550B8"/>
    <w:rsid w:val="00D5528E"/>
    <w:rsid w:val="00D55624"/>
    <w:rsid w:val="00D556C1"/>
    <w:rsid w:val="00D562DD"/>
    <w:rsid w:val="00D571AB"/>
    <w:rsid w:val="00D57275"/>
    <w:rsid w:val="00D573CF"/>
    <w:rsid w:val="00D57458"/>
    <w:rsid w:val="00D602D4"/>
    <w:rsid w:val="00D606AC"/>
    <w:rsid w:val="00D60732"/>
    <w:rsid w:val="00D60DCC"/>
    <w:rsid w:val="00D61BC3"/>
    <w:rsid w:val="00D61D27"/>
    <w:rsid w:val="00D61E0B"/>
    <w:rsid w:val="00D62482"/>
    <w:rsid w:val="00D6266F"/>
    <w:rsid w:val="00D626E1"/>
    <w:rsid w:val="00D62832"/>
    <w:rsid w:val="00D64088"/>
    <w:rsid w:val="00D6423D"/>
    <w:rsid w:val="00D644D8"/>
    <w:rsid w:val="00D649BE"/>
    <w:rsid w:val="00D64CBC"/>
    <w:rsid w:val="00D657EC"/>
    <w:rsid w:val="00D65E70"/>
    <w:rsid w:val="00D666A8"/>
    <w:rsid w:val="00D666B4"/>
    <w:rsid w:val="00D668D4"/>
    <w:rsid w:val="00D66FCB"/>
    <w:rsid w:val="00D67075"/>
    <w:rsid w:val="00D6729B"/>
    <w:rsid w:val="00D67850"/>
    <w:rsid w:val="00D70735"/>
    <w:rsid w:val="00D7094A"/>
    <w:rsid w:val="00D70E55"/>
    <w:rsid w:val="00D71601"/>
    <w:rsid w:val="00D71C91"/>
    <w:rsid w:val="00D7206D"/>
    <w:rsid w:val="00D720CD"/>
    <w:rsid w:val="00D721B8"/>
    <w:rsid w:val="00D7259B"/>
    <w:rsid w:val="00D72B7F"/>
    <w:rsid w:val="00D7315A"/>
    <w:rsid w:val="00D7326E"/>
    <w:rsid w:val="00D73A4C"/>
    <w:rsid w:val="00D73C6B"/>
    <w:rsid w:val="00D73E4A"/>
    <w:rsid w:val="00D7441E"/>
    <w:rsid w:val="00D74780"/>
    <w:rsid w:val="00D74FDB"/>
    <w:rsid w:val="00D7503C"/>
    <w:rsid w:val="00D75303"/>
    <w:rsid w:val="00D75542"/>
    <w:rsid w:val="00D75607"/>
    <w:rsid w:val="00D7570A"/>
    <w:rsid w:val="00D75710"/>
    <w:rsid w:val="00D75ECA"/>
    <w:rsid w:val="00D76DF7"/>
    <w:rsid w:val="00D76F62"/>
    <w:rsid w:val="00D77215"/>
    <w:rsid w:val="00D7735D"/>
    <w:rsid w:val="00D7756A"/>
    <w:rsid w:val="00D776BA"/>
    <w:rsid w:val="00D777A2"/>
    <w:rsid w:val="00D77D32"/>
    <w:rsid w:val="00D77FA9"/>
    <w:rsid w:val="00D803EE"/>
    <w:rsid w:val="00D80BF4"/>
    <w:rsid w:val="00D80C34"/>
    <w:rsid w:val="00D80EAD"/>
    <w:rsid w:val="00D81444"/>
    <w:rsid w:val="00D81B7D"/>
    <w:rsid w:val="00D81C10"/>
    <w:rsid w:val="00D82277"/>
    <w:rsid w:val="00D823E8"/>
    <w:rsid w:val="00D82DD5"/>
    <w:rsid w:val="00D83494"/>
    <w:rsid w:val="00D83B21"/>
    <w:rsid w:val="00D83EAE"/>
    <w:rsid w:val="00D848FD"/>
    <w:rsid w:val="00D84C48"/>
    <w:rsid w:val="00D84E01"/>
    <w:rsid w:val="00D84F47"/>
    <w:rsid w:val="00D85351"/>
    <w:rsid w:val="00D85CC1"/>
    <w:rsid w:val="00D85E12"/>
    <w:rsid w:val="00D85FB1"/>
    <w:rsid w:val="00D86750"/>
    <w:rsid w:val="00D868B5"/>
    <w:rsid w:val="00D87451"/>
    <w:rsid w:val="00D8747B"/>
    <w:rsid w:val="00D87B8C"/>
    <w:rsid w:val="00D87F9E"/>
    <w:rsid w:val="00D87FC7"/>
    <w:rsid w:val="00D90AD5"/>
    <w:rsid w:val="00D90C37"/>
    <w:rsid w:val="00D9189D"/>
    <w:rsid w:val="00D91CBE"/>
    <w:rsid w:val="00D92010"/>
    <w:rsid w:val="00D9202E"/>
    <w:rsid w:val="00D923E5"/>
    <w:rsid w:val="00D9375F"/>
    <w:rsid w:val="00D93AF7"/>
    <w:rsid w:val="00D93B86"/>
    <w:rsid w:val="00D94017"/>
    <w:rsid w:val="00D944E0"/>
    <w:rsid w:val="00D947A1"/>
    <w:rsid w:val="00D95729"/>
    <w:rsid w:val="00D957B2"/>
    <w:rsid w:val="00D95859"/>
    <w:rsid w:val="00D9645C"/>
    <w:rsid w:val="00D9673A"/>
    <w:rsid w:val="00D96DF2"/>
    <w:rsid w:val="00D96EE6"/>
    <w:rsid w:val="00D972B7"/>
    <w:rsid w:val="00D977CD"/>
    <w:rsid w:val="00D977EA"/>
    <w:rsid w:val="00D9790D"/>
    <w:rsid w:val="00D97E49"/>
    <w:rsid w:val="00DA029F"/>
    <w:rsid w:val="00DA02B3"/>
    <w:rsid w:val="00DA02DD"/>
    <w:rsid w:val="00DA0583"/>
    <w:rsid w:val="00DA0896"/>
    <w:rsid w:val="00DA096F"/>
    <w:rsid w:val="00DA0FEB"/>
    <w:rsid w:val="00DA14BD"/>
    <w:rsid w:val="00DA1663"/>
    <w:rsid w:val="00DA223A"/>
    <w:rsid w:val="00DA2743"/>
    <w:rsid w:val="00DA3A7B"/>
    <w:rsid w:val="00DA3C49"/>
    <w:rsid w:val="00DA3EE9"/>
    <w:rsid w:val="00DA409D"/>
    <w:rsid w:val="00DA44E2"/>
    <w:rsid w:val="00DA4578"/>
    <w:rsid w:val="00DA4E6B"/>
    <w:rsid w:val="00DA54F0"/>
    <w:rsid w:val="00DA560D"/>
    <w:rsid w:val="00DA5767"/>
    <w:rsid w:val="00DA5CC8"/>
    <w:rsid w:val="00DA61E4"/>
    <w:rsid w:val="00DA698A"/>
    <w:rsid w:val="00DA6CDA"/>
    <w:rsid w:val="00DA6F65"/>
    <w:rsid w:val="00DA7231"/>
    <w:rsid w:val="00DA72D9"/>
    <w:rsid w:val="00DA78D8"/>
    <w:rsid w:val="00DB03F6"/>
    <w:rsid w:val="00DB0481"/>
    <w:rsid w:val="00DB0497"/>
    <w:rsid w:val="00DB0DE8"/>
    <w:rsid w:val="00DB0EF4"/>
    <w:rsid w:val="00DB16E3"/>
    <w:rsid w:val="00DB1EAB"/>
    <w:rsid w:val="00DB2192"/>
    <w:rsid w:val="00DB2B3C"/>
    <w:rsid w:val="00DB2EC7"/>
    <w:rsid w:val="00DB3457"/>
    <w:rsid w:val="00DB3604"/>
    <w:rsid w:val="00DB3F9D"/>
    <w:rsid w:val="00DB3FD1"/>
    <w:rsid w:val="00DB402B"/>
    <w:rsid w:val="00DB465B"/>
    <w:rsid w:val="00DB48E3"/>
    <w:rsid w:val="00DB51E0"/>
    <w:rsid w:val="00DB5523"/>
    <w:rsid w:val="00DB55ED"/>
    <w:rsid w:val="00DB5ABC"/>
    <w:rsid w:val="00DB5C9F"/>
    <w:rsid w:val="00DB64DC"/>
    <w:rsid w:val="00DB675B"/>
    <w:rsid w:val="00DB682E"/>
    <w:rsid w:val="00DB69FC"/>
    <w:rsid w:val="00DB6C6F"/>
    <w:rsid w:val="00DB6CBF"/>
    <w:rsid w:val="00DB6DB8"/>
    <w:rsid w:val="00DB705C"/>
    <w:rsid w:val="00DB7275"/>
    <w:rsid w:val="00DB73C3"/>
    <w:rsid w:val="00DB7664"/>
    <w:rsid w:val="00DB7962"/>
    <w:rsid w:val="00DB7D87"/>
    <w:rsid w:val="00DB7DB9"/>
    <w:rsid w:val="00DB7F2A"/>
    <w:rsid w:val="00DC10C5"/>
    <w:rsid w:val="00DC1468"/>
    <w:rsid w:val="00DC1700"/>
    <w:rsid w:val="00DC22D0"/>
    <w:rsid w:val="00DC246A"/>
    <w:rsid w:val="00DC26F3"/>
    <w:rsid w:val="00DC2805"/>
    <w:rsid w:val="00DC2859"/>
    <w:rsid w:val="00DC29E8"/>
    <w:rsid w:val="00DC2EA0"/>
    <w:rsid w:val="00DC341A"/>
    <w:rsid w:val="00DC3BE7"/>
    <w:rsid w:val="00DC3CCB"/>
    <w:rsid w:val="00DC3E22"/>
    <w:rsid w:val="00DC41A6"/>
    <w:rsid w:val="00DC41E4"/>
    <w:rsid w:val="00DC468F"/>
    <w:rsid w:val="00DC517A"/>
    <w:rsid w:val="00DC5CD8"/>
    <w:rsid w:val="00DC5D0B"/>
    <w:rsid w:val="00DC61FE"/>
    <w:rsid w:val="00DC6729"/>
    <w:rsid w:val="00DC7094"/>
    <w:rsid w:val="00DC74EA"/>
    <w:rsid w:val="00DC7CE2"/>
    <w:rsid w:val="00DC7D55"/>
    <w:rsid w:val="00DC7DD6"/>
    <w:rsid w:val="00DC7DED"/>
    <w:rsid w:val="00DD02C2"/>
    <w:rsid w:val="00DD08FE"/>
    <w:rsid w:val="00DD0AE0"/>
    <w:rsid w:val="00DD182D"/>
    <w:rsid w:val="00DD1B30"/>
    <w:rsid w:val="00DD2094"/>
    <w:rsid w:val="00DD2316"/>
    <w:rsid w:val="00DD2568"/>
    <w:rsid w:val="00DD29B0"/>
    <w:rsid w:val="00DD2EF3"/>
    <w:rsid w:val="00DD2F40"/>
    <w:rsid w:val="00DD362C"/>
    <w:rsid w:val="00DD3725"/>
    <w:rsid w:val="00DD3BB7"/>
    <w:rsid w:val="00DD3EF5"/>
    <w:rsid w:val="00DD400F"/>
    <w:rsid w:val="00DD421D"/>
    <w:rsid w:val="00DD4731"/>
    <w:rsid w:val="00DD4F9A"/>
    <w:rsid w:val="00DD50CC"/>
    <w:rsid w:val="00DD51B8"/>
    <w:rsid w:val="00DD532C"/>
    <w:rsid w:val="00DD6150"/>
    <w:rsid w:val="00DD652B"/>
    <w:rsid w:val="00DD67D6"/>
    <w:rsid w:val="00DD6D94"/>
    <w:rsid w:val="00DD75E6"/>
    <w:rsid w:val="00DD79EC"/>
    <w:rsid w:val="00DD7CC2"/>
    <w:rsid w:val="00DE063A"/>
    <w:rsid w:val="00DE0DA6"/>
    <w:rsid w:val="00DE0E04"/>
    <w:rsid w:val="00DE1567"/>
    <w:rsid w:val="00DE17EB"/>
    <w:rsid w:val="00DE1A10"/>
    <w:rsid w:val="00DE1D99"/>
    <w:rsid w:val="00DE1E1D"/>
    <w:rsid w:val="00DE1EC3"/>
    <w:rsid w:val="00DE1FDF"/>
    <w:rsid w:val="00DE2198"/>
    <w:rsid w:val="00DE263D"/>
    <w:rsid w:val="00DE2944"/>
    <w:rsid w:val="00DE3A84"/>
    <w:rsid w:val="00DE3BF9"/>
    <w:rsid w:val="00DE4B32"/>
    <w:rsid w:val="00DE4E8F"/>
    <w:rsid w:val="00DE4FE1"/>
    <w:rsid w:val="00DE500B"/>
    <w:rsid w:val="00DE514C"/>
    <w:rsid w:val="00DE54D4"/>
    <w:rsid w:val="00DE558F"/>
    <w:rsid w:val="00DE5797"/>
    <w:rsid w:val="00DE5A04"/>
    <w:rsid w:val="00DE5D85"/>
    <w:rsid w:val="00DE628D"/>
    <w:rsid w:val="00DE6382"/>
    <w:rsid w:val="00DE6951"/>
    <w:rsid w:val="00DE6E44"/>
    <w:rsid w:val="00DE7747"/>
    <w:rsid w:val="00DE7D18"/>
    <w:rsid w:val="00DE7DCE"/>
    <w:rsid w:val="00DF0117"/>
    <w:rsid w:val="00DF0129"/>
    <w:rsid w:val="00DF0EE0"/>
    <w:rsid w:val="00DF12B5"/>
    <w:rsid w:val="00DF139E"/>
    <w:rsid w:val="00DF1BD6"/>
    <w:rsid w:val="00DF1DA7"/>
    <w:rsid w:val="00DF2078"/>
    <w:rsid w:val="00DF245C"/>
    <w:rsid w:val="00DF252C"/>
    <w:rsid w:val="00DF2D95"/>
    <w:rsid w:val="00DF30E5"/>
    <w:rsid w:val="00DF37B0"/>
    <w:rsid w:val="00DF3C22"/>
    <w:rsid w:val="00DF4001"/>
    <w:rsid w:val="00DF498F"/>
    <w:rsid w:val="00DF5033"/>
    <w:rsid w:val="00DF5692"/>
    <w:rsid w:val="00DF57E9"/>
    <w:rsid w:val="00DF5FF0"/>
    <w:rsid w:val="00DF64BD"/>
    <w:rsid w:val="00DF67CC"/>
    <w:rsid w:val="00DF6896"/>
    <w:rsid w:val="00DF6BAE"/>
    <w:rsid w:val="00DF6F94"/>
    <w:rsid w:val="00DF72E5"/>
    <w:rsid w:val="00DF7541"/>
    <w:rsid w:val="00DF759B"/>
    <w:rsid w:val="00DF75F4"/>
    <w:rsid w:val="00DF7657"/>
    <w:rsid w:val="00DF76F5"/>
    <w:rsid w:val="00DF7DE1"/>
    <w:rsid w:val="00DF7F0F"/>
    <w:rsid w:val="00E00386"/>
    <w:rsid w:val="00E006C0"/>
    <w:rsid w:val="00E00752"/>
    <w:rsid w:val="00E0075D"/>
    <w:rsid w:val="00E00F48"/>
    <w:rsid w:val="00E0151D"/>
    <w:rsid w:val="00E01C9E"/>
    <w:rsid w:val="00E0241B"/>
    <w:rsid w:val="00E0292A"/>
    <w:rsid w:val="00E02B02"/>
    <w:rsid w:val="00E02B90"/>
    <w:rsid w:val="00E030A2"/>
    <w:rsid w:val="00E03862"/>
    <w:rsid w:val="00E038DD"/>
    <w:rsid w:val="00E03ADF"/>
    <w:rsid w:val="00E04105"/>
    <w:rsid w:val="00E04811"/>
    <w:rsid w:val="00E04D86"/>
    <w:rsid w:val="00E04EBA"/>
    <w:rsid w:val="00E05356"/>
    <w:rsid w:val="00E05511"/>
    <w:rsid w:val="00E05576"/>
    <w:rsid w:val="00E05BBE"/>
    <w:rsid w:val="00E05CB8"/>
    <w:rsid w:val="00E05F05"/>
    <w:rsid w:val="00E06E05"/>
    <w:rsid w:val="00E071D0"/>
    <w:rsid w:val="00E07273"/>
    <w:rsid w:val="00E07693"/>
    <w:rsid w:val="00E0777A"/>
    <w:rsid w:val="00E07801"/>
    <w:rsid w:val="00E1049D"/>
    <w:rsid w:val="00E10ACF"/>
    <w:rsid w:val="00E10C99"/>
    <w:rsid w:val="00E1126B"/>
    <w:rsid w:val="00E11B20"/>
    <w:rsid w:val="00E122D1"/>
    <w:rsid w:val="00E12740"/>
    <w:rsid w:val="00E128A0"/>
    <w:rsid w:val="00E12A30"/>
    <w:rsid w:val="00E12E04"/>
    <w:rsid w:val="00E12E0D"/>
    <w:rsid w:val="00E131FD"/>
    <w:rsid w:val="00E13534"/>
    <w:rsid w:val="00E13767"/>
    <w:rsid w:val="00E13BC5"/>
    <w:rsid w:val="00E13CCF"/>
    <w:rsid w:val="00E149D5"/>
    <w:rsid w:val="00E149DA"/>
    <w:rsid w:val="00E14BDD"/>
    <w:rsid w:val="00E14C1A"/>
    <w:rsid w:val="00E14C87"/>
    <w:rsid w:val="00E14D99"/>
    <w:rsid w:val="00E14DE1"/>
    <w:rsid w:val="00E14F74"/>
    <w:rsid w:val="00E150C3"/>
    <w:rsid w:val="00E1522E"/>
    <w:rsid w:val="00E152A5"/>
    <w:rsid w:val="00E1534C"/>
    <w:rsid w:val="00E15391"/>
    <w:rsid w:val="00E153DC"/>
    <w:rsid w:val="00E159B5"/>
    <w:rsid w:val="00E1674D"/>
    <w:rsid w:val="00E16945"/>
    <w:rsid w:val="00E16B88"/>
    <w:rsid w:val="00E16CD9"/>
    <w:rsid w:val="00E1743D"/>
    <w:rsid w:val="00E17559"/>
    <w:rsid w:val="00E1755F"/>
    <w:rsid w:val="00E17A5E"/>
    <w:rsid w:val="00E20426"/>
    <w:rsid w:val="00E20B91"/>
    <w:rsid w:val="00E21432"/>
    <w:rsid w:val="00E2197F"/>
    <w:rsid w:val="00E21E84"/>
    <w:rsid w:val="00E21FB1"/>
    <w:rsid w:val="00E22FD5"/>
    <w:rsid w:val="00E23692"/>
    <w:rsid w:val="00E23B64"/>
    <w:rsid w:val="00E24644"/>
    <w:rsid w:val="00E24BB5"/>
    <w:rsid w:val="00E24DC1"/>
    <w:rsid w:val="00E24FEF"/>
    <w:rsid w:val="00E251C4"/>
    <w:rsid w:val="00E2529E"/>
    <w:rsid w:val="00E252DA"/>
    <w:rsid w:val="00E2538B"/>
    <w:rsid w:val="00E255A9"/>
    <w:rsid w:val="00E25CF0"/>
    <w:rsid w:val="00E25EAF"/>
    <w:rsid w:val="00E25F2F"/>
    <w:rsid w:val="00E2654E"/>
    <w:rsid w:val="00E274A8"/>
    <w:rsid w:val="00E27681"/>
    <w:rsid w:val="00E30410"/>
    <w:rsid w:val="00E3051F"/>
    <w:rsid w:val="00E30787"/>
    <w:rsid w:val="00E30D99"/>
    <w:rsid w:val="00E30E81"/>
    <w:rsid w:val="00E31234"/>
    <w:rsid w:val="00E317E6"/>
    <w:rsid w:val="00E31810"/>
    <w:rsid w:val="00E318A5"/>
    <w:rsid w:val="00E32087"/>
    <w:rsid w:val="00E3219D"/>
    <w:rsid w:val="00E3227F"/>
    <w:rsid w:val="00E3289A"/>
    <w:rsid w:val="00E33208"/>
    <w:rsid w:val="00E332BC"/>
    <w:rsid w:val="00E33678"/>
    <w:rsid w:val="00E338F6"/>
    <w:rsid w:val="00E33B6D"/>
    <w:rsid w:val="00E33F9B"/>
    <w:rsid w:val="00E34849"/>
    <w:rsid w:val="00E349F3"/>
    <w:rsid w:val="00E34F75"/>
    <w:rsid w:val="00E3504C"/>
    <w:rsid w:val="00E35050"/>
    <w:rsid w:val="00E357D3"/>
    <w:rsid w:val="00E3591E"/>
    <w:rsid w:val="00E35AD2"/>
    <w:rsid w:val="00E35F4B"/>
    <w:rsid w:val="00E366B0"/>
    <w:rsid w:val="00E36ABC"/>
    <w:rsid w:val="00E36B18"/>
    <w:rsid w:val="00E36C11"/>
    <w:rsid w:val="00E36CE2"/>
    <w:rsid w:val="00E36E13"/>
    <w:rsid w:val="00E36E74"/>
    <w:rsid w:val="00E373C7"/>
    <w:rsid w:val="00E374A9"/>
    <w:rsid w:val="00E376B9"/>
    <w:rsid w:val="00E379AE"/>
    <w:rsid w:val="00E37DA1"/>
    <w:rsid w:val="00E4013A"/>
    <w:rsid w:val="00E405EB"/>
    <w:rsid w:val="00E40CF4"/>
    <w:rsid w:val="00E41059"/>
    <w:rsid w:val="00E410AD"/>
    <w:rsid w:val="00E4120D"/>
    <w:rsid w:val="00E414A8"/>
    <w:rsid w:val="00E4171A"/>
    <w:rsid w:val="00E41BD3"/>
    <w:rsid w:val="00E42BC8"/>
    <w:rsid w:val="00E42F88"/>
    <w:rsid w:val="00E431B2"/>
    <w:rsid w:val="00E433F6"/>
    <w:rsid w:val="00E43865"/>
    <w:rsid w:val="00E43EBB"/>
    <w:rsid w:val="00E43FA4"/>
    <w:rsid w:val="00E440AA"/>
    <w:rsid w:val="00E4435E"/>
    <w:rsid w:val="00E4470D"/>
    <w:rsid w:val="00E45143"/>
    <w:rsid w:val="00E45538"/>
    <w:rsid w:val="00E45B46"/>
    <w:rsid w:val="00E45F24"/>
    <w:rsid w:val="00E461A5"/>
    <w:rsid w:val="00E465EB"/>
    <w:rsid w:val="00E46683"/>
    <w:rsid w:val="00E466CC"/>
    <w:rsid w:val="00E4677D"/>
    <w:rsid w:val="00E46D37"/>
    <w:rsid w:val="00E46DF3"/>
    <w:rsid w:val="00E46E54"/>
    <w:rsid w:val="00E47226"/>
    <w:rsid w:val="00E47809"/>
    <w:rsid w:val="00E47AD2"/>
    <w:rsid w:val="00E501B3"/>
    <w:rsid w:val="00E50594"/>
    <w:rsid w:val="00E50D2B"/>
    <w:rsid w:val="00E513C1"/>
    <w:rsid w:val="00E51DEB"/>
    <w:rsid w:val="00E52136"/>
    <w:rsid w:val="00E52A7B"/>
    <w:rsid w:val="00E531B4"/>
    <w:rsid w:val="00E535FB"/>
    <w:rsid w:val="00E535FF"/>
    <w:rsid w:val="00E5399B"/>
    <w:rsid w:val="00E53FD2"/>
    <w:rsid w:val="00E54663"/>
    <w:rsid w:val="00E5472C"/>
    <w:rsid w:val="00E54B2B"/>
    <w:rsid w:val="00E54BD9"/>
    <w:rsid w:val="00E54DB8"/>
    <w:rsid w:val="00E54E85"/>
    <w:rsid w:val="00E5505B"/>
    <w:rsid w:val="00E553C8"/>
    <w:rsid w:val="00E554A7"/>
    <w:rsid w:val="00E5592F"/>
    <w:rsid w:val="00E56043"/>
    <w:rsid w:val="00E56635"/>
    <w:rsid w:val="00E56D98"/>
    <w:rsid w:val="00E56DF4"/>
    <w:rsid w:val="00E57241"/>
    <w:rsid w:val="00E57402"/>
    <w:rsid w:val="00E57A56"/>
    <w:rsid w:val="00E57B33"/>
    <w:rsid w:val="00E60A20"/>
    <w:rsid w:val="00E61AEA"/>
    <w:rsid w:val="00E61C5B"/>
    <w:rsid w:val="00E61EC6"/>
    <w:rsid w:val="00E6212C"/>
    <w:rsid w:val="00E621FE"/>
    <w:rsid w:val="00E6241E"/>
    <w:rsid w:val="00E624C7"/>
    <w:rsid w:val="00E62BAF"/>
    <w:rsid w:val="00E63369"/>
    <w:rsid w:val="00E63B94"/>
    <w:rsid w:val="00E641BC"/>
    <w:rsid w:val="00E642BA"/>
    <w:rsid w:val="00E64460"/>
    <w:rsid w:val="00E6452A"/>
    <w:rsid w:val="00E64686"/>
    <w:rsid w:val="00E6494A"/>
    <w:rsid w:val="00E64B69"/>
    <w:rsid w:val="00E64D8B"/>
    <w:rsid w:val="00E64E93"/>
    <w:rsid w:val="00E65516"/>
    <w:rsid w:val="00E659A1"/>
    <w:rsid w:val="00E66013"/>
    <w:rsid w:val="00E66282"/>
    <w:rsid w:val="00E6663B"/>
    <w:rsid w:val="00E66C4F"/>
    <w:rsid w:val="00E66D0A"/>
    <w:rsid w:val="00E67ED8"/>
    <w:rsid w:val="00E67F44"/>
    <w:rsid w:val="00E67F7B"/>
    <w:rsid w:val="00E7040C"/>
    <w:rsid w:val="00E7068A"/>
    <w:rsid w:val="00E707C1"/>
    <w:rsid w:val="00E70B66"/>
    <w:rsid w:val="00E70E8D"/>
    <w:rsid w:val="00E70F87"/>
    <w:rsid w:val="00E7103C"/>
    <w:rsid w:val="00E7190D"/>
    <w:rsid w:val="00E71BE5"/>
    <w:rsid w:val="00E71C28"/>
    <w:rsid w:val="00E71C5F"/>
    <w:rsid w:val="00E720B1"/>
    <w:rsid w:val="00E72265"/>
    <w:rsid w:val="00E731ED"/>
    <w:rsid w:val="00E732A2"/>
    <w:rsid w:val="00E73914"/>
    <w:rsid w:val="00E739D6"/>
    <w:rsid w:val="00E73F7E"/>
    <w:rsid w:val="00E745CD"/>
    <w:rsid w:val="00E74B6F"/>
    <w:rsid w:val="00E74F9A"/>
    <w:rsid w:val="00E75087"/>
    <w:rsid w:val="00E75228"/>
    <w:rsid w:val="00E75EC3"/>
    <w:rsid w:val="00E75EE6"/>
    <w:rsid w:val="00E7608B"/>
    <w:rsid w:val="00E76F2B"/>
    <w:rsid w:val="00E773BB"/>
    <w:rsid w:val="00E77AF4"/>
    <w:rsid w:val="00E807A9"/>
    <w:rsid w:val="00E80AB6"/>
    <w:rsid w:val="00E80E23"/>
    <w:rsid w:val="00E81274"/>
    <w:rsid w:val="00E81302"/>
    <w:rsid w:val="00E816EE"/>
    <w:rsid w:val="00E81D16"/>
    <w:rsid w:val="00E826E4"/>
    <w:rsid w:val="00E82779"/>
    <w:rsid w:val="00E82997"/>
    <w:rsid w:val="00E82C88"/>
    <w:rsid w:val="00E82FC9"/>
    <w:rsid w:val="00E839C8"/>
    <w:rsid w:val="00E83F13"/>
    <w:rsid w:val="00E857B4"/>
    <w:rsid w:val="00E85E0B"/>
    <w:rsid w:val="00E862FA"/>
    <w:rsid w:val="00E863E1"/>
    <w:rsid w:val="00E86EE4"/>
    <w:rsid w:val="00E877B3"/>
    <w:rsid w:val="00E8794A"/>
    <w:rsid w:val="00E87A03"/>
    <w:rsid w:val="00E9145D"/>
    <w:rsid w:val="00E9206D"/>
    <w:rsid w:val="00E920D0"/>
    <w:rsid w:val="00E923D0"/>
    <w:rsid w:val="00E926D9"/>
    <w:rsid w:val="00E92A1B"/>
    <w:rsid w:val="00E92A66"/>
    <w:rsid w:val="00E93CD7"/>
    <w:rsid w:val="00E93E71"/>
    <w:rsid w:val="00E94500"/>
    <w:rsid w:val="00E952FA"/>
    <w:rsid w:val="00E95553"/>
    <w:rsid w:val="00E95E8C"/>
    <w:rsid w:val="00E9651E"/>
    <w:rsid w:val="00E96D5D"/>
    <w:rsid w:val="00E96E6F"/>
    <w:rsid w:val="00E973D7"/>
    <w:rsid w:val="00E97804"/>
    <w:rsid w:val="00E97ED3"/>
    <w:rsid w:val="00EA0061"/>
    <w:rsid w:val="00EA03DA"/>
    <w:rsid w:val="00EA0B54"/>
    <w:rsid w:val="00EA1485"/>
    <w:rsid w:val="00EA15BE"/>
    <w:rsid w:val="00EA2844"/>
    <w:rsid w:val="00EA2B4F"/>
    <w:rsid w:val="00EA300C"/>
    <w:rsid w:val="00EA35B8"/>
    <w:rsid w:val="00EA363A"/>
    <w:rsid w:val="00EA37E2"/>
    <w:rsid w:val="00EA3951"/>
    <w:rsid w:val="00EA3BF2"/>
    <w:rsid w:val="00EA3E6A"/>
    <w:rsid w:val="00EA4099"/>
    <w:rsid w:val="00EA4284"/>
    <w:rsid w:val="00EA4AB1"/>
    <w:rsid w:val="00EA5298"/>
    <w:rsid w:val="00EA531C"/>
    <w:rsid w:val="00EA53A3"/>
    <w:rsid w:val="00EA55D1"/>
    <w:rsid w:val="00EA59B5"/>
    <w:rsid w:val="00EA5A23"/>
    <w:rsid w:val="00EA646F"/>
    <w:rsid w:val="00EA6515"/>
    <w:rsid w:val="00EA7ADD"/>
    <w:rsid w:val="00EB011D"/>
    <w:rsid w:val="00EB0207"/>
    <w:rsid w:val="00EB0403"/>
    <w:rsid w:val="00EB123D"/>
    <w:rsid w:val="00EB1563"/>
    <w:rsid w:val="00EB1B4C"/>
    <w:rsid w:val="00EB1D32"/>
    <w:rsid w:val="00EB2283"/>
    <w:rsid w:val="00EB24C6"/>
    <w:rsid w:val="00EB2539"/>
    <w:rsid w:val="00EB2595"/>
    <w:rsid w:val="00EB2980"/>
    <w:rsid w:val="00EB2DD7"/>
    <w:rsid w:val="00EB3296"/>
    <w:rsid w:val="00EB33EA"/>
    <w:rsid w:val="00EB372F"/>
    <w:rsid w:val="00EB3885"/>
    <w:rsid w:val="00EB3A04"/>
    <w:rsid w:val="00EB40AB"/>
    <w:rsid w:val="00EB40E2"/>
    <w:rsid w:val="00EB422A"/>
    <w:rsid w:val="00EB4A46"/>
    <w:rsid w:val="00EB50D2"/>
    <w:rsid w:val="00EB5473"/>
    <w:rsid w:val="00EB56F0"/>
    <w:rsid w:val="00EB5811"/>
    <w:rsid w:val="00EB5876"/>
    <w:rsid w:val="00EB5A24"/>
    <w:rsid w:val="00EB5B8A"/>
    <w:rsid w:val="00EB5C31"/>
    <w:rsid w:val="00EB639C"/>
    <w:rsid w:val="00EB6D24"/>
    <w:rsid w:val="00EB6D74"/>
    <w:rsid w:val="00EB7773"/>
    <w:rsid w:val="00EB7F66"/>
    <w:rsid w:val="00EC007F"/>
    <w:rsid w:val="00EC01A3"/>
    <w:rsid w:val="00EC0512"/>
    <w:rsid w:val="00EC08BD"/>
    <w:rsid w:val="00EC098C"/>
    <w:rsid w:val="00EC150B"/>
    <w:rsid w:val="00EC1D18"/>
    <w:rsid w:val="00EC2252"/>
    <w:rsid w:val="00EC27B5"/>
    <w:rsid w:val="00EC29E0"/>
    <w:rsid w:val="00EC2D2D"/>
    <w:rsid w:val="00EC2F60"/>
    <w:rsid w:val="00EC409C"/>
    <w:rsid w:val="00EC40AB"/>
    <w:rsid w:val="00EC4299"/>
    <w:rsid w:val="00EC432E"/>
    <w:rsid w:val="00EC4347"/>
    <w:rsid w:val="00EC46D0"/>
    <w:rsid w:val="00EC4888"/>
    <w:rsid w:val="00EC4A85"/>
    <w:rsid w:val="00EC5323"/>
    <w:rsid w:val="00EC688B"/>
    <w:rsid w:val="00EC6A84"/>
    <w:rsid w:val="00EC6E95"/>
    <w:rsid w:val="00EC7563"/>
    <w:rsid w:val="00EC7CCF"/>
    <w:rsid w:val="00EC7FB9"/>
    <w:rsid w:val="00ED03FC"/>
    <w:rsid w:val="00ED0420"/>
    <w:rsid w:val="00ED0996"/>
    <w:rsid w:val="00ED0C1F"/>
    <w:rsid w:val="00ED0FB1"/>
    <w:rsid w:val="00ED13C7"/>
    <w:rsid w:val="00ED1BED"/>
    <w:rsid w:val="00ED1C7C"/>
    <w:rsid w:val="00ED1E59"/>
    <w:rsid w:val="00ED2224"/>
    <w:rsid w:val="00ED2542"/>
    <w:rsid w:val="00ED30BC"/>
    <w:rsid w:val="00ED3533"/>
    <w:rsid w:val="00ED36F2"/>
    <w:rsid w:val="00ED3FF5"/>
    <w:rsid w:val="00ED4022"/>
    <w:rsid w:val="00ED4662"/>
    <w:rsid w:val="00ED4B03"/>
    <w:rsid w:val="00ED4BD0"/>
    <w:rsid w:val="00ED4DCD"/>
    <w:rsid w:val="00ED4ED8"/>
    <w:rsid w:val="00ED5791"/>
    <w:rsid w:val="00ED5B84"/>
    <w:rsid w:val="00ED5D6F"/>
    <w:rsid w:val="00ED5E29"/>
    <w:rsid w:val="00ED62FF"/>
    <w:rsid w:val="00ED69C0"/>
    <w:rsid w:val="00ED6DFF"/>
    <w:rsid w:val="00ED74A0"/>
    <w:rsid w:val="00ED74DA"/>
    <w:rsid w:val="00ED762C"/>
    <w:rsid w:val="00ED7A29"/>
    <w:rsid w:val="00ED7EEC"/>
    <w:rsid w:val="00EE012E"/>
    <w:rsid w:val="00EE13CC"/>
    <w:rsid w:val="00EE15F5"/>
    <w:rsid w:val="00EE172B"/>
    <w:rsid w:val="00EE1A0E"/>
    <w:rsid w:val="00EE217A"/>
    <w:rsid w:val="00EE28AC"/>
    <w:rsid w:val="00EE2C84"/>
    <w:rsid w:val="00EE38D6"/>
    <w:rsid w:val="00EE3AF2"/>
    <w:rsid w:val="00EE3CEB"/>
    <w:rsid w:val="00EE4566"/>
    <w:rsid w:val="00EE4A39"/>
    <w:rsid w:val="00EE5D51"/>
    <w:rsid w:val="00EE5F0F"/>
    <w:rsid w:val="00EE5F79"/>
    <w:rsid w:val="00EE7062"/>
    <w:rsid w:val="00EE70D7"/>
    <w:rsid w:val="00EE79D5"/>
    <w:rsid w:val="00EE7F92"/>
    <w:rsid w:val="00EF01FC"/>
    <w:rsid w:val="00EF032D"/>
    <w:rsid w:val="00EF0459"/>
    <w:rsid w:val="00EF087A"/>
    <w:rsid w:val="00EF0F28"/>
    <w:rsid w:val="00EF1637"/>
    <w:rsid w:val="00EF1ABF"/>
    <w:rsid w:val="00EF2030"/>
    <w:rsid w:val="00EF24C7"/>
    <w:rsid w:val="00EF26A9"/>
    <w:rsid w:val="00EF26B5"/>
    <w:rsid w:val="00EF30D6"/>
    <w:rsid w:val="00EF350D"/>
    <w:rsid w:val="00EF4045"/>
    <w:rsid w:val="00EF478F"/>
    <w:rsid w:val="00EF4951"/>
    <w:rsid w:val="00EF4F54"/>
    <w:rsid w:val="00EF56D1"/>
    <w:rsid w:val="00EF5E6E"/>
    <w:rsid w:val="00EF667D"/>
    <w:rsid w:val="00EF67D8"/>
    <w:rsid w:val="00EF6AD6"/>
    <w:rsid w:val="00EF6B8F"/>
    <w:rsid w:val="00EF7DA1"/>
    <w:rsid w:val="00F00278"/>
    <w:rsid w:val="00F002E1"/>
    <w:rsid w:val="00F002F5"/>
    <w:rsid w:val="00F00527"/>
    <w:rsid w:val="00F005E8"/>
    <w:rsid w:val="00F00616"/>
    <w:rsid w:val="00F0089F"/>
    <w:rsid w:val="00F00E68"/>
    <w:rsid w:val="00F0152D"/>
    <w:rsid w:val="00F01A1B"/>
    <w:rsid w:val="00F01CA8"/>
    <w:rsid w:val="00F024A0"/>
    <w:rsid w:val="00F02C0F"/>
    <w:rsid w:val="00F02FE0"/>
    <w:rsid w:val="00F0313C"/>
    <w:rsid w:val="00F03A0C"/>
    <w:rsid w:val="00F03FD6"/>
    <w:rsid w:val="00F048DC"/>
    <w:rsid w:val="00F0532F"/>
    <w:rsid w:val="00F056EF"/>
    <w:rsid w:val="00F0673F"/>
    <w:rsid w:val="00F068EC"/>
    <w:rsid w:val="00F07A0E"/>
    <w:rsid w:val="00F07A14"/>
    <w:rsid w:val="00F07A66"/>
    <w:rsid w:val="00F07EAF"/>
    <w:rsid w:val="00F10472"/>
    <w:rsid w:val="00F10BDE"/>
    <w:rsid w:val="00F11C9B"/>
    <w:rsid w:val="00F12021"/>
    <w:rsid w:val="00F1209D"/>
    <w:rsid w:val="00F125B7"/>
    <w:rsid w:val="00F1309E"/>
    <w:rsid w:val="00F13364"/>
    <w:rsid w:val="00F135F2"/>
    <w:rsid w:val="00F137BF"/>
    <w:rsid w:val="00F13C68"/>
    <w:rsid w:val="00F13FF6"/>
    <w:rsid w:val="00F141BF"/>
    <w:rsid w:val="00F14624"/>
    <w:rsid w:val="00F14B49"/>
    <w:rsid w:val="00F14BB6"/>
    <w:rsid w:val="00F14D40"/>
    <w:rsid w:val="00F156EC"/>
    <w:rsid w:val="00F15F3D"/>
    <w:rsid w:val="00F15FC3"/>
    <w:rsid w:val="00F16166"/>
    <w:rsid w:val="00F161C2"/>
    <w:rsid w:val="00F16431"/>
    <w:rsid w:val="00F16EA6"/>
    <w:rsid w:val="00F17047"/>
    <w:rsid w:val="00F17093"/>
    <w:rsid w:val="00F170BD"/>
    <w:rsid w:val="00F171E1"/>
    <w:rsid w:val="00F172CE"/>
    <w:rsid w:val="00F1742F"/>
    <w:rsid w:val="00F17A8F"/>
    <w:rsid w:val="00F17B6C"/>
    <w:rsid w:val="00F204F2"/>
    <w:rsid w:val="00F2073C"/>
    <w:rsid w:val="00F20813"/>
    <w:rsid w:val="00F21524"/>
    <w:rsid w:val="00F21C20"/>
    <w:rsid w:val="00F22391"/>
    <w:rsid w:val="00F22421"/>
    <w:rsid w:val="00F2269F"/>
    <w:rsid w:val="00F23410"/>
    <w:rsid w:val="00F23588"/>
    <w:rsid w:val="00F238E7"/>
    <w:rsid w:val="00F239AC"/>
    <w:rsid w:val="00F239DC"/>
    <w:rsid w:val="00F23D6C"/>
    <w:rsid w:val="00F23E1D"/>
    <w:rsid w:val="00F24039"/>
    <w:rsid w:val="00F2421A"/>
    <w:rsid w:val="00F24B9A"/>
    <w:rsid w:val="00F24C31"/>
    <w:rsid w:val="00F24F28"/>
    <w:rsid w:val="00F25442"/>
    <w:rsid w:val="00F25518"/>
    <w:rsid w:val="00F2551B"/>
    <w:rsid w:val="00F25990"/>
    <w:rsid w:val="00F25CB1"/>
    <w:rsid w:val="00F25D2E"/>
    <w:rsid w:val="00F267AB"/>
    <w:rsid w:val="00F26951"/>
    <w:rsid w:val="00F26C35"/>
    <w:rsid w:val="00F26CFA"/>
    <w:rsid w:val="00F26E42"/>
    <w:rsid w:val="00F27337"/>
    <w:rsid w:val="00F27909"/>
    <w:rsid w:val="00F27C8D"/>
    <w:rsid w:val="00F27E08"/>
    <w:rsid w:val="00F306DB"/>
    <w:rsid w:val="00F30778"/>
    <w:rsid w:val="00F3137E"/>
    <w:rsid w:val="00F313C1"/>
    <w:rsid w:val="00F3188E"/>
    <w:rsid w:val="00F319B9"/>
    <w:rsid w:val="00F31D63"/>
    <w:rsid w:val="00F32588"/>
    <w:rsid w:val="00F32B69"/>
    <w:rsid w:val="00F33347"/>
    <w:rsid w:val="00F335D8"/>
    <w:rsid w:val="00F3360C"/>
    <w:rsid w:val="00F3364C"/>
    <w:rsid w:val="00F3390E"/>
    <w:rsid w:val="00F343FD"/>
    <w:rsid w:val="00F3479D"/>
    <w:rsid w:val="00F34891"/>
    <w:rsid w:val="00F34DF9"/>
    <w:rsid w:val="00F34E88"/>
    <w:rsid w:val="00F352D2"/>
    <w:rsid w:val="00F353E9"/>
    <w:rsid w:val="00F35A81"/>
    <w:rsid w:val="00F35BAC"/>
    <w:rsid w:val="00F35FA2"/>
    <w:rsid w:val="00F3613F"/>
    <w:rsid w:val="00F369A1"/>
    <w:rsid w:val="00F369DE"/>
    <w:rsid w:val="00F369FD"/>
    <w:rsid w:val="00F36A34"/>
    <w:rsid w:val="00F370E3"/>
    <w:rsid w:val="00F3738A"/>
    <w:rsid w:val="00F3739E"/>
    <w:rsid w:val="00F3743C"/>
    <w:rsid w:val="00F37681"/>
    <w:rsid w:val="00F37C00"/>
    <w:rsid w:val="00F37E89"/>
    <w:rsid w:val="00F40CCE"/>
    <w:rsid w:val="00F41106"/>
    <w:rsid w:val="00F41622"/>
    <w:rsid w:val="00F4179B"/>
    <w:rsid w:val="00F41C19"/>
    <w:rsid w:val="00F41C67"/>
    <w:rsid w:val="00F42200"/>
    <w:rsid w:val="00F4240E"/>
    <w:rsid w:val="00F42880"/>
    <w:rsid w:val="00F4301A"/>
    <w:rsid w:val="00F434B8"/>
    <w:rsid w:val="00F43512"/>
    <w:rsid w:val="00F43BE2"/>
    <w:rsid w:val="00F43EE2"/>
    <w:rsid w:val="00F44954"/>
    <w:rsid w:val="00F44C26"/>
    <w:rsid w:val="00F44CB5"/>
    <w:rsid w:val="00F44F52"/>
    <w:rsid w:val="00F45120"/>
    <w:rsid w:val="00F4573D"/>
    <w:rsid w:val="00F45808"/>
    <w:rsid w:val="00F4618A"/>
    <w:rsid w:val="00F4690C"/>
    <w:rsid w:val="00F46AF8"/>
    <w:rsid w:val="00F46E62"/>
    <w:rsid w:val="00F47397"/>
    <w:rsid w:val="00F47471"/>
    <w:rsid w:val="00F4756C"/>
    <w:rsid w:val="00F47645"/>
    <w:rsid w:val="00F479C9"/>
    <w:rsid w:val="00F47BAA"/>
    <w:rsid w:val="00F502F3"/>
    <w:rsid w:val="00F50382"/>
    <w:rsid w:val="00F505F9"/>
    <w:rsid w:val="00F5098C"/>
    <w:rsid w:val="00F50C5E"/>
    <w:rsid w:val="00F517F5"/>
    <w:rsid w:val="00F5180E"/>
    <w:rsid w:val="00F51B17"/>
    <w:rsid w:val="00F5259B"/>
    <w:rsid w:val="00F52E27"/>
    <w:rsid w:val="00F53088"/>
    <w:rsid w:val="00F53132"/>
    <w:rsid w:val="00F531BA"/>
    <w:rsid w:val="00F532FB"/>
    <w:rsid w:val="00F5351B"/>
    <w:rsid w:val="00F53530"/>
    <w:rsid w:val="00F535CC"/>
    <w:rsid w:val="00F53CED"/>
    <w:rsid w:val="00F53D06"/>
    <w:rsid w:val="00F53F5E"/>
    <w:rsid w:val="00F5536A"/>
    <w:rsid w:val="00F553EE"/>
    <w:rsid w:val="00F55A43"/>
    <w:rsid w:val="00F55A79"/>
    <w:rsid w:val="00F56512"/>
    <w:rsid w:val="00F56AB1"/>
    <w:rsid w:val="00F572EF"/>
    <w:rsid w:val="00F57885"/>
    <w:rsid w:val="00F578F7"/>
    <w:rsid w:val="00F57AC9"/>
    <w:rsid w:val="00F57FBF"/>
    <w:rsid w:val="00F60348"/>
    <w:rsid w:val="00F60690"/>
    <w:rsid w:val="00F6073A"/>
    <w:rsid w:val="00F60746"/>
    <w:rsid w:val="00F60C95"/>
    <w:rsid w:val="00F60EC2"/>
    <w:rsid w:val="00F610E2"/>
    <w:rsid w:val="00F6122B"/>
    <w:rsid w:val="00F6128A"/>
    <w:rsid w:val="00F61362"/>
    <w:rsid w:val="00F61829"/>
    <w:rsid w:val="00F61B2A"/>
    <w:rsid w:val="00F61DFB"/>
    <w:rsid w:val="00F61F82"/>
    <w:rsid w:val="00F62018"/>
    <w:rsid w:val="00F62802"/>
    <w:rsid w:val="00F62A52"/>
    <w:rsid w:val="00F62ABA"/>
    <w:rsid w:val="00F62C2C"/>
    <w:rsid w:val="00F62E24"/>
    <w:rsid w:val="00F63B03"/>
    <w:rsid w:val="00F63C2E"/>
    <w:rsid w:val="00F64355"/>
    <w:rsid w:val="00F648DC"/>
    <w:rsid w:val="00F64B5F"/>
    <w:rsid w:val="00F65089"/>
    <w:rsid w:val="00F65663"/>
    <w:rsid w:val="00F6588D"/>
    <w:rsid w:val="00F65A92"/>
    <w:rsid w:val="00F65C73"/>
    <w:rsid w:val="00F65D0F"/>
    <w:rsid w:val="00F66298"/>
    <w:rsid w:val="00F66384"/>
    <w:rsid w:val="00F66466"/>
    <w:rsid w:val="00F66967"/>
    <w:rsid w:val="00F66FC3"/>
    <w:rsid w:val="00F6714C"/>
    <w:rsid w:val="00F67C01"/>
    <w:rsid w:val="00F67CE7"/>
    <w:rsid w:val="00F70388"/>
    <w:rsid w:val="00F70BED"/>
    <w:rsid w:val="00F70E8E"/>
    <w:rsid w:val="00F71987"/>
    <w:rsid w:val="00F71E2A"/>
    <w:rsid w:val="00F71F3D"/>
    <w:rsid w:val="00F7238C"/>
    <w:rsid w:val="00F72971"/>
    <w:rsid w:val="00F72A00"/>
    <w:rsid w:val="00F72B83"/>
    <w:rsid w:val="00F73F4C"/>
    <w:rsid w:val="00F73FF3"/>
    <w:rsid w:val="00F74628"/>
    <w:rsid w:val="00F74BE3"/>
    <w:rsid w:val="00F750E8"/>
    <w:rsid w:val="00F7583A"/>
    <w:rsid w:val="00F75D73"/>
    <w:rsid w:val="00F7671E"/>
    <w:rsid w:val="00F7692D"/>
    <w:rsid w:val="00F76AAD"/>
    <w:rsid w:val="00F77015"/>
    <w:rsid w:val="00F77471"/>
    <w:rsid w:val="00F776F1"/>
    <w:rsid w:val="00F77A2B"/>
    <w:rsid w:val="00F77C48"/>
    <w:rsid w:val="00F77C62"/>
    <w:rsid w:val="00F8029C"/>
    <w:rsid w:val="00F805DF"/>
    <w:rsid w:val="00F80800"/>
    <w:rsid w:val="00F80884"/>
    <w:rsid w:val="00F8129C"/>
    <w:rsid w:val="00F81385"/>
    <w:rsid w:val="00F81EA2"/>
    <w:rsid w:val="00F8213E"/>
    <w:rsid w:val="00F821F1"/>
    <w:rsid w:val="00F82329"/>
    <w:rsid w:val="00F82518"/>
    <w:rsid w:val="00F82747"/>
    <w:rsid w:val="00F828D1"/>
    <w:rsid w:val="00F82992"/>
    <w:rsid w:val="00F8346D"/>
    <w:rsid w:val="00F834AA"/>
    <w:rsid w:val="00F83AB7"/>
    <w:rsid w:val="00F83FCA"/>
    <w:rsid w:val="00F8416C"/>
    <w:rsid w:val="00F84416"/>
    <w:rsid w:val="00F849C2"/>
    <w:rsid w:val="00F84B8D"/>
    <w:rsid w:val="00F84D11"/>
    <w:rsid w:val="00F84DBF"/>
    <w:rsid w:val="00F8565B"/>
    <w:rsid w:val="00F85CEC"/>
    <w:rsid w:val="00F86AED"/>
    <w:rsid w:val="00F86CBC"/>
    <w:rsid w:val="00F87279"/>
    <w:rsid w:val="00F87396"/>
    <w:rsid w:val="00F87645"/>
    <w:rsid w:val="00F8776C"/>
    <w:rsid w:val="00F87801"/>
    <w:rsid w:val="00F90B40"/>
    <w:rsid w:val="00F90B59"/>
    <w:rsid w:val="00F91238"/>
    <w:rsid w:val="00F91931"/>
    <w:rsid w:val="00F91D05"/>
    <w:rsid w:val="00F93044"/>
    <w:rsid w:val="00F93669"/>
    <w:rsid w:val="00F93975"/>
    <w:rsid w:val="00F94244"/>
    <w:rsid w:val="00F94819"/>
    <w:rsid w:val="00F95E41"/>
    <w:rsid w:val="00F9613F"/>
    <w:rsid w:val="00F968AD"/>
    <w:rsid w:val="00F969C9"/>
    <w:rsid w:val="00F96BAE"/>
    <w:rsid w:val="00F96F20"/>
    <w:rsid w:val="00F973D7"/>
    <w:rsid w:val="00F974D3"/>
    <w:rsid w:val="00F97616"/>
    <w:rsid w:val="00F977AE"/>
    <w:rsid w:val="00FA005F"/>
    <w:rsid w:val="00FA0405"/>
    <w:rsid w:val="00FA148A"/>
    <w:rsid w:val="00FA1A76"/>
    <w:rsid w:val="00FA1C12"/>
    <w:rsid w:val="00FA1DC8"/>
    <w:rsid w:val="00FA1E3F"/>
    <w:rsid w:val="00FA23A9"/>
    <w:rsid w:val="00FA24B9"/>
    <w:rsid w:val="00FA24DF"/>
    <w:rsid w:val="00FA2C2C"/>
    <w:rsid w:val="00FA3095"/>
    <w:rsid w:val="00FA3168"/>
    <w:rsid w:val="00FA31AC"/>
    <w:rsid w:val="00FA35D5"/>
    <w:rsid w:val="00FA362C"/>
    <w:rsid w:val="00FA382B"/>
    <w:rsid w:val="00FA3979"/>
    <w:rsid w:val="00FA3CB8"/>
    <w:rsid w:val="00FA402F"/>
    <w:rsid w:val="00FA44F6"/>
    <w:rsid w:val="00FA4A3E"/>
    <w:rsid w:val="00FA4CD8"/>
    <w:rsid w:val="00FA50E1"/>
    <w:rsid w:val="00FA5160"/>
    <w:rsid w:val="00FA51F4"/>
    <w:rsid w:val="00FA55B8"/>
    <w:rsid w:val="00FA55D5"/>
    <w:rsid w:val="00FA5DAE"/>
    <w:rsid w:val="00FA6188"/>
    <w:rsid w:val="00FA61C8"/>
    <w:rsid w:val="00FA6A80"/>
    <w:rsid w:val="00FA6C68"/>
    <w:rsid w:val="00FA6DB0"/>
    <w:rsid w:val="00FA7294"/>
    <w:rsid w:val="00FA72D2"/>
    <w:rsid w:val="00FA74B9"/>
    <w:rsid w:val="00FA7986"/>
    <w:rsid w:val="00FA7F10"/>
    <w:rsid w:val="00FA7F23"/>
    <w:rsid w:val="00FA7F3C"/>
    <w:rsid w:val="00FB055D"/>
    <w:rsid w:val="00FB0A83"/>
    <w:rsid w:val="00FB0B05"/>
    <w:rsid w:val="00FB1257"/>
    <w:rsid w:val="00FB12FC"/>
    <w:rsid w:val="00FB1A05"/>
    <w:rsid w:val="00FB1B65"/>
    <w:rsid w:val="00FB27CB"/>
    <w:rsid w:val="00FB2B35"/>
    <w:rsid w:val="00FB2C16"/>
    <w:rsid w:val="00FB3459"/>
    <w:rsid w:val="00FB350E"/>
    <w:rsid w:val="00FB365D"/>
    <w:rsid w:val="00FB374A"/>
    <w:rsid w:val="00FB3820"/>
    <w:rsid w:val="00FB3DB2"/>
    <w:rsid w:val="00FB4AE3"/>
    <w:rsid w:val="00FB4C67"/>
    <w:rsid w:val="00FB4D2B"/>
    <w:rsid w:val="00FB4E1B"/>
    <w:rsid w:val="00FB5D5B"/>
    <w:rsid w:val="00FB606A"/>
    <w:rsid w:val="00FB6188"/>
    <w:rsid w:val="00FB69D7"/>
    <w:rsid w:val="00FB69E6"/>
    <w:rsid w:val="00FB6CD1"/>
    <w:rsid w:val="00FB711C"/>
    <w:rsid w:val="00FB75AE"/>
    <w:rsid w:val="00FC1F84"/>
    <w:rsid w:val="00FC204A"/>
    <w:rsid w:val="00FC2445"/>
    <w:rsid w:val="00FC25DF"/>
    <w:rsid w:val="00FC2F32"/>
    <w:rsid w:val="00FC3126"/>
    <w:rsid w:val="00FC346C"/>
    <w:rsid w:val="00FC347A"/>
    <w:rsid w:val="00FC3AB9"/>
    <w:rsid w:val="00FC3F4B"/>
    <w:rsid w:val="00FC4142"/>
    <w:rsid w:val="00FC4417"/>
    <w:rsid w:val="00FC4530"/>
    <w:rsid w:val="00FC47B8"/>
    <w:rsid w:val="00FC4C7F"/>
    <w:rsid w:val="00FC581C"/>
    <w:rsid w:val="00FC5B42"/>
    <w:rsid w:val="00FC696B"/>
    <w:rsid w:val="00FC709F"/>
    <w:rsid w:val="00FC7227"/>
    <w:rsid w:val="00FC75B2"/>
    <w:rsid w:val="00FC7671"/>
    <w:rsid w:val="00FC76EF"/>
    <w:rsid w:val="00FC7ACF"/>
    <w:rsid w:val="00FC7B82"/>
    <w:rsid w:val="00FD0659"/>
    <w:rsid w:val="00FD066F"/>
    <w:rsid w:val="00FD07C9"/>
    <w:rsid w:val="00FD1114"/>
    <w:rsid w:val="00FD17C9"/>
    <w:rsid w:val="00FD1C00"/>
    <w:rsid w:val="00FD1F3D"/>
    <w:rsid w:val="00FD2A0E"/>
    <w:rsid w:val="00FD32F5"/>
    <w:rsid w:val="00FD359E"/>
    <w:rsid w:val="00FD398C"/>
    <w:rsid w:val="00FD3E85"/>
    <w:rsid w:val="00FD47D3"/>
    <w:rsid w:val="00FD4E24"/>
    <w:rsid w:val="00FD4F64"/>
    <w:rsid w:val="00FD5622"/>
    <w:rsid w:val="00FD5676"/>
    <w:rsid w:val="00FD5DEC"/>
    <w:rsid w:val="00FD6C37"/>
    <w:rsid w:val="00FD6C57"/>
    <w:rsid w:val="00FD6D24"/>
    <w:rsid w:val="00FD72AB"/>
    <w:rsid w:val="00FD78B0"/>
    <w:rsid w:val="00FD7AD9"/>
    <w:rsid w:val="00FE06C6"/>
    <w:rsid w:val="00FE0C50"/>
    <w:rsid w:val="00FE0D69"/>
    <w:rsid w:val="00FE1374"/>
    <w:rsid w:val="00FE1619"/>
    <w:rsid w:val="00FE2D22"/>
    <w:rsid w:val="00FE3036"/>
    <w:rsid w:val="00FE3219"/>
    <w:rsid w:val="00FE3501"/>
    <w:rsid w:val="00FE3A75"/>
    <w:rsid w:val="00FE3B09"/>
    <w:rsid w:val="00FE3B32"/>
    <w:rsid w:val="00FE3B96"/>
    <w:rsid w:val="00FE3CE1"/>
    <w:rsid w:val="00FE3F74"/>
    <w:rsid w:val="00FE454C"/>
    <w:rsid w:val="00FE48F4"/>
    <w:rsid w:val="00FE49A5"/>
    <w:rsid w:val="00FE49B0"/>
    <w:rsid w:val="00FE505A"/>
    <w:rsid w:val="00FE5461"/>
    <w:rsid w:val="00FE5AA2"/>
    <w:rsid w:val="00FE5AAC"/>
    <w:rsid w:val="00FE5B92"/>
    <w:rsid w:val="00FE5D0D"/>
    <w:rsid w:val="00FE5DCB"/>
    <w:rsid w:val="00FE5F70"/>
    <w:rsid w:val="00FE6557"/>
    <w:rsid w:val="00FE6AE8"/>
    <w:rsid w:val="00FE6DA9"/>
    <w:rsid w:val="00FE71D0"/>
    <w:rsid w:val="00FE7541"/>
    <w:rsid w:val="00FE76FC"/>
    <w:rsid w:val="00FE792D"/>
    <w:rsid w:val="00FE7BCA"/>
    <w:rsid w:val="00FE7C37"/>
    <w:rsid w:val="00FF0616"/>
    <w:rsid w:val="00FF0A81"/>
    <w:rsid w:val="00FF0ADD"/>
    <w:rsid w:val="00FF1988"/>
    <w:rsid w:val="00FF1B76"/>
    <w:rsid w:val="00FF1D9F"/>
    <w:rsid w:val="00FF2201"/>
    <w:rsid w:val="00FF26BE"/>
    <w:rsid w:val="00FF2E5F"/>
    <w:rsid w:val="00FF33DD"/>
    <w:rsid w:val="00FF3747"/>
    <w:rsid w:val="00FF4495"/>
    <w:rsid w:val="00FF4B11"/>
    <w:rsid w:val="00FF4C7F"/>
    <w:rsid w:val="00FF4DE5"/>
    <w:rsid w:val="00FF637A"/>
    <w:rsid w:val="00FF6724"/>
    <w:rsid w:val="00FF736C"/>
    <w:rsid w:val="00FF7548"/>
    <w:rsid w:val="00FF7B6B"/>
    <w:rsid w:val="00FF7C28"/>
    <w:rsid w:val="018D2F73"/>
    <w:rsid w:val="0A5124F9"/>
    <w:rsid w:val="0B2C7623"/>
    <w:rsid w:val="0D701F36"/>
    <w:rsid w:val="0DDD6D83"/>
    <w:rsid w:val="11026BC0"/>
    <w:rsid w:val="12081222"/>
    <w:rsid w:val="14333BA0"/>
    <w:rsid w:val="1D183933"/>
    <w:rsid w:val="20C0356B"/>
    <w:rsid w:val="24C61898"/>
    <w:rsid w:val="25315EDA"/>
    <w:rsid w:val="278F3948"/>
    <w:rsid w:val="2CB07F24"/>
    <w:rsid w:val="2D945258"/>
    <w:rsid w:val="308B0325"/>
    <w:rsid w:val="38D4525A"/>
    <w:rsid w:val="3BB621EC"/>
    <w:rsid w:val="410315F8"/>
    <w:rsid w:val="46855642"/>
    <w:rsid w:val="47912E4D"/>
    <w:rsid w:val="4AB32D6A"/>
    <w:rsid w:val="4DF06083"/>
    <w:rsid w:val="4E866DF3"/>
    <w:rsid w:val="4EEB3586"/>
    <w:rsid w:val="529E42FF"/>
    <w:rsid w:val="59AE34F7"/>
    <w:rsid w:val="5A147117"/>
    <w:rsid w:val="5BCD464D"/>
    <w:rsid w:val="5C0E1138"/>
    <w:rsid w:val="5DCC33ED"/>
    <w:rsid w:val="5F366A28"/>
    <w:rsid w:val="656972C6"/>
    <w:rsid w:val="6AE508C6"/>
    <w:rsid w:val="70AB7EBB"/>
    <w:rsid w:val="70D016D0"/>
    <w:rsid w:val="71EE35D6"/>
    <w:rsid w:val="757708EB"/>
    <w:rsid w:val="7D2B788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semiHidden="0" w:name="heading 5"/>
    <w:lsdException w:qFormat="1" w:unhideWhenUsed="0" w:uiPriority="9" w:semiHidden="0" w:name="heading 6"/>
    <w:lsdException w:qFormat="1" w:unhideWhenUsed="0" w:uiPriority="0" w:semiHidden="0" w:name="heading 7"/>
    <w:lsdException w:qFormat="1" w:uiPriority="9" w:name="heading 8"/>
    <w:lsdException w:qFormat="1" w:unhideWhenUsed="0" w:uiPriority="0" w:semiHidden="0" w:name="heading 9"/>
    <w:lsdException w:qFormat="1" w:uiPriority="0" w:semiHidden="0" w:name="index 1"/>
    <w:lsdException w:qFormat="1" w:unhideWhenUsed="0" w:uiPriority="0" w:name="index 2"/>
    <w:lsdException w:qFormat="1" w:unhideWhenUsed="0" w:uiPriority="0" w:name="index 3"/>
    <w:lsdException w:qFormat="1" w:unhideWhenUsed="0" w:uiPriority="0" w:name="index 4"/>
    <w:lsdException w:qFormat="1" w:unhideWhenUsed="0" w:uiPriority="0" w:semiHidden="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99" w:semiHidden="0" w:name="footnote text"/>
    <w:lsdException w:qFormat="1" w:uiPriority="99" w:semiHidden="0" w:name="annotation text"/>
    <w:lsdException w:qFormat="1" w:uiPriority="99" w:semiHidden="0" w:name="header"/>
    <w:lsdException w:qFormat="1" w:uiPriority="99" w:semiHidden="0" w:name="footer"/>
    <w:lsdException w:qFormat="1" w:unhideWhenUsed="0" w:uiPriority="0" w:name="index heading"/>
    <w:lsdException w:qFormat="1" w:uiPriority="0" w:semiHidden="0" w:name="caption"/>
    <w:lsdException w:uiPriority="99" w:name="table of figures"/>
    <w:lsdException w:uiPriority="99" w:name="envelope address"/>
    <w:lsdException w:uiPriority="99" w:name="envelope return"/>
    <w:lsdException w:qFormat="1" w:unhideWhenUsed="0" w:uiPriority="99" w:semiHidden="0"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qFormat="1"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99" w:semiHidden="0" w:name="Body Text First Indent"/>
    <w:lsdException w:qFormat="1" w:uiPriority="99" w:semiHidden="0" w:name="Body Text First Indent 2"/>
    <w:lsdException w:uiPriority="99"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qFormat="1" w:unhideWhenUsed="0" w:uiPriority="0" w:semiHidden="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20" w:lineRule="exact"/>
      <w:ind w:firstLine="200" w:firstLineChars="200"/>
      <w:jc w:val="both"/>
    </w:pPr>
    <w:rPr>
      <w:rFonts w:ascii="Times New Roman" w:hAnsi="Times New Roman" w:eastAsia="宋体" w:cstheme="minorBidi"/>
      <w:kern w:val="2"/>
      <w:sz w:val="28"/>
      <w:szCs w:val="22"/>
      <w:lang w:val="en-US" w:eastAsia="zh-CN" w:bidi="ar-SA"/>
    </w:rPr>
  </w:style>
  <w:style w:type="paragraph" w:styleId="3">
    <w:name w:val="heading 1"/>
    <w:basedOn w:val="1"/>
    <w:next w:val="1"/>
    <w:link w:val="81"/>
    <w:qFormat/>
    <w:uiPriority w:val="0"/>
    <w:pPr>
      <w:keepNext/>
      <w:keepLines/>
      <w:spacing w:beforeLines="50" w:afterLines="50" w:line="360" w:lineRule="auto"/>
      <w:ind w:firstLine="0" w:firstLineChars="0"/>
      <w:jc w:val="center"/>
      <w:outlineLvl w:val="0"/>
    </w:pPr>
    <w:rPr>
      <w:b/>
      <w:bCs/>
      <w:kern w:val="44"/>
      <w:sz w:val="32"/>
      <w:szCs w:val="32"/>
    </w:rPr>
  </w:style>
  <w:style w:type="paragraph" w:styleId="4">
    <w:name w:val="heading 2"/>
    <w:basedOn w:val="1"/>
    <w:next w:val="1"/>
    <w:link w:val="82"/>
    <w:unhideWhenUsed/>
    <w:qFormat/>
    <w:uiPriority w:val="0"/>
    <w:pPr>
      <w:keepNext/>
      <w:keepLines/>
      <w:spacing w:beforeLines="50" w:afterLines="50"/>
      <w:ind w:firstLine="0" w:firstLineChars="0"/>
      <w:jc w:val="left"/>
      <w:outlineLvl w:val="1"/>
    </w:pPr>
    <w:rPr>
      <w:rFonts w:cstheme="majorBidi"/>
      <w:b/>
      <w:bCs/>
      <w:sz w:val="30"/>
      <w:szCs w:val="30"/>
    </w:rPr>
  </w:style>
  <w:style w:type="paragraph" w:styleId="5">
    <w:name w:val="heading 3"/>
    <w:basedOn w:val="1"/>
    <w:next w:val="1"/>
    <w:link w:val="66"/>
    <w:unhideWhenUsed/>
    <w:qFormat/>
    <w:uiPriority w:val="0"/>
    <w:pPr>
      <w:keepNext/>
      <w:keepLines/>
      <w:spacing w:afterLines="50"/>
      <w:ind w:firstLine="0" w:firstLineChars="0"/>
      <w:outlineLvl w:val="2"/>
    </w:pPr>
    <w:rPr>
      <w:b/>
      <w:bCs/>
      <w:szCs w:val="32"/>
    </w:rPr>
  </w:style>
  <w:style w:type="paragraph" w:styleId="6">
    <w:name w:val="heading 4"/>
    <w:basedOn w:val="1"/>
    <w:next w:val="1"/>
    <w:link w:val="83"/>
    <w:unhideWhenUsed/>
    <w:qFormat/>
    <w:uiPriority w:val="9"/>
    <w:pPr>
      <w:keepNext/>
      <w:keepLines/>
      <w:ind w:firstLine="0" w:firstLineChars="0"/>
      <w:outlineLvl w:val="3"/>
    </w:pPr>
    <w:rPr>
      <w:rFonts w:cstheme="majorBidi"/>
      <w:b/>
      <w:bCs/>
      <w:szCs w:val="28"/>
    </w:rPr>
  </w:style>
  <w:style w:type="paragraph" w:styleId="7">
    <w:name w:val="heading 5"/>
    <w:basedOn w:val="1"/>
    <w:next w:val="1"/>
    <w:link w:val="97"/>
    <w:unhideWhenUsed/>
    <w:qFormat/>
    <w:uiPriority w:val="0"/>
    <w:pPr>
      <w:keepNext/>
      <w:keepLines/>
      <w:ind w:firstLine="560"/>
      <w:outlineLvl w:val="4"/>
    </w:pPr>
    <w:rPr>
      <w:szCs w:val="28"/>
    </w:rPr>
  </w:style>
  <w:style w:type="paragraph" w:styleId="8">
    <w:name w:val="heading 6"/>
    <w:basedOn w:val="1"/>
    <w:next w:val="1"/>
    <w:link w:val="146"/>
    <w:qFormat/>
    <w:uiPriority w:val="9"/>
    <w:pPr>
      <w:keepNext/>
      <w:keepLines/>
      <w:spacing w:before="240" w:after="64" w:line="320" w:lineRule="auto"/>
      <w:ind w:firstLine="0" w:firstLineChars="0"/>
      <w:outlineLvl w:val="5"/>
    </w:pPr>
    <w:rPr>
      <w:rFonts w:ascii="Wingdings" w:hAnsi="Wingdings" w:cs="??"/>
      <w:b/>
      <w:bCs/>
      <w:sz w:val="24"/>
      <w:szCs w:val="24"/>
    </w:rPr>
  </w:style>
  <w:style w:type="paragraph" w:styleId="9">
    <w:name w:val="heading 7"/>
    <w:basedOn w:val="1"/>
    <w:next w:val="1"/>
    <w:link w:val="147"/>
    <w:qFormat/>
    <w:uiPriority w:val="0"/>
    <w:pPr>
      <w:keepNext/>
      <w:keepLines/>
      <w:spacing w:before="240" w:after="64" w:line="320" w:lineRule="auto"/>
      <w:ind w:firstLine="0" w:firstLineChars="0"/>
      <w:outlineLvl w:val="6"/>
    </w:pPr>
    <w:rPr>
      <w:rFonts w:ascii="??" w:hAnsi="??" w:cs="??"/>
      <w:b/>
      <w:bCs/>
      <w:sz w:val="24"/>
      <w:szCs w:val="24"/>
    </w:rPr>
  </w:style>
  <w:style w:type="paragraph" w:styleId="10">
    <w:name w:val="heading 9"/>
    <w:basedOn w:val="1"/>
    <w:next w:val="1"/>
    <w:link w:val="148"/>
    <w:qFormat/>
    <w:uiPriority w:val="0"/>
    <w:pPr>
      <w:keepNext/>
      <w:keepLines/>
      <w:spacing w:before="240" w:after="64" w:line="320" w:lineRule="auto"/>
      <w:ind w:firstLine="0" w:firstLineChars="0"/>
      <w:outlineLvl w:val="8"/>
    </w:pPr>
    <w:rPr>
      <w:rFonts w:ascii="Times-Roman" w:hAnsi="Times-Roman" w:eastAsia="仿宋_GB2312" w:cs="??"/>
      <w:sz w:val="21"/>
      <w:szCs w:val="21"/>
    </w:rPr>
  </w:style>
  <w:style w:type="character" w:default="1" w:styleId="58">
    <w:name w:val="Default Paragraph Font"/>
    <w:semiHidden/>
    <w:unhideWhenUsed/>
    <w:qFormat/>
    <w:uiPriority w:val="1"/>
  </w:style>
  <w:style w:type="table" w:default="1" w:styleId="54">
    <w:name w:val="Normal Table"/>
    <w:semiHidden/>
    <w:unhideWhenUsed/>
    <w:qFormat/>
    <w:uiPriority w:val="99"/>
    <w:tblPr>
      <w:tblCellMar>
        <w:top w:w="0" w:type="dxa"/>
        <w:left w:w="108" w:type="dxa"/>
        <w:bottom w:w="0" w:type="dxa"/>
        <w:right w:w="108" w:type="dxa"/>
      </w:tblCellMar>
    </w:tblPr>
  </w:style>
  <w:style w:type="paragraph" w:styleId="2">
    <w:name w:val="macro"/>
    <w:link w:val="124"/>
    <w:semiHidden/>
    <w:unhideWhenUsed/>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pPr>
    <w:rPr>
      <w:rFonts w:ascii="Courier New" w:hAnsi="Courier New" w:eastAsia="宋体" w:cs="Courier New"/>
      <w:kern w:val="2"/>
      <w:sz w:val="24"/>
      <w:szCs w:val="24"/>
      <w:lang w:val="en-US" w:eastAsia="zh-CN" w:bidi="ar-SA"/>
    </w:rPr>
  </w:style>
  <w:style w:type="paragraph" w:styleId="11">
    <w:name w:val="toc 7"/>
    <w:basedOn w:val="1"/>
    <w:next w:val="1"/>
    <w:qFormat/>
    <w:uiPriority w:val="39"/>
    <w:pPr>
      <w:spacing w:line="240" w:lineRule="auto"/>
      <w:ind w:left="1260" w:firstLine="0" w:firstLineChars="0"/>
      <w:jc w:val="left"/>
    </w:pPr>
    <w:rPr>
      <w:rFonts w:ascii="Calibri Light" w:hAnsi="Calibri Light" w:cs="??"/>
      <w:sz w:val="18"/>
      <w:szCs w:val="18"/>
    </w:rPr>
  </w:style>
  <w:style w:type="paragraph" w:styleId="12">
    <w:name w:val="index 8"/>
    <w:basedOn w:val="1"/>
    <w:next w:val="1"/>
    <w:semiHidden/>
    <w:qFormat/>
    <w:uiPriority w:val="0"/>
    <w:pPr>
      <w:spacing w:line="240" w:lineRule="auto"/>
      <w:ind w:left="1400" w:leftChars="1400" w:firstLine="0" w:firstLineChars="0"/>
    </w:pPr>
    <w:rPr>
      <w:rFonts w:ascii="??" w:hAnsi="??" w:cs="??"/>
      <w:sz w:val="21"/>
      <w:szCs w:val="24"/>
    </w:rPr>
  </w:style>
  <w:style w:type="paragraph" w:styleId="13">
    <w:name w:val="Normal Indent"/>
    <w:basedOn w:val="1"/>
    <w:next w:val="14"/>
    <w:link w:val="149"/>
    <w:qFormat/>
    <w:uiPriority w:val="0"/>
    <w:pPr>
      <w:spacing w:line="360" w:lineRule="auto"/>
      <w:ind w:firstLine="420"/>
    </w:pPr>
    <w:rPr>
      <w:rFonts w:ascii="KP CheongPong" w:hAnsi="Calibri" w:eastAsia="KP CheongPong"/>
      <w:sz w:val="24"/>
      <w:szCs w:val="24"/>
    </w:rPr>
  </w:style>
  <w:style w:type="paragraph" w:styleId="14">
    <w:name w:val="Body Text First Indent"/>
    <w:basedOn w:val="15"/>
    <w:link w:val="117"/>
    <w:unhideWhenUsed/>
    <w:qFormat/>
    <w:uiPriority w:val="99"/>
    <w:pPr>
      <w:spacing w:line="240" w:lineRule="auto"/>
      <w:ind w:firstLine="420" w:firstLineChars="100"/>
    </w:pPr>
    <w:rPr>
      <w:rFonts w:ascii="Calibri" w:hAnsi="Calibri" w:cs="Times New Roman"/>
      <w:sz w:val="21"/>
    </w:rPr>
  </w:style>
  <w:style w:type="paragraph" w:styleId="15">
    <w:name w:val="Body Text"/>
    <w:basedOn w:val="1"/>
    <w:link w:val="91"/>
    <w:unhideWhenUsed/>
    <w:qFormat/>
    <w:uiPriority w:val="0"/>
    <w:pPr>
      <w:spacing w:after="120"/>
    </w:pPr>
  </w:style>
  <w:style w:type="paragraph" w:styleId="16">
    <w:name w:val="caption"/>
    <w:basedOn w:val="1"/>
    <w:next w:val="1"/>
    <w:link w:val="111"/>
    <w:unhideWhenUsed/>
    <w:qFormat/>
    <w:uiPriority w:val="0"/>
    <w:rPr>
      <w:rFonts w:eastAsia="黑体" w:asciiTheme="majorHAnsi" w:hAnsiTheme="majorHAnsi" w:cstheme="majorBidi"/>
      <w:sz w:val="20"/>
      <w:szCs w:val="20"/>
    </w:rPr>
  </w:style>
  <w:style w:type="paragraph" w:styleId="17">
    <w:name w:val="index 5"/>
    <w:basedOn w:val="1"/>
    <w:next w:val="1"/>
    <w:qFormat/>
    <w:uiPriority w:val="0"/>
    <w:pPr>
      <w:spacing w:line="240" w:lineRule="auto"/>
      <w:ind w:left="800" w:leftChars="800" w:firstLine="0" w:firstLineChars="0"/>
    </w:pPr>
    <w:rPr>
      <w:rFonts w:asciiTheme="minorHAnsi" w:hAnsiTheme="minorHAnsi" w:eastAsiaTheme="minorEastAsia"/>
      <w:sz w:val="21"/>
    </w:rPr>
  </w:style>
  <w:style w:type="paragraph" w:styleId="18">
    <w:name w:val="Document Map"/>
    <w:basedOn w:val="1"/>
    <w:link w:val="137"/>
    <w:unhideWhenUsed/>
    <w:qFormat/>
    <w:uiPriority w:val="99"/>
    <w:rPr>
      <w:rFonts w:ascii="宋体"/>
      <w:sz w:val="18"/>
      <w:szCs w:val="18"/>
    </w:rPr>
  </w:style>
  <w:style w:type="paragraph" w:styleId="19">
    <w:name w:val="annotation text"/>
    <w:basedOn w:val="1"/>
    <w:link w:val="85"/>
    <w:unhideWhenUsed/>
    <w:qFormat/>
    <w:uiPriority w:val="99"/>
    <w:pPr>
      <w:jc w:val="left"/>
    </w:pPr>
  </w:style>
  <w:style w:type="paragraph" w:styleId="20">
    <w:name w:val="index 6"/>
    <w:basedOn w:val="1"/>
    <w:next w:val="1"/>
    <w:semiHidden/>
    <w:qFormat/>
    <w:uiPriority w:val="0"/>
    <w:pPr>
      <w:spacing w:line="240" w:lineRule="auto"/>
      <w:ind w:left="1000" w:leftChars="1000" w:firstLine="0" w:firstLineChars="0"/>
    </w:pPr>
    <w:rPr>
      <w:rFonts w:ascii="??" w:hAnsi="??" w:cs="??"/>
      <w:sz w:val="21"/>
      <w:szCs w:val="24"/>
    </w:rPr>
  </w:style>
  <w:style w:type="paragraph" w:styleId="21">
    <w:name w:val="Body Text 3"/>
    <w:basedOn w:val="1"/>
    <w:link w:val="150"/>
    <w:qFormat/>
    <w:uiPriority w:val="0"/>
    <w:pPr>
      <w:spacing w:after="120" w:line="240" w:lineRule="auto"/>
      <w:ind w:firstLine="0" w:firstLineChars="0"/>
    </w:pPr>
    <w:rPr>
      <w:rFonts w:ascii="??" w:hAnsi="??" w:cs="??"/>
      <w:sz w:val="16"/>
      <w:szCs w:val="16"/>
    </w:rPr>
  </w:style>
  <w:style w:type="paragraph" w:styleId="22">
    <w:name w:val="Body Text Indent"/>
    <w:basedOn w:val="1"/>
    <w:link w:val="113"/>
    <w:unhideWhenUsed/>
    <w:qFormat/>
    <w:uiPriority w:val="0"/>
    <w:pPr>
      <w:spacing w:after="120"/>
      <w:ind w:left="420" w:leftChars="200"/>
    </w:pPr>
  </w:style>
  <w:style w:type="paragraph" w:styleId="23">
    <w:name w:val="Block Text"/>
    <w:basedOn w:val="1"/>
    <w:qFormat/>
    <w:uiPriority w:val="0"/>
    <w:pPr>
      <w:spacing w:line="240" w:lineRule="auto"/>
      <w:ind w:left="308" w:right="-94" w:rightChars="-94" w:hanging="154" w:hangingChars="64"/>
    </w:pPr>
    <w:rPr>
      <w:rFonts w:ascii="Calibri" w:hAnsi="Calibri" w:cs="??"/>
      <w:color w:val="000000"/>
      <w:sz w:val="24"/>
      <w:szCs w:val="24"/>
    </w:rPr>
  </w:style>
  <w:style w:type="paragraph" w:styleId="24">
    <w:name w:val="List Bullet 2"/>
    <w:basedOn w:val="1"/>
    <w:qFormat/>
    <w:uiPriority w:val="0"/>
    <w:pPr>
      <w:numPr>
        <w:ilvl w:val="0"/>
        <w:numId w:val="1"/>
      </w:numPr>
      <w:tabs>
        <w:tab w:val="left" w:pos="780"/>
      </w:tabs>
      <w:spacing w:line="240" w:lineRule="auto"/>
      <w:ind w:firstLine="0" w:firstLineChars="0"/>
    </w:pPr>
    <w:rPr>
      <w:rFonts w:ascii="??" w:hAnsi="??" w:cs="??"/>
      <w:sz w:val="21"/>
      <w:szCs w:val="24"/>
    </w:rPr>
  </w:style>
  <w:style w:type="paragraph" w:styleId="25">
    <w:name w:val="index 4"/>
    <w:basedOn w:val="1"/>
    <w:next w:val="1"/>
    <w:semiHidden/>
    <w:qFormat/>
    <w:uiPriority w:val="0"/>
    <w:pPr>
      <w:spacing w:line="240" w:lineRule="auto"/>
      <w:ind w:left="600" w:leftChars="600" w:firstLine="0" w:firstLineChars="0"/>
    </w:pPr>
    <w:rPr>
      <w:rFonts w:ascii="??" w:hAnsi="??" w:cs="??"/>
      <w:sz w:val="21"/>
      <w:szCs w:val="24"/>
    </w:rPr>
  </w:style>
  <w:style w:type="paragraph" w:styleId="26">
    <w:name w:val="toc 5"/>
    <w:basedOn w:val="1"/>
    <w:next w:val="1"/>
    <w:qFormat/>
    <w:uiPriority w:val="39"/>
    <w:pPr>
      <w:spacing w:line="240" w:lineRule="auto"/>
      <w:ind w:left="840" w:firstLine="0" w:firstLineChars="0"/>
      <w:jc w:val="left"/>
    </w:pPr>
    <w:rPr>
      <w:rFonts w:ascii="Calibri Light" w:hAnsi="Calibri Light" w:cs="??"/>
      <w:sz w:val="18"/>
      <w:szCs w:val="18"/>
    </w:rPr>
  </w:style>
  <w:style w:type="paragraph" w:styleId="27">
    <w:name w:val="toc 3"/>
    <w:basedOn w:val="1"/>
    <w:next w:val="1"/>
    <w:unhideWhenUsed/>
    <w:qFormat/>
    <w:uiPriority w:val="39"/>
    <w:pPr>
      <w:widowControl/>
      <w:spacing w:after="100" w:line="259" w:lineRule="auto"/>
      <w:ind w:left="440"/>
      <w:jc w:val="left"/>
    </w:pPr>
    <w:rPr>
      <w:rFonts w:cs="Times New Roman"/>
      <w:kern w:val="0"/>
      <w:sz w:val="22"/>
    </w:rPr>
  </w:style>
  <w:style w:type="paragraph" w:styleId="28">
    <w:name w:val="Plain Text"/>
    <w:basedOn w:val="1"/>
    <w:link w:val="151"/>
    <w:qFormat/>
    <w:uiPriority w:val="0"/>
    <w:pPr>
      <w:spacing w:line="240" w:lineRule="auto"/>
      <w:ind w:firstLine="0" w:firstLineChars="0"/>
    </w:pPr>
    <w:rPr>
      <w:rFonts w:ascii="Calibri" w:hAnsi="@宋体" w:cs="??"/>
      <w:szCs w:val="20"/>
    </w:rPr>
  </w:style>
  <w:style w:type="paragraph" w:styleId="29">
    <w:name w:val="toc 8"/>
    <w:basedOn w:val="1"/>
    <w:next w:val="1"/>
    <w:qFormat/>
    <w:uiPriority w:val="39"/>
    <w:pPr>
      <w:spacing w:line="240" w:lineRule="auto"/>
      <w:ind w:left="1470" w:firstLine="0" w:firstLineChars="0"/>
      <w:jc w:val="left"/>
    </w:pPr>
    <w:rPr>
      <w:rFonts w:ascii="Calibri Light" w:hAnsi="Calibri Light" w:cs="??"/>
      <w:sz w:val="18"/>
      <w:szCs w:val="18"/>
    </w:rPr>
  </w:style>
  <w:style w:type="paragraph" w:styleId="30">
    <w:name w:val="index 3"/>
    <w:basedOn w:val="1"/>
    <w:next w:val="1"/>
    <w:semiHidden/>
    <w:qFormat/>
    <w:uiPriority w:val="0"/>
    <w:pPr>
      <w:spacing w:line="240" w:lineRule="auto"/>
      <w:ind w:left="400" w:leftChars="400" w:firstLine="0" w:firstLineChars="0"/>
    </w:pPr>
    <w:rPr>
      <w:rFonts w:ascii="??" w:hAnsi="??" w:cs="??"/>
      <w:sz w:val="21"/>
      <w:szCs w:val="24"/>
    </w:rPr>
  </w:style>
  <w:style w:type="paragraph" w:styleId="31">
    <w:name w:val="Date"/>
    <w:basedOn w:val="1"/>
    <w:next w:val="1"/>
    <w:link w:val="84"/>
    <w:unhideWhenUsed/>
    <w:qFormat/>
    <w:uiPriority w:val="0"/>
    <w:pPr>
      <w:ind w:left="100" w:leftChars="2500"/>
    </w:pPr>
  </w:style>
  <w:style w:type="paragraph" w:styleId="32">
    <w:name w:val="Body Text Indent 2"/>
    <w:basedOn w:val="1"/>
    <w:link w:val="93"/>
    <w:qFormat/>
    <w:uiPriority w:val="0"/>
    <w:pPr>
      <w:spacing w:after="120" w:line="480" w:lineRule="auto"/>
      <w:ind w:left="420" w:leftChars="200" w:firstLine="0" w:firstLineChars="0"/>
    </w:pPr>
    <w:rPr>
      <w:rFonts w:asciiTheme="minorHAnsi" w:hAnsiTheme="minorHAnsi" w:eastAsiaTheme="minorEastAsia"/>
      <w:sz w:val="21"/>
      <w:szCs w:val="24"/>
    </w:rPr>
  </w:style>
  <w:style w:type="paragraph" w:styleId="33">
    <w:name w:val="Balloon Text"/>
    <w:basedOn w:val="1"/>
    <w:link w:val="87"/>
    <w:unhideWhenUsed/>
    <w:qFormat/>
    <w:uiPriority w:val="99"/>
    <w:pPr>
      <w:spacing w:line="240" w:lineRule="auto"/>
    </w:pPr>
    <w:rPr>
      <w:sz w:val="18"/>
      <w:szCs w:val="18"/>
    </w:rPr>
  </w:style>
  <w:style w:type="paragraph" w:styleId="34">
    <w:name w:val="footer"/>
    <w:basedOn w:val="1"/>
    <w:link w:val="80"/>
    <w:unhideWhenUsed/>
    <w:qFormat/>
    <w:uiPriority w:val="99"/>
    <w:pPr>
      <w:tabs>
        <w:tab w:val="center" w:pos="4153"/>
        <w:tab w:val="right" w:pos="8306"/>
      </w:tabs>
      <w:snapToGrid w:val="0"/>
      <w:spacing w:line="240" w:lineRule="atLeast"/>
      <w:jc w:val="left"/>
    </w:pPr>
    <w:rPr>
      <w:sz w:val="18"/>
      <w:szCs w:val="18"/>
    </w:rPr>
  </w:style>
  <w:style w:type="paragraph" w:styleId="35">
    <w:name w:val="header"/>
    <w:basedOn w:val="1"/>
    <w:link w:val="79"/>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36">
    <w:name w:val="toc 1"/>
    <w:basedOn w:val="1"/>
    <w:next w:val="1"/>
    <w:unhideWhenUsed/>
    <w:qFormat/>
    <w:uiPriority w:val="39"/>
    <w:pPr>
      <w:widowControl/>
      <w:spacing w:after="100" w:line="360" w:lineRule="auto"/>
      <w:jc w:val="left"/>
    </w:pPr>
    <w:rPr>
      <w:rFonts w:cs="Times New Roman"/>
      <w:b/>
      <w:kern w:val="0"/>
      <w:sz w:val="30"/>
    </w:rPr>
  </w:style>
  <w:style w:type="paragraph" w:styleId="37">
    <w:name w:val="toc 4"/>
    <w:basedOn w:val="1"/>
    <w:next w:val="1"/>
    <w:unhideWhenUsed/>
    <w:qFormat/>
    <w:uiPriority w:val="39"/>
    <w:pPr>
      <w:ind w:left="1260" w:leftChars="600"/>
    </w:pPr>
  </w:style>
  <w:style w:type="paragraph" w:styleId="38">
    <w:name w:val="index heading"/>
    <w:basedOn w:val="1"/>
    <w:next w:val="39"/>
    <w:semiHidden/>
    <w:qFormat/>
    <w:uiPriority w:val="0"/>
    <w:pPr>
      <w:spacing w:line="240" w:lineRule="auto"/>
      <w:ind w:firstLine="0" w:firstLineChars="0"/>
    </w:pPr>
    <w:rPr>
      <w:rFonts w:ascii="??" w:hAnsi="??" w:cs="??"/>
      <w:sz w:val="21"/>
      <w:szCs w:val="24"/>
    </w:rPr>
  </w:style>
  <w:style w:type="paragraph" w:styleId="39">
    <w:name w:val="index 1"/>
    <w:basedOn w:val="1"/>
    <w:next w:val="1"/>
    <w:autoRedefine/>
    <w:unhideWhenUsed/>
    <w:qFormat/>
    <w:uiPriority w:val="0"/>
    <w:pPr>
      <w:ind w:firstLine="0"/>
    </w:pPr>
  </w:style>
  <w:style w:type="paragraph" w:styleId="40">
    <w:name w:val="Subtitle"/>
    <w:basedOn w:val="1"/>
    <w:next w:val="1"/>
    <w:link w:val="76"/>
    <w:qFormat/>
    <w:uiPriority w:val="0"/>
    <w:pPr>
      <w:spacing w:before="240" w:after="60" w:line="360" w:lineRule="auto"/>
      <w:jc w:val="center"/>
      <w:outlineLvl w:val="1"/>
    </w:pPr>
    <w:rPr>
      <w:rFonts w:eastAsia="黑体"/>
      <w:b/>
      <w:bCs/>
      <w:kern w:val="28"/>
      <w:sz w:val="44"/>
      <w:szCs w:val="32"/>
    </w:rPr>
  </w:style>
  <w:style w:type="paragraph" w:styleId="41">
    <w:name w:val="footnote text"/>
    <w:basedOn w:val="1"/>
    <w:link w:val="152"/>
    <w:qFormat/>
    <w:uiPriority w:val="99"/>
    <w:pPr>
      <w:snapToGrid w:val="0"/>
      <w:spacing w:line="440" w:lineRule="exact"/>
      <w:jc w:val="left"/>
    </w:pPr>
    <w:rPr>
      <w:rFonts w:ascii="??" w:hAnsi="??" w:cs="??"/>
      <w:kern w:val="0"/>
      <w:sz w:val="18"/>
      <w:szCs w:val="18"/>
    </w:rPr>
  </w:style>
  <w:style w:type="paragraph" w:styleId="42">
    <w:name w:val="toc 6"/>
    <w:basedOn w:val="1"/>
    <w:next w:val="1"/>
    <w:qFormat/>
    <w:uiPriority w:val="39"/>
    <w:pPr>
      <w:spacing w:line="240" w:lineRule="auto"/>
      <w:ind w:left="1050" w:firstLine="0" w:firstLineChars="0"/>
      <w:jc w:val="left"/>
    </w:pPr>
    <w:rPr>
      <w:rFonts w:ascii="Calibri Light" w:hAnsi="Calibri Light" w:cs="??"/>
      <w:sz w:val="18"/>
      <w:szCs w:val="18"/>
    </w:rPr>
  </w:style>
  <w:style w:type="paragraph" w:styleId="43">
    <w:name w:val="Body Text Indent 3"/>
    <w:basedOn w:val="1"/>
    <w:link w:val="153"/>
    <w:qFormat/>
    <w:uiPriority w:val="0"/>
    <w:pPr>
      <w:spacing w:line="500" w:lineRule="exact"/>
      <w:ind w:firstLine="555" w:firstLineChars="0"/>
    </w:pPr>
    <w:rPr>
      <w:rFonts w:ascii="Verdana" w:hAnsi="Calibri" w:eastAsia="Verdana" w:cs="??"/>
      <w:sz w:val="24"/>
      <w:szCs w:val="24"/>
    </w:rPr>
  </w:style>
  <w:style w:type="paragraph" w:styleId="44">
    <w:name w:val="index 7"/>
    <w:basedOn w:val="1"/>
    <w:next w:val="1"/>
    <w:semiHidden/>
    <w:qFormat/>
    <w:uiPriority w:val="0"/>
    <w:pPr>
      <w:spacing w:line="240" w:lineRule="auto"/>
      <w:ind w:left="1200" w:leftChars="1200" w:firstLine="0" w:firstLineChars="0"/>
    </w:pPr>
    <w:rPr>
      <w:rFonts w:ascii="??" w:hAnsi="??" w:cs="??"/>
      <w:sz w:val="21"/>
      <w:szCs w:val="24"/>
    </w:rPr>
  </w:style>
  <w:style w:type="paragraph" w:styleId="45">
    <w:name w:val="index 9"/>
    <w:basedOn w:val="1"/>
    <w:next w:val="1"/>
    <w:semiHidden/>
    <w:qFormat/>
    <w:uiPriority w:val="0"/>
    <w:pPr>
      <w:spacing w:line="240" w:lineRule="auto"/>
      <w:ind w:left="1600" w:leftChars="1600" w:firstLine="0" w:firstLineChars="0"/>
    </w:pPr>
    <w:rPr>
      <w:rFonts w:ascii="??" w:hAnsi="??" w:cs="??"/>
      <w:sz w:val="21"/>
      <w:szCs w:val="24"/>
    </w:rPr>
  </w:style>
  <w:style w:type="paragraph" w:styleId="46">
    <w:name w:val="toc 2"/>
    <w:basedOn w:val="1"/>
    <w:next w:val="1"/>
    <w:unhideWhenUsed/>
    <w:qFormat/>
    <w:uiPriority w:val="39"/>
    <w:pPr>
      <w:widowControl/>
      <w:spacing w:line="360" w:lineRule="auto"/>
      <w:ind w:left="200" w:leftChars="200"/>
      <w:jc w:val="left"/>
    </w:pPr>
    <w:rPr>
      <w:rFonts w:cs="Times New Roman"/>
      <w:kern w:val="0"/>
      <w:sz w:val="30"/>
    </w:rPr>
  </w:style>
  <w:style w:type="paragraph" w:styleId="47">
    <w:name w:val="toc 9"/>
    <w:basedOn w:val="1"/>
    <w:next w:val="1"/>
    <w:qFormat/>
    <w:uiPriority w:val="39"/>
    <w:pPr>
      <w:spacing w:line="240" w:lineRule="auto"/>
      <w:ind w:left="1680" w:firstLine="0" w:firstLineChars="0"/>
      <w:jc w:val="left"/>
    </w:pPr>
    <w:rPr>
      <w:rFonts w:ascii="Calibri Light" w:hAnsi="Calibri Light" w:cs="??"/>
      <w:sz w:val="18"/>
      <w:szCs w:val="18"/>
    </w:rPr>
  </w:style>
  <w:style w:type="paragraph" w:styleId="48">
    <w:name w:val="Body Text 2"/>
    <w:basedOn w:val="1"/>
    <w:link w:val="154"/>
    <w:qFormat/>
    <w:uiPriority w:val="99"/>
    <w:pPr>
      <w:spacing w:after="120" w:line="480" w:lineRule="auto"/>
      <w:ind w:firstLine="0" w:firstLineChars="0"/>
    </w:pPr>
    <w:rPr>
      <w:rFonts w:ascii="??" w:hAnsi="??" w:cs="??"/>
      <w:sz w:val="21"/>
      <w:szCs w:val="24"/>
    </w:rPr>
  </w:style>
  <w:style w:type="paragraph" w:styleId="49">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cs="宋体" w:eastAsiaTheme="minorEastAsia"/>
      <w:kern w:val="0"/>
      <w:sz w:val="24"/>
    </w:rPr>
  </w:style>
  <w:style w:type="paragraph" w:styleId="50">
    <w:name w:val="index 2"/>
    <w:basedOn w:val="1"/>
    <w:next w:val="1"/>
    <w:semiHidden/>
    <w:qFormat/>
    <w:uiPriority w:val="0"/>
    <w:pPr>
      <w:spacing w:line="240" w:lineRule="auto"/>
      <w:ind w:left="200" w:leftChars="200" w:firstLine="0" w:firstLineChars="0"/>
    </w:pPr>
    <w:rPr>
      <w:rFonts w:ascii="??" w:hAnsi="??" w:cs="??"/>
      <w:sz w:val="21"/>
      <w:szCs w:val="24"/>
    </w:rPr>
  </w:style>
  <w:style w:type="paragraph" w:styleId="51">
    <w:name w:val="Title"/>
    <w:basedOn w:val="1"/>
    <w:next w:val="1"/>
    <w:link w:val="75"/>
    <w:qFormat/>
    <w:uiPriority w:val="10"/>
    <w:pPr>
      <w:spacing w:before="240" w:after="240" w:line="480" w:lineRule="auto"/>
      <w:jc w:val="center"/>
      <w:outlineLvl w:val="0"/>
    </w:pPr>
    <w:rPr>
      <w:rFonts w:cstheme="majorBidi"/>
      <w:b/>
      <w:bCs/>
      <w:sz w:val="44"/>
      <w:szCs w:val="32"/>
    </w:rPr>
  </w:style>
  <w:style w:type="paragraph" w:styleId="52">
    <w:name w:val="annotation subject"/>
    <w:basedOn w:val="19"/>
    <w:next w:val="19"/>
    <w:link w:val="86"/>
    <w:unhideWhenUsed/>
    <w:qFormat/>
    <w:uiPriority w:val="0"/>
    <w:rPr>
      <w:b/>
      <w:bCs/>
    </w:rPr>
  </w:style>
  <w:style w:type="paragraph" w:styleId="53">
    <w:name w:val="Body Text First Indent 2"/>
    <w:basedOn w:val="22"/>
    <w:link w:val="114"/>
    <w:unhideWhenUsed/>
    <w:qFormat/>
    <w:uiPriority w:val="99"/>
    <w:pPr>
      <w:ind w:firstLine="420"/>
    </w:pPr>
  </w:style>
  <w:style w:type="table" w:styleId="55">
    <w:name w:val="Table Grid"/>
    <w:basedOn w:val="5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6">
    <w:name w:val="Table Elegant"/>
    <w:basedOn w:val="54"/>
    <w:qFormat/>
    <w:uiPriority w:val="0"/>
    <w:pPr>
      <w:widowControl w:val="0"/>
      <w:autoSpaceDE w:val="0"/>
      <w:autoSpaceDN w:val="0"/>
      <w:adjustRightInd w:val="0"/>
    </w:pPr>
    <w:rPr>
      <w:rFonts w:ascii="??" w:hAnsi="??" w:eastAsia="宋体" w:c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7">
    <w:name w:val="Table Simple 1"/>
    <w:basedOn w:val="54"/>
    <w:qFormat/>
    <w:uiPriority w:val="0"/>
    <w:pPr>
      <w:widowControl w:val="0"/>
      <w:jc w:val="both"/>
    </w:pPr>
    <w:rPr>
      <w:rFonts w:ascii="??" w:hAnsi="??" w:eastAsia="宋体" w:cs="??"/>
    </w:rPr>
    <w:tblPr>
      <w:tblBorders>
        <w:top w:val="single" w:color="008000" w:sz="12" w:space="0"/>
        <w:bottom w:val="single" w:color="008000" w:sz="12" w:space="0"/>
      </w:tblBorders>
    </w:tblPr>
    <w:tcPr>
      <w:shd w:val="clear" w:color="auto" w:fill="auto"/>
    </w:tc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character" w:styleId="59">
    <w:name w:val="Strong"/>
    <w:qFormat/>
    <w:uiPriority w:val="22"/>
    <w:rPr>
      <w:b/>
      <w:bCs/>
    </w:rPr>
  </w:style>
  <w:style w:type="character" w:styleId="60">
    <w:name w:val="page number"/>
    <w:qFormat/>
    <w:uiPriority w:val="0"/>
  </w:style>
  <w:style w:type="character" w:styleId="61">
    <w:name w:val="FollowedHyperlink"/>
    <w:qFormat/>
    <w:uiPriority w:val="99"/>
    <w:rPr>
      <w:color w:val="800080"/>
      <w:u w:val="single"/>
    </w:rPr>
  </w:style>
  <w:style w:type="character" w:styleId="62">
    <w:name w:val="Emphasis"/>
    <w:qFormat/>
    <w:uiPriority w:val="0"/>
    <w:rPr>
      <w:color w:val="CC0000"/>
    </w:rPr>
  </w:style>
  <w:style w:type="character" w:styleId="63">
    <w:name w:val="Hyperlink"/>
    <w:basedOn w:val="58"/>
    <w:unhideWhenUsed/>
    <w:qFormat/>
    <w:uiPriority w:val="99"/>
    <w:rPr>
      <w:color w:val="0563C1" w:themeColor="hyperlink"/>
      <w:u w:val="single"/>
      <w14:textFill>
        <w14:solidFill>
          <w14:schemeClr w14:val="hlink"/>
        </w14:solidFill>
      </w14:textFill>
    </w:rPr>
  </w:style>
  <w:style w:type="character" w:styleId="64">
    <w:name w:val="annotation reference"/>
    <w:basedOn w:val="58"/>
    <w:unhideWhenUsed/>
    <w:qFormat/>
    <w:uiPriority w:val="99"/>
    <w:rPr>
      <w:sz w:val="21"/>
      <w:szCs w:val="21"/>
    </w:rPr>
  </w:style>
  <w:style w:type="character" w:styleId="65">
    <w:name w:val="footnote reference"/>
    <w:qFormat/>
    <w:uiPriority w:val="99"/>
    <w:rPr>
      <w:rFonts w:cs="??"/>
      <w:vertAlign w:val="superscript"/>
    </w:rPr>
  </w:style>
  <w:style w:type="character" w:customStyle="1" w:styleId="66">
    <w:name w:val="标题 3 字符"/>
    <w:basedOn w:val="58"/>
    <w:link w:val="5"/>
    <w:qFormat/>
    <w:uiPriority w:val="9"/>
    <w:rPr>
      <w:rFonts w:ascii="Times New Roman" w:hAnsi="Times New Roman" w:eastAsia="宋体"/>
      <w:b/>
      <w:bCs/>
      <w:sz w:val="28"/>
      <w:szCs w:val="32"/>
    </w:rPr>
  </w:style>
  <w:style w:type="paragraph" w:customStyle="1" w:styleId="67">
    <w:name w:val="表内居中"/>
    <w:basedOn w:val="1"/>
    <w:link w:val="68"/>
    <w:qFormat/>
    <w:uiPriority w:val="0"/>
    <w:pPr>
      <w:spacing w:line="360" w:lineRule="exact"/>
      <w:ind w:left="-20" w:leftChars="-20" w:right="-20" w:rightChars="-20" w:firstLine="0" w:firstLineChars="0"/>
      <w:jc w:val="center"/>
    </w:pPr>
    <w:rPr>
      <w:sz w:val="21"/>
    </w:rPr>
  </w:style>
  <w:style w:type="character" w:customStyle="1" w:styleId="68">
    <w:name w:val="表内居中 字符"/>
    <w:basedOn w:val="58"/>
    <w:link w:val="67"/>
    <w:qFormat/>
    <w:uiPriority w:val="0"/>
    <w:rPr>
      <w:rFonts w:ascii="Times New Roman" w:hAnsi="Times New Roman" w:eastAsia="宋体"/>
    </w:rPr>
  </w:style>
  <w:style w:type="paragraph" w:customStyle="1" w:styleId="69">
    <w:name w:val="表内两端对齐"/>
    <w:basedOn w:val="67"/>
    <w:link w:val="70"/>
    <w:qFormat/>
    <w:uiPriority w:val="0"/>
    <w:pPr>
      <w:jc w:val="both"/>
    </w:pPr>
  </w:style>
  <w:style w:type="character" w:customStyle="1" w:styleId="70">
    <w:name w:val="表内两端对齐 字符"/>
    <w:basedOn w:val="68"/>
    <w:link w:val="69"/>
    <w:qFormat/>
    <w:uiPriority w:val="0"/>
    <w:rPr>
      <w:rFonts w:ascii="Times New Roman" w:hAnsi="Times New Roman" w:eastAsia="宋体"/>
    </w:rPr>
  </w:style>
  <w:style w:type="paragraph" w:customStyle="1" w:styleId="71">
    <w:name w:val="表内文字"/>
    <w:basedOn w:val="1"/>
    <w:link w:val="72"/>
    <w:qFormat/>
    <w:uiPriority w:val="0"/>
    <w:pPr>
      <w:spacing w:line="360" w:lineRule="exact"/>
      <w:jc w:val="center"/>
    </w:pPr>
    <w:rPr>
      <w:rFonts w:cs="Times New Roman"/>
      <w:bCs/>
    </w:rPr>
  </w:style>
  <w:style w:type="character" w:customStyle="1" w:styleId="72">
    <w:name w:val="表内文字 字符"/>
    <w:link w:val="71"/>
    <w:qFormat/>
    <w:uiPriority w:val="0"/>
    <w:rPr>
      <w:rFonts w:ascii="Times New Roman" w:hAnsi="Times New Roman" w:eastAsia="宋体" w:cs="Times New Roman"/>
      <w:bCs/>
    </w:rPr>
  </w:style>
  <w:style w:type="paragraph" w:customStyle="1" w:styleId="73">
    <w:name w:val="计算方程式"/>
    <w:basedOn w:val="1"/>
    <w:link w:val="74"/>
    <w:qFormat/>
    <w:uiPriority w:val="0"/>
    <w:pPr>
      <w:spacing w:line="240" w:lineRule="auto"/>
      <w:ind w:firstLine="0" w:firstLineChars="0"/>
      <w:contextualSpacing/>
      <w:jc w:val="center"/>
    </w:pPr>
    <w:rPr>
      <w:sz w:val="24"/>
    </w:rPr>
  </w:style>
  <w:style w:type="character" w:customStyle="1" w:styleId="74">
    <w:name w:val="计算方程式 字符"/>
    <w:basedOn w:val="58"/>
    <w:link w:val="73"/>
    <w:qFormat/>
    <w:uiPriority w:val="0"/>
    <w:rPr>
      <w:rFonts w:ascii="Times New Roman" w:hAnsi="Times New Roman" w:eastAsia="宋体"/>
      <w:sz w:val="24"/>
    </w:rPr>
  </w:style>
  <w:style w:type="character" w:customStyle="1" w:styleId="75">
    <w:name w:val="标题 字符"/>
    <w:basedOn w:val="58"/>
    <w:link w:val="51"/>
    <w:qFormat/>
    <w:uiPriority w:val="10"/>
    <w:rPr>
      <w:rFonts w:ascii="Times New Roman" w:hAnsi="Times New Roman" w:eastAsia="宋体" w:cstheme="majorBidi"/>
      <w:b/>
      <w:bCs/>
      <w:sz w:val="44"/>
      <w:szCs w:val="32"/>
    </w:rPr>
  </w:style>
  <w:style w:type="character" w:customStyle="1" w:styleId="76">
    <w:name w:val="副标题 字符"/>
    <w:basedOn w:val="58"/>
    <w:link w:val="40"/>
    <w:qFormat/>
    <w:uiPriority w:val="11"/>
    <w:rPr>
      <w:rFonts w:ascii="Times New Roman" w:hAnsi="Times New Roman" w:eastAsia="黑体"/>
      <w:b/>
      <w:bCs/>
      <w:kern w:val="28"/>
      <w:sz w:val="44"/>
      <w:szCs w:val="32"/>
    </w:rPr>
  </w:style>
  <w:style w:type="paragraph" w:customStyle="1" w:styleId="77">
    <w:name w:val="图表标题"/>
    <w:basedOn w:val="1"/>
    <w:link w:val="78"/>
    <w:qFormat/>
    <w:uiPriority w:val="0"/>
    <w:pPr>
      <w:spacing w:line="360" w:lineRule="auto"/>
      <w:ind w:firstLine="0" w:firstLineChars="0"/>
      <w:jc w:val="center"/>
    </w:pPr>
    <w:rPr>
      <w:bCs/>
      <w:sz w:val="24"/>
    </w:rPr>
  </w:style>
  <w:style w:type="character" w:customStyle="1" w:styleId="78">
    <w:name w:val="图表标题 字符"/>
    <w:basedOn w:val="58"/>
    <w:link w:val="77"/>
    <w:qFormat/>
    <w:uiPriority w:val="0"/>
    <w:rPr>
      <w:rFonts w:ascii="Times New Roman" w:hAnsi="Times New Roman" w:eastAsia="宋体"/>
      <w:bCs/>
      <w:sz w:val="24"/>
    </w:rPr>
  </w:style>
  <w:style w:type="character" w:customStyle="1" w:styleId="79">
    <w:name w:val="页眉 字符"/>
    <w:basedOn w:val="58"/>
    <w:link w:val="35"/>
    <w:qFormat/>
    <w:uiPriority w:val="99"/>
    <w:rPr>
      <w:rFonts w:ascii="Times New Roman" w:hAnsi="Times New Roman" w:eastAsia="宋体"/>
      <w:sz w:val="18"/>
      <w:szCs w:val="18"/>
    </w:rPr>
  </w:style>
  <w:style w:type="character" w:customStyle="1" w:styleId="80">
    <w:name w:val="页脚 字符"/>
    <w:basedOn w:val="58"/>
    <w:link w:val="34"/>
    <w:qFormat/>
    <w:uiPriority w:val="99"/>
    <w:rPr>
      <w:rFonts w:ascii="Times New Roman" w:hAnsi="Times New Roman" w:eastAsia="宋体"/>
      <w:sz w:val="18"/>
      <w:szCs w:val="18"/>
    </w:rPr>
  </w:style>
  <w:style w:type="character" w:customStyle="1" w:styleId="81">
    <w:name w:val="标题 1 字符"/>
    <w:basedOn w:val="58"/>
    <w:link w:val="3"/>
    <w:qFormat/>
    <w:uiPriority w:val="9"/>
    <w:rPr>
      <w:rFonts w:ascii="Times New Roman" w:hAnsi="Times New Roman" w:eastAsia="宋体"/>
      <w:b/>
      <w:bCs/>
      <w:kern w:val="44"/>
      <w:sz w:val="32"/>
      <w:szCs w:val="32"/>
    </w:rPr>
  </w:style>
  <w:style w:type="character" w:customStyle="1" w:styleId="82">
    <w:name w:val="标题 2 字符"/>
    <w:basedOn w:val="58"/>
    <w:link w:val="4"/>
    <w:qFormat/>
    <w:uiPriority w:val="0"/>
    <w:rPr>
      <w:rFonts w:ascii="Times New Roman" w:hAnsi="Times New Roman" w:eastAsia="宋体" w:cstheme="majorBidi"/>
      <w:b/>
      <w:bCs/>
      <w:sz w:val="30"/>
      <w:szCs w:val="30"/>
    </w:rPr>
  </w:style>
  <w:style w:type="character" w:customStyle="1" w:styleId="83">
    <w:name w:val="标题 4 字符"/>
    <w:basedOn w:val="58"/>
    <w:link w:val="6"/>
    <w:qFormat/>
    <w:uiPriority w:val="9"/>
    <w:rPr>
      <w:rFonts w:ascii="Times New Roman" w:hAnsi="Times New Roman" w:eastAsia="宋体" w:cstheme="majorBidi"/>
      <w:b/>
      <w:bCs/>
      <w:sz w:val="28"/>
      <w:szCs w:val="28"/>
    </w:rPr>
  </w:style>
  <w:style w:type="character" w:customStyle="1" w:styleId="84">
    <w:name w:val="日期 字符"/>
    <w:basedOn w:val="58"/>
    <w:link w:val="31"/>
    <w:qFormat/>
    <w:uiPriority w:val="0"/>
    <w:rPr>
      <w:rFonts w:ascii="Times New Roman" w:hAnsi="Times New Roman" w:eastAsia="宋体"/>
      <w:sz w:val="28"/>
    </w:rPr>
  </w:style>
  <w:style w:type="character" w:customStyle="1" w:styleId="85">
    <w:name w:val="批注文字 字符"/>
    <w:basedOn w:val="58"/>
    <w:link w:val="19"/>
    <w:qFormat/>
    <w:uiPriority w:val="99"/>
    <w:rPr>
      <w:rFonts w:ascii="Times New Roman" w:hAnsi="Times New Roman" w:eastAsia="宋体"/>
      <w:sz w:val="28"/>
    </w:rPr>
  </w:style>
  <w:style w:type="character" w:customStyle="1" w:styleId="86">
    <w:name w:val="批注主题 字符"/>
    <w:basedOn w:val="85"/>
    <w:link w:val="52"/>
    <w:qFormat/>
    <w:uiPriority w:val="0"/>
    <w:rPr>
      <w:rFonts w:ascii="Times New Roman" w:hAnsi="Times New Roman" w:eastAsia="宋体"/>
      <w:b/>
      <w:bCs/>
      <w:sz w:val="28"/>
    </w:rPr>
  </w:style>
  <w:style w:type="character" w:customStyle="1" w:styleId="87">
    <w:name w:val="批注框文本 字符"/>
    <w:basedOn w:val="58"/>
    <w:link w:val="33"/>
    <w:qFormat/>
    <w:uiPriority w:val="99"/>
    <w:rPr>
      <w:rFonts w:ascii="Times New Roman" w:hAnsi="Times New Roman" w:eastAsia="宋体"/>
      <w:sz w:val="18"/>
      <w:szCs w:val="18"/>
    </w:rPr>
  </w:style>
  <w:style w:type="paragraph" w:customStyle="1" w:styleId="88">
    <w:name w:val="正文缩进2格"/>
    <w:basedOn w:val="1"/>
    <w:qFormat/>
    <w:uiPriority w:val="0"/>
    <w:pPr>
      <w:spacing w:line="500" w:lineRule="exact"/>
    </w:pPr>
    <w:rPr>
      <w:rFonts w:cs="Times New Roman"/>
      <w:szCs w:val="24"/>
    </w:rPr>
  </w:style>
  <w:style w:type="character" w:customStyle="1" w:styleId="89">
    <w:name w:val="正文 + 首行缩进 Char"/>
    <w:link w:val="90"/>
    <w:qFormat/>
    <w:locked/>
    <w:uiPriority w:val="0"/>
    <w:rPr>
      <w:sz w:val="28"/>
    </w:rPr>
  </w:style>
  <w:style w:type="paragraph" w:customStyle="1" w:styleId="90">
    <w:name w:val="正文 + 首行缩进"/>
    <w:basedOn w:val="1"/>
    <w:link w:val="89"/>
    <w:qFormat/>
    <w:uiPriority w:val="0"/>
    <w:pPr>
      <w:spacing w:line="500" w:lineRule="exact"/>
    </w:pPr>
    <w:rPr>
      <w:rFonts w:asciiTheme="minorHAnsi" w:hAnsiTheme="minorHAnsi" w:eastAsiaTheme="minorEastAsia"/>
    </w:rPr>
  </w:style>
  <w:style w:type="character" w:customStyle="1" w:styleId="91">
    <w:name w:val="正文文本 字符"/>
    <w:basedOn w:val="58"/>
    <w:link w:val="15"/>
    <w:qFormat/>
    <w:uiPriority w:val="0"/>
    <w:rPr>
      <w:rFonts w:ascii="Times New Roman" w:hAnsi="Times New Roman" w:eastAsia="宋体"/>
      <w:sz w:val="28"/>
    </w:rPr>
  </w:style>
  <w:style w:type="character" w:styleId="92">
    <w:name w:val="Placeholder Text"/>
    <w:basedOn w:val="58"/>
    <w:semiHidden/>
    <w:qFormat/>
    <w:uiPriority w:val="99"/>
    <w:rPr>
      <w:color w:val="808080"/>
    </w:rPr>
  </w:style>
  <w:style w:type="character" w:customStyle="1" w:styleId="93">
    <w:name w:val="正文文本缩进 2 字符"/>
    <w:link w:val="32"/>
    <w:qFormat/>
    <w:uiPriority w:val="0"/>
    <w:rPr>
      <w:szCs w:val="24"/>
    </w:rPr>
  </w:style>
  <w:style w:type="character" w:customStyle="1" w:styleId="94">
    <w:name w:val="正文文本缩进 2 字符1"/>
    <w:basedOn w:val="58"/>
    <w:semiHidden/>
    <w:qFormat/>
    <w:uiPriority w:val="99"/>
    <w:rPr>
      <w:rFonts w:ascii="Times New Roman" w:hAnsi="Times New Roman" w:eastAsia="宋体"/>
      <w:sz w:val="28"/>
    </w:rPr>
  </w:style>
  <w:style w:type="paragraph" w:styleId="95">
    <w:name w:val="List Paragraph"/>
    <w:basedOn w:val="1"/>
    <w:qFormat/>
    <w:uiPriority w:val="34"/>
    <w:pPr>
      <w:ind w:firstLine="420"/>
    </w:pPr>
  </w:style>
  <w:style w:type="paragraph" w:customStyle="1" w:styleId="96">
    <w:name w:val="修订1"/>
    <w:hidden/>
    <w:semiHidden/>
    <w:qFormat/>
    <w:uiPriority w:val="99"/>
    <w:rPr>
      <w:rFonts w:ascii="Times New Roman" w:hAnsi="Times New Roman" w:eastAsia="宋体" w:cstheme="minorBidi"/>
      <w:kern w:val="2"/>
      <w:sz w:val="28"/>
      <w:szCs w:val="22"/>
      <w:lang w:val="en-US" w:eastAsia="zh-CN" w:bidi="ar-SA"/>
    </w:rPr>
  </w:style>
  <w:style w:type="character" w:customStyle="1" w:styleId="97">
    <w:name w:val="标题 5 字符"/>
    <w:basedOn w:val="58"/>
    <w:link w:val="7"/>
    <w:qFormat/>
    <w:uiPriority w:val="0"/>
    <w:rPr>
      <w:rFonts w:ascii="Times New Roman" w:hAnsi="Times New Roman" w:eastAsia="宋体"/>
      <w:sz w:val="28"/>
      <w:szCs w:val="28"/>
    </w:rPr>
  </w:style>
  <w:style w:type="paragraph" w:customStyle="1" w:styleId="98">
    <w:name w:val="4"/>
    <w:basedOn w:val="1"/>
    <w:qFormat/>
    <w:uiPriority w:val="0"/>
    <w:pPr>
      <w:spacing w:beforeLines="100" w:line="240" w:lineRule="auto"/>
      <w:ind w:firstLine="0" w:firstLineChars="0"/>
    </w:pPr>
    <w:rPr>
      <w:rFonts w:cs="Times New Roman"/>
      <w:sz w:val="21"/>
      <w:szCs w:val="24"/>
    </w:rPr>
  </w:style>
  <w:style w:type="table" w:customStyle="1" w:styleId="99">
    <w:name w:val="Table Normal"/>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100">
    <w:name w:val="Table Paragraph"/>
    <w:basedOn w:val="1"/>
    <w:qFormat/>
    <w:uiPriority w:val="1"/>
    <w:pPr>
      <w:autoSpaceDE w:val="0"/>
      <w:autoSpaceDN w:val="0"/>
      <w:spacing w:line="240" w:lineRule="auto"/>
      <w:ind w:firstLine="0" w:firstLineChars="0"/>
      <w:jc w:val="center"/>
    </w:pPr>
    <w:rPr>
      <w:rFonts w:eastAsia="Times New Roman" w:cs="Times New Roman"/>
      <w:kern w:val="0"/>
      <w:sz w:val="22"/>
      <w:lang w:eastAsia="en-US"/>
    </w:rPr>
  </w:style>
  <w:style w:type="character" w:customStyle="1" w:styleId="101">
    <w:name w:val="fontstyle01"/>
    <w:basedOn w:val="58"/>
    <w:qFormat/>
    <w:uiPriority w:val="0"/>
    <w:rPr>
      <w:rFonts w:hint="eastAsia" w:ascii="黑体" w:hAnsi="黑体" w:eastAsia="黑体"/>
      <w:color w:val="000000"/>
      <w:sz w:val="24"/>
      <w:szCs w:val="24"/>
    </w:rPr>
  </w:style>
  <w:style w:type="character" w:customStyle="1" w:styleId="102">
    <w:name w:val="fontstyle21"/>
    <w:basedOn w:val="58"/>
    <w:qFormat/>
    <w:uiPriority w:val="0"/>
    <w:rPr>
      <w:rFonts w:hint="default" w:ascii="TimesNewRomanPS-BoldMT" w:hAnsi="TimesNewRomanPS-BoldMT"/>
      <w:b/>
      <w:bCs/>
      <w:color w:val="000000"/>
      <w:sz w:val="24"/>
      <w:szCs w:val="24"/>
    </w:rPr>
  </w:style>
  <w:style w:type="character" w:customStyle="1" w:styleId="103">
    <w:name w:val="fontstyle31"/>
    <w:basedOn w:val="58"/>
    <w:qFormat/>
    <w:uiPriority w:val="0"/>
    <w:rPr>
      <w:rFonts w:hint="eastAsia" w:ascii="仿宋" w:hAnsi="仿宋" w:eastAsia="仿宋"/>
      <w:color w:val="000000"/>
      <w:sz w:val="22"/>
      <w:szCs w:val="22"/>
    </w:rPr>
  </w:style>
  <w:style w:type="character" w:customStyle="1" w:styleId="104">
    <w:name w:val="fontstyle41"/>
    <w:basedOn w:val="58"/>
    <w:qFormat/>
    <w:uiPriority w:val="0"/>
    <w:rPr>
      <w:rFonts w:hint="default" w:ascii="TimesNewRomanPSMT" w:hAnsi="TimesNewRomanPSMT"/>
      <w:color w:val="000000"/>
      <w:sz w:val="22"/>
      <w:szCs w:val="22"/>
    </w:rPr>
  </w:style>
  <w:style w:type="character" w:customStyle="1" w:styleId="105">
    <w:name w:val="fontstyle51"/>
    <w:basedOn w:val="58"/>
    <w:qFormat/>
    <w:uiPriority w:val="0"/>
    <w:rPr>
      <w:rFonts w:hint="default" w:ascii="ArialMT" w:hAnsi="ArialMT"/>
      <w:color w:val="000000"/>
      <w:sz w:val="22"/>
      <w:szCs w:val="22"/>
    </w:rPr>
  </w:style>
  <w:style w:type="paragraph" w:customStyle="1" w:styleId="106">
    <w:name w:val="H图"/>
    <w:next w:val="1"/>
    <w:qFormat/>
    <w:uiPriority w:val="3"/>
    <w:pPr>
      <w:jc w:val="center"/>
      <w:textAlignment w:val="center"/>
    </w:pPr>
    <w:rPr>
      <w:rFonts w:ascii="黑体" w:hAnsi="黑体" w:eastAsia="黑体" w:cstheme="minorBidi"/>
      <w:kern w:val="2"/>
      <w:sz w:val="24"/>
      <w:szCs w:val="28"/>
      <w:lang w:val="en-US" w:eastAsia="zh-CN" w:bidi="ar-SA"/>
    </w:rPr>
  </w:style>
  <w:style w:type="paragraph" w:customStyle="1" w:styleId="107">
    <w:name w:val="H图名"/>
    <w:next w:val="1"/>
    <w:qFormat/>
    <w:uiPriority w:val="3"/>
    <w:pPr>
      <w:spacing w:line="520" w:lineRule="exact"/>
      <w:jc w:val="center"/>
      <w:textAlignment w:val="center"/>
    </w:pPr>
    <w:rPr>
      <w:rFonts w:ascii="黑体" w:hAnsi="黑体" w:eastAsia="黑体" w:cstheme="minorBidi"/>
      <w:kern w:val="2"/>
      <w:sz w:val="24"/>
      <w:szCs w:val="28"/>
      <w:lang w:val="en-US" w:eastAsia="zh-CN" w:bidi="ar-SA"/>
    </w:rPr>
  </w:style>
  <w:style w:type="paragraph" w:customStyle="1" w:styleId="108">
    <w:name w:val="表体"/>
    <w:basedOn w:val="1"/>
    <w:link w:val="183"/>
    <w:qFormat/>
    <w:uiPriority w:val="0"/>
    <w:pPr>
      <w:overflowPunct w:val="0"/>
      <w:adjustRightInd w:val="0"/>
      <w:spacing w:line="240" w:lineRule="auto"/>
      <w:jc w:val="center"/>
      <w:textAlignment w:val="baseline"/>
    </w:pPr>
    <w:rPr>
      <w:rFonts w:asciiTheme="minorHAnsi" w:hAnsiTheme="minorHAnsi" w:eastAsiaTheme="minorEastAsia"/>
      <w:w w:val="90"/>
      <w:kern w:val="24"/>
      <w:sz w:val="24"/>
      <w:szCs w:val="20"/>
    </w:rPr>
  </w:style>
  <w:style w:type="character" w:customStyle="1" w:styleId="109">
    <w:name w:val="font41"/>
    <w:basedOn w:val="58"/>
    <w:qFormat/>
    <w:uiPriority w:val="0"/>
    <w:rPr>
      <w:rFonts w:hint="default" w:ascii="Times New Roman" w:hAnsi="Times New Roman" w:cs="Times New Roman"/>
      <w:color w:val="000000"/>
      <w:sz w:val="21"/>
      <w:szCs w:val="21"/>
      <w:u w:val="none"/>
    </w:rPr>
  </w:style>
  <w:style w:type="character" w:customStyle="1" w:styleId="110">
    <w:name w:val="font01"/>
    <w:basedOn w:val="58"/>
    <w:qFormat/>
    <w:uiPriority w:val="0"/>
    <w:rPr>
      <w:rFonts w:hint="default" w:ascii="Times New Roman" w:hAnsi="Times New Roman" w:cs="Times New Roman"/>
      <w:color w:val="000000"/>
      <w:sz w:val="21"/>
      <w:szCs w:val="21"/>
      <w:u w:val="none"/>
      <w:vertAlign w:val="superscript"/>
    </w:rPr>
  </w:style>
  <w:style w:type="character" w:customStyle="1" w:styleId="111">
    <w:name w:val="题注 字符"/>
    <w:link w:val="16"/>
    <w:qFormat/>
    <w:uiPriority w:val="0"/>
    <w:rPr>
      <w:rFonts w:eastAsia="黑体" w:asciiTheme="majorHAnsi" w:hAnsiTheme="majorHAnsi" w:cstheme="majorBidi"/>
      <w:sz w:val="20"/>
      <w:szCs w:val="20"/>
    </w:rPr>
  </w:style>
  <w:style w:type="paragraph" w:customStyle="1" w:styleId="112">
    <w:name w:val="H表0.9"/>
    <w:next w:val="1"/>
    <w:qFormat/>
    <w:uiPriority w:val="2"/>
    <w:pPr>
      <w:spacing w:line="240" w:lineRule="atLeast"/>
      <w:jc w:val="center"/>
      <w:textAlignment w:val="center"/>
    </w:pPr>
    <w:rPr>
      <w:rFonts w:ascii="Times New Roman" w:hAnsi="Times New Roman" w:eastAsia="宋体" w:cstheme="minorBidi"/>
      <w:kern w:val="2"/>
      <w:sz w:val="24"/>
      <w:szCs w:val="28"/>
      <w:lang w:val="en-US" w:eastAsia="zh-CN" w:bidi="ar-SA"/>
    </w:rPr>
  </w:style>
  <w:style w:type="character" w:customStyle="1" w:styleId="113">
    <w:name w:val="正文文本缩进 字符"/>
    <w:basedOn w:val="58"/>
    <w:link w:val="22"/>
    <w:qFormat/>
    <w:uiPriority w:val="0"/>
    <w:rPr>
      <w:rFonts w:ascii="Times New Roman" w:hAnsi="Times New Roman" w:eastAsia="宋体"/>
      <w:sz w:val="28"/>
    </w:rPr>
  </w:style>
  <w:style w:type="character" w:customStyle="1" w:styleId="114">
    <w:name w:val="正文文本首行缩进 2 字符"/>
    <w:basedOn w:val="113"/>
    <w:link w:val="53"/>
    <w:qFormat/>
    <w:uiPriority w:val="99"/>
    <w:rPr>
      <w:rFonts w:ascii="Times New Roman" w:hAnsi="Times New Roman" w:eastAsia="宋体"/>
      <w:sz w:val="28"/>
    </w:rPr>
  </w:style>
  <w:style w:type="paragraph" w:customStyle="1" w:styleId="115">
    <w:name w:val="Char1 Char Char Char Char Char Char Char Char Char"/>
    <w:basedOn w:val="1"/>
    <w:qFormat/>
    <w:uiPriority w:val="0"/>
    <w:pPr>
      <w:spacing w:line="240" w:lineRule="auto"/>
      <w:ind w:firstLine="0" w:firstLineChars="0"/>
    </w:pPr>
    <w:rPr>
      <w:rFonts w:ascii="Arial" w:hAnsi="Arial" w:cs="Arial"/>
      <w:sz w:val="18"/>
      <w:szCs w:val="24"/>
    </w:rPr>
  </w:style>
  <w:style w:type="paragraph" w:customStyle="1" w:styleId="116">
    <w:name w:val="表格"/>
    <w:link w:val="122"/>
    <w:qFormat/>
    <w:uiPriority w:val="0"/>
    <w:pPr>
      <w:spacing w:line="240" w:lineRule="atLeast"/>
      <w:jc w:val="center"/>
    </w:pPr>
    <w:rPr>
      <w:rFonts w:ascii="Times New Roman" w:hAnsi="Times New Roman" w:eastAsia="宋体" w:cs="Times New Roman"/>
      <w:kern w:val="2"/>
      <w:sz w:val="24"/>
      <w:szCs w:val="24"/>
      <w:lang w:val="en-US" w:eastAsia="zh-CN" w:bidi="ar-SA"/>
    </w:rPr>
  </w:style>
  <w:style w:type="character" w:customStyle="1" w:styleId="117">
    <w:name w:val="正文文本首行缩进 字符"/>
    <w:basedOn w:val="91"/>
    <w:link w:val="14"/>
    <w:qFormat/>
    <w:uiPriority w:val="99"/>
    <w:rPr>
      <w:rFonts w:ascii="Calibri" w:hAnsi="Calibri" w:eastAsia="宋体" w:cs="Times New Roman"/>
      <w:sz w:val="28"/>
    </w:rPr>
  </w:style>
  <w:style w:type="paragraph" w:customStyle="1" w:styleId="118">
    <w:name w:val="正文 首行缩进"/>
    <w:basedOn w:val="1"/>
    <w:qFormat/>
    <w:uiPriority w:val="0"/>
    <w:pPr>
      <w:adjustRightInd w:val="0"/>
      <w:snapToGrid w:val="0"/>
      <w:textAlignment w:val="center"/>
    </w:pPr>
    <w:rPr>
      <w:rFonts w:asciiTheme="minorHAnsi" w:hAnsiTheme="minorHAnsi" w:eastAsiaTheme="minorEastAsia"/>
    </w:rPr>
  </w:style>
  <w:style w:type="paragraph" w:customStyle="1" w:styleId="119">
    <w:name w:val="cx正文"/>
    <w:basedOn w:val="1"/>
    <w:qFormat/>
    <w:uiPriority w:val="0"/>
    <w:pPr>
      <w:spacing w:line="240" w:lineRule="auto"/>
      <w:ind w:firstLine="0" w:firstLineChars="0"/>
    </w:pPr>
    <w:rPr>
      <w:rFonts w:asciiTheme="minorHAnsi" w:hAnsiTheme="minorHAnsi" w:eastAsiaTheme="minorEastAsia"/>
      <w:sz w:val="21"/>
    </w:rPr>
  </w:style>
  <w:style w:type="paragraph" w:customStyle="1" w:styleId="120">
    <w:name w:val="cx图表标题"/>
    <w:basedOn w:val="119"/>
    <w:next w:val="119"/>
    <w:qFormat/>
    <w:uiPriority w:val="0"/>
    <w:pPr>
      <w:jc w:val="center"/>
    </w:pPr>
    <w:rPr>
      <w:rFonts w:eastAsia="黑体"/>
      <w:sz w:val="24"/>
      <w:szCs w:val="24"/>
    </w:rPr>
  </w:style>
  <w:style w:type="paragraph" w:customStyle="1" w:styleId="121">
    <w:name w:val="cx表内容"/>
    <w:basedOn w:val="119"/>
    <w:unhideWhenUsed/>
    <w:qFormat/>
    <w:uiPriority w:val="0"/>
    <w:pPr>
      <w:adjustRightInd w:val="0"/>
      <w:snapToGrid w:val="0"/>
      <w:jc w:val="center"/>
    </w:pPr>
    <w:rPr>
      <w:sz w:val="24"/>
      <w:szCs w:val="24"/>
    </w:rPr>
  </w:style>
  <w:style w:type="character" w:customStyle="1" w:styleId="122">
    <w:name w:val="表格 Char Char"/>
    <w:link w:val="116"/>
    <w:qFormat/>
    <w:locked/>
    <w:uiPriority w:val="0"/>
    <w:rPr>
      <w:rFonts w:ascii="Times New Roman" w:hAnsi="Times New Roman" w:eastAsia="宋体" w:cs="Times New Roman"/>
      <w:sz w:val="24"/>
      <w:szCs w:val="24"/>
    </w:rPr>
  </w:style>
  <w:style w:type="paragraph" w:customStyle="1" w:styleId="123">
    <w:name w:val="11"/>
    <w:basedOn w:val="1"/>
    <w:next w:val="2"/>
    <w:qFormat/>
    <w:uiPriority w:val="0"/>
    <w:pPr>
      <w:adjustRightInd w:val="0"/>
      <w:snapToGrid w:val="0"/>
      <w:spacing w:line="360" w:lineRule="auto"/>
      <w:ind w:firstLine="420"/>
    </w:pPr>
    <w:rPr>
      <w:rFonts w:cs="Times New Roman"/>
      <w:szCs w:val="28"/>
    </w:rPr>
  </w:style>
  <w:style w:type="character" w:customStyle="1" w:styleId="124">
    <w:name w:val="宏文本 字符"/>
    <w:basedOn w:val="58"/>
    <w:link w:val="2"/>
    <w:semiHidden/>
    <w:qFormat/>
    <w:uiPriority w:val="99"/>
    <w:rPr>
      <w:rFonts w:ascii="Courier New" w:hAnsi="Courier New" w:eastAsia="宋体" w:cs="Courier New"/>
      <w:sz w:val="24"/>
      <w:szCs w:val="24"/>
    </w:rPr>
  </w:style>
  <w:style w:type="paragraph" w:customStyle="1" w:styleId="125">
    <w:name w:val="修订2"/>
    <w:hidden/>
    <w:semiHidden/>
    <w:qFormat/>
    <w:uiPriority w:val="99"/>
    <w:rPr>
      <w:rFonts w:ascii="Times New Roman" w:hAnsi="Times New Roman" w:eastAsia="宋体" w:cstheme="minorBidi"/>
      <w:kern w:val="2"/>
      <w:sz w:val="28"/>
      <w:szCs w:val="22"/>
      <w:lang w:val="en-US" w:eastAsia="zh-CN" w:bidi="ar-SA"/>
    </w:rPr>
  </w:style>
  <w:style w:type="paragraph" w:customStyle="1" w:styleId="126">
    <w:name w:val="p0"/>
    <w:basedOn w:val="1"/>
    <w:qFormat/>
    <w:uiPriority w:val="0"/>
    <w:pPr>
      <w:widowControl/>
    </w:pPr>
    <w:rPr>
      <w:kern w:val="0"/>
      <w:szCs w:val="21"/>
    </w:rPr>
  </w:style>
  <w:style w:type="paragraph" w:customStyle="1" w:styleId="127">
    <w:name w:val="修订3"/>
    <w:hidden/>
    <w:semiHidden/>
    <w:qFormat/>
    <w:uiPriority w:val="99"/>
    <w:rPr>
      <w:rFonts w:ascii="Times New Roman" w:hAnsi="Times New Roman" w:eastAsia="宋体" w:cstheme="minorBidi"/>
      <w:kern w:val="2"/>
      <w:sz w:val="28"/>
      <w:szCs w:val="22"/>
      <w:lang w:val="en-US" w:eastAsia="zh-CN" w:bidi="ar-SA"/>
    </w:rPr>
  </w:style>
  <w:style w:type="paragraph" w:customStyle="1" w:styleId="128">
    <w:name w:val="标正"/>
    <w:basedOn w:val="1"/>
    <w:link w:val="129"/>
    <w:qFormat/>
    <w:uiPriority w:val="0"/>
    <w:pPr>
      <w:spacing w:line="480" w:lineRule="exact"/>
      <w:ind w:firstLine="560"/>
      <w:jc w:val="left"/>
    </w:pPr>
    <w:rPr>
      <w:rFonts w:ascii="仿宋_GB2312" w:eastAsia="仿宋_GB2312" w:cs="Times New Roman"/>
      <w:kern w:val="0"/>
      <w:szCs w:val="24"/>
    </w:rPr>
  </w:style>
  <w:style w:type="character" w:customStyle="1" w:styleId="129">
    <w:name w:val="标正 Char"/>
    <w:basedOn w:val="58"/>
    <w:link w:val="128"/>
    <w:qFormat/>
    <w:uiPriority w:val="0"/>
    <w:rPr>
      <w:rFonts w:ascii="仿宋_GB2312" w:hAnsi="Times New Roman" w:eastAsia="仿宋_GB2312" w:cs="Times New Roman"/>
      <w:sz w:val="28"/>
      <w:szCs w:val="24"/>
    </w:rPr>
  </w:style>
  <w:style w:type="paragraph" w:customStyle="1" w:styleId="130">
    <w:name w:val="标表名"/>
    <w:basedOn w:val="1"/>
    <w:link w:val="131"/>
    <w:qFormat/>
    <w:uiPriority w:val="0"/>
    <w:pPr>
      <w:wordWrap w:val="0"/>
      <w:spacing w:line="480" w:lineRule="exact"/>
      <w:ind w:firstLine="0" w:firstLineChars="0"/>
      <w:jc w:val="center"/>
    </w:pPr>
    <w:rPr>
      <w:rFonts w:cs="Times New Roman" w:asciiTheme="minorEastAsia" w:hAnsiTheme="minorEastAsia" w:eastAsiaTheme="minorEastAsia"/>
      <w:bCs/>
      <w:szCs w:val="28"/>
      <w:lang w:val="en-GB"/>
    </w:rPr>
  </w:style>
  <w:style w:type="character" w:customStyle="1" w:styleId="131">
    <w:name w:val="标表名 Char"/>
    <w:basedOn w:val="58"/>
    <w:link w:val="130"/>
    <w:qFormat/>
    <w:uiPriority w:val="0"/>
    <w:rPr>
      <w:rFonts w:cs="Times New Roman" w:asciiTheme="minorEastAsia" w:hAnsiTheme="minorEastAsia"/>
      <w:bCs/>
      <w:kern w:val="2"/>
      <w:sz w:val="28"/>
      <w:szCs w:val="28"/>
      <w:lang w:val="en-GB"/>
    </w:rPr>
  </w:style>
  <w:style w:type="paragraph" w:customStyle="1" w:styleId="132">
    <w:name w:val="表内容"/>
    <w:basedOn w:val="1"/>
    <w:link w:val="133"/>
    <w:qFormat/>
    <w:uiPriority w:val="0"/>
    <w:pPr>
      <w:widowControl/>
      <w:spacing w:line="240" w:lineRule="auto"/>
      <w:ind w:firstLine="0" w:firstLineChars="0"/>
      <w:jc w:val="center"/>
    </w:pPr>
    <w:rPr>
      <w:rFonts w:ascii="仿宋" w:hAnsi="仿宋" w:eastAsia="仿宋" w:cs="宋体"/>
      <w:kern w:val="0"/>
      <w:sz w:val="24"/>
      <w:szCs w:val="24"/>
    </w:rPr>
  </w:style>
  <w:style w:type="character" w:customStyle="1" w:styleId="133">
    <w:name w:val="表内容 Char"/>
    <w:basedOn w:val="58"/>
    <w:link w:val="132"/>
    <w:qFormat/>
    <w:uiPriority w:val="0"/>
    <w:rPr>
      <w:rFonts w:ascii="仿宋" w:hAnsi="仿宋" w:eastAsia="仿宋" w:cs="宋体"/>
      <w:sz w:val="24"/>
      <w:szCs w:val="24"/>
    </w:rPr>
  </w:style>
  <w:style w:type="paragraph" w:customStyle="1" w:styleId="134">
    <w:name w:val="标图名"/>
    <w:basedOn w:val="128"/>
    <w:next w:val="128"/>
    <w:link w:val="135"/>
    <w:qFormat/>
    <w:uiPriority w:val="0"/>
    <w:pPr>
      <w:spacing w:line="240" w:lineRule="auto"/>
      <w:ind w:firstLine="0" w:firstLineChars="0"/>
      <w:jc w:val="center"/>
    </w:pPr>
  </w:style>
  <w:style w:type="character" w:customStyle="1" w:styleId="135">
    <w:name w:val="标图名 字符"/>
    <w:basedOn w:val="129"/>
    <w:link w:val="134"/>
    <w:qFormat/>
    <w:uiPriority w:val="0"/>
    <w:rPr>
      <w:rFonts w:ascii="仿宋_GB2312" w:hAnsi="Times New Roman" w:eastAsia="仿宋_GB2312" w:cs="Times New Roman"/>
      <w:sz w:val="28"/>
      <w:szCs w:val="24"/>
    </w:rPr>
  </w:style>
  <w:style w:type="character" w:customStyle="1" w:styleId="136">
    <w:name w:val="fontstyle11"/>
    <w:basedOn w:val="58"/>
    <w:qFormat/>
    <w:uiPriority w:val="0"/>
    <w:rPr>
      <w:rFonts w:hint="default" w:ascii="TimesNewRomanPSMT" w:hAnsi="TimesNewRomanPSMT"/>
      <w:color w:val="000000"/>
      <w:sz w:val="24"/>
      <w:szCs w:val="24"/>
    </w:rPr>
  </w:style>
  <w:style w:type="character" w:customStyle="1" w:styleId="137">
    <w:name w:val="文档结构图 字符"/>
    <w:basedOn w:val="58"/>
    <w:link w:val="18"/>
    <w:qFormat/>
    <w:uiPriority w:val="99"/>
    <w:rPr>
      <w:rFonts w:ascii="宋体" w:hAnsi="Times New Roman" w:eastAsia="宋体"/>
      <w:kern w:val="2"/>
      <w:sz w:val="18"/>
      <w:szCs w:val="18"/>
    </w:rPr>
  </w:style>
  <w:style w:type="paragraph" w:customStyle="1" w:styleId="138">
    <w:name w:val="00-表格"/>
    <w:basedOn w:val="1"/>
    <w:next w:val="1"/>
    <w:link w:val="139"/>
    <w:qFormat/>
    <w:uiPriority w:val="0"/>
    <w:pPr>
      <w:adjustRightInd w:val="0"/>
      <w:snapToGrid w:val="0"/>
      <w:spacing w:line="240" w:lineRule="auto"/>
      <w:ind w:firstLine="0" w:firstLineChars="0"/>
      <w:jc w:val="center"/>
      <w:textAlignment w:val="center"/>
    </w:pPr>
    <w:rPr>
      <w:rFonts w:cs="Times New Roman"/>
      <w:sz w:val="22"/>
      <w:szCs w:val="28"/>
    </w:rPr>
  </w:style>
  <w:style w:type="character" w:customStyle="1" w:styleId="139">
    <w:name w:val="00-表格 Char"/>
    <w:link w:val="138"/>
    <w:autoRedefine/>
    <w:qFormat/>
    <w:uiPriority w:val="0"/>
    <w:rPr>
      <w:rFonts w:ascii="Times New Roman" w:hAnsi="Times New Roman" w:eastAsia="宋体" w:cs="Times New Roman"/>
      <w:kern w:val="2"/>
      <w:sz w:val="22"/>
      <w:szCs w:val="28"/>
    </w:rPr>
  </w:style>
  <w:style w:type="paragraph" w:customStyle="1" w:styleId="140">
    <w:name w:val="00-表头"/>
    <w:basedOn w:val="1"/>
    <w:next w:val="1"/>
    <w:link w:val="141"/>
    <w:qFormat/>
    <w:uiPriority w:val="0"/>
    <w:pPr>
      <w:adjustRightInd w:val="0"/>
      <w:snapToGrid w:val="0"/>
      <w:spacing w:line="560" w:lineRule="exact"/>
      <w:ind w:firstLine="0" w:firstLineChars="0"/>
      <w:jc w:val="center"/>
      <w:textAlignment w:val="center"/>
      <w:outlineLvl w:val="5"/>
    </w:pPr>
    <w:rPr>
      <w:rFonts w:eastAsia="黑体" w:cs="Times New Roman"/>
      <w:szCs w:val="28"/>
    </w:rPr>
  </w:style>
  <w:style w:type="character" w:customStyle="1" w:styleId="141">
    <w:name w:val="00-表头 Char"/>
    <w:link w:val="140"/>
    <w:autoRedefine/>
    <w:qFormat/>
    <w:uiPriority w:val="0"/>
    <w:rPr>
      <w:rFonts w:ascii="Times New Roman" w:hAnsi="Times New Roman" w:eastAsia="黑体" w:cs="Times New Roman"/>
      <w:kern w:val="2"/>
      <w:sz w:val="28"/>
      <w:szCs w:val="28"/>
    </w:rPr>
  </w:style>
  <w:style w:type="character" w:customStyle="1" w:styleId="142">
    <w:name w:val="标4 Char"/>
    <w:link w:val="143"/>
    <w:qFormat/>
    <w:locked/>
    <w:uiPriority w:val="0"/>
    <w:rPr>
      <w:rFonts w:ascii="仿宋_GB2312" w:hAnsi="Calibri" w:eastAsia="仿宋_GB2312" w:cs="Times New Roman"/>
      <w:sz w:val="28"/>
      <w:szCs w:val="28"/>
    </w:rPr>
  </w:style>
  <w:style w:type="paragraph" w:customStyle="1" w:styleId="143">
    <w:name w:val="标4"/>
    <w:basedOn w:val="1"/>
    <w:link w:val="142"/>
    <w:qFormat/>
    <w:uiPriority w:val="0"/>
    <w:pPr>
      <w:spacing w:line="480" w:lineRule="exact"/>
      <w:ind w:firstLine="280" w:firstLineChars="100"/>
      <w:outlineLvl w:val="3"/>
    </w:pPr>
    <w:rPr>
      <w:rFonts w:ascii="仿宋_GB2312" w:hAnsi="Calibri" w:eastAsia="仿宋_GB2312" w:cs="Times New Roman"/>
      <w:kern w:val="0"/>
      <w:szCs w:val="28"/>
    </w:rPr>
  </w:style>
  <w:style w:type="character" w:customStyle="1" w:styleId="144">
    <w:name w:val="标3 Char"/>
    <w:link w:val="145"/>
    <w:qFormat/>
    <w:locked/>
    <w:uiPriority w:val="0"/>
    <w:rPr>
      <w:rFonts w:ascii="宋体" w:hAnsi="宋体" w:eastAsia="宋体" w:cs="Times New Roman"/>
      <w:b/>
      <w:sz w:val="28"/>
      <w:szCs w:val="28"/>
    </w:rPr>
  </w:style>
  <w:style w:type="paragraph" w:customStyle="1" w:styleId="145">
    <w:name w:val="标3"/>
    <w:basedOn w:val="1"/>
    <w:link w:val="144"/>
    <w:qFormat/>
    <w:uiPriority w:val="0"/>
    <w:pPr>
      <w:spacing w:line="360" w:lineRule="auto"/>
      <w:ind w:firstLine="0" w:firstLineChars="0"/>
      <w:outlineLvl w:val="2"/>
    </w:pPr>
    <w:rPr>
      <w:rFonts w:ascii="宋体" w:hAnsi="宋体" w:cs="Times New Roman"/>
      <w:b/>
      <w:kern w:val="0"/>
      <w:szCs w:val="28"/>
    </w:rPr>
  </w:style>
  <w:style w:type="character" w:customStyle="1" w:styleId="146">
    <w:name w:val="标题 6 字符"/>
    <w:basedOn w:val="58"/>
    <w:link w:val="8"/>
    <w:qFormat/>
    <w:uiPriority w:val="9"/>
    <w:rPr>
      <w:rFonts w:ascii="Wingdings" w:hAnsi="Wingdings" w:eastAsia="宋体" w:cs="??"/>
      <w:b/>
      <w:bCs/>
      <w:kern w:val="2"/>
      <w:sz w:val="24"/>
      <w:szCs w:val="24"/>
    </w:rPr>
  </w:style>
  <w:style w:type="character" w:customStyle="1" w:styleId="147">
    <w:name w:val="标题 7 字符"/>
    <w:basedOn w:val="58"/>
    <w:link w:val="9"/>
    <w:qFormat/>
    <w:uiPriority w:val="0"/>
    <w:rPr>
      <w:rFonts w:ascii="??" w:hAnsi="??" w:eastAsia="宋体" w:cs="??"/>
      <w:b/>
      <w:bCs/>
      <w:kern w:val="2"/>
      <w:sz w:val="24"/>
      <w:szCs w:val="24"/>
    </w:rPr>
  </w:style>
  <w:style w:type="character" w:customStyle="1" w:styleId="148">
    <w:name w:val="标题 9 字符"/>
    <w:basedOn w:val="58"/>
    <w:link w:val="10"/>
    <w:qFormat/>
    <w:uiPriority w:val="0"/>
    <w:rPr>
      <w:rFonts w:ascii="Times-Roman" w:hAnsi="Times-Roman" w:eastAsia="仿宋_GB2312" w:cs="??"/>
      <w:kern w:val="2"/>
      <w:sz w:val="21"/>
      <w:szCs w:val="21"/>
    </w:rPr>
  </w:style>
  <w:style w:type="character" w:customStyle="1" w:styleId="149">
    <w:name w:val="正文缩进 字符"/>
    <w:link w:val="13"/>
    <w:qFormat/>
    <w:uiPriority w:val="0"/>
    <w:rPr>
      <w:rFonts w:ascii="KP CheongPong" w:hAnsi="Calibri" w:eastAsia="KP CheongPong"/>
      <w:kern w:val="2"/>
      <w:sz w:val="24"/>
      <w:szCs w:val="24"/>
    </w:rPr>
  </w:style>
  <w:style w:type="character" w:customStyle="1" w:styleId="150">
    <w:name w:val="正文文本 3 字符"/>
    <w:basedOn w:val="58"/>
    <w:link w:val="21"/>
    <w:qFormat/>
    <w:uiPriority w:val="0"/>
    <w:rPr>
      <w:rFonts w:ascii="??" w:hAnsi="??" w:eastAsia="宋体" w:cs="??"/>
      <w:kern w:val="2"/>
      <w:sz w:val="16"/>
      <w:szCs w:val="16"/>
    </w:rPr>
  </w:style>
  <w:style w:type="character" w:customStyle="1" w:styleId="151">
    <w:name w:val="纯文本 字符"/>
    <w:basedOn w:val="58"/>
    <w:link w:val="28"/>
    <w:qFormat/>
    <w:uiPriority w:val="0"/>
    <w:rPr>
      <w:rFonts w:ascii="Calibri" w:hAnsi="@宋体" w:eastAsia="宋体" w:cs="??"/>
      <w:kern w:val="2"/>
      <w:sz w:val="28"/>
    </w:rPr>
  </w:style>
  <w:style w:type="character" w:customStyle="1" w:styleId="152">
    <w:name w:val="脚注文本 字符"/>
    <w:basedOn w:val="58"/>
    <w:link w:val="41"/>
    <w:qFormat/>
    <w:uiPriority w:val="99"/>
    <w:rPr>
      <w:rFonts w:ascii="??" w:hAnsi="??" w:eastAsia="宋体" w:cs="??"/>
      <w:sz w:val="18"/>
      <w:szCs w:val="18"/>
    </w:rPr>
  </w:style>
  <w:style w:type="character" w:customStyle="1" w:styleId="153">
    <w:name w:val="正文文本缩进 3 字符"/>
    <w:basedOn w:val="58"/>
    <w:link w:val="43"/>
    <w:qFormat/>
    <w:uiPriority w:val="0"/>
    <w:rPr>
      <w:rFonts w:ascii="Verdana" w:hAnsi="Calibri" w:eastAsia="Verdana" w:cs="??"/>
      <w:kern w:val="2"/>
      <w:sz w:val="24"/>
      <w:szCs w:val="24"/>
    </w:rPr>
  </w:style>
  <w:style w:type="character" w:customStyle="1" w:styleId="154">
    <w:name w:val="正文文本 2 字符"/>
    <w:basedOn w:val="58"/>
    <w:link w:val="48"/>
    <w:qFormat/>
    <w:uiPriority w:val="99"/>
    <w:rPr>
      <w:rFonts w:ascii="??" w:hAnsi="??" w:eastAsia="宋体" w:cs="??"/>
      <w:kern w:val="2"/>
      <w:sz w:val="21"/>
      <w:szCs w:val="24"/>
    </w:rPr>
  </w:style>
  <w:style w:type="table" w:customStyle="1" w:styleId="155">
    <w:name w:val="网格型1"/>
    <w:basedOn w:val="54"/>
    <w:qFormat/>
    <w:uiPriority w:val="59"/>
    <w:pPr>
      <w:widowControl w:val="0"/>
      <w:spacing w:line="360" w:lineRule="atLeast"/>
      <w:ind w:firstLine="200" w:firstLineChars="200"/>
      <w:jc w:val="both"/>
    </w:pPr>
    <w:rPr>
      <w:rFonts w:ascii="??" w:hAnsi="??"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6">
    <w:name w:val="文档结构图1"/>
    <w:basedOn w:val="1"/>
    <w:next w:val="18"/>
    <w:qFormat/>
    <w:uiPriority w:val="99"/>
    <w:pPr>
      <w:shd w:val="clear" w:color="auto" w:fill="000080"/>
      <w:spacing w:line="240" w:lineRule="auto"/>
    </w:pPr>
    <w:rPr>
      <w:rFonts w:ascii="??" w:hAnsi="??" w:cs="??"/>
      <w:kern w:val="0"/>
      <w:sz w:val="27"/>
      <w:szCs w:val="24"/>
      <w:shd w:val="clear" w:color="auto" w:fill="000080"/>
    </w:rPr>
  </w:style>
  <w:style w:type="paragraph" w:customStyle="1" w:styleId="157">
    <w:name w:val="样式1"/>
    <w:basedOn w:val="1"/>
    <w:qFormat/>
    <w:uiPriority w:val="0"/>
    <w:pPr>
      <w:spacing w:line="400" w:lineRule="exact"/>
      <w:ind w:firstLine="0" w:firstLineChars="0"/>
    </w:pPr>
    <w:rPr>
      <w:rFonts w:ascii="??" w:hAnsi="??" w:cs="??"/>
      <w:sz w:val="24"/>
      <w:szCs w:val="24"/>
    </w:rPr>
  </w:style>
  <w:style w:type="character" w:customStyle="1" w:styleId="158">
    <w:name w:val="样式3 Char"/>
    <w:link w:val="159"/>
    <w:qFormat/>
    <w:uiPriority w:val="0"/>
    <w:rPr>
      <w:rFonts w:ascii="仿宋_GB2312" w:hAnsi="Calibri" w:eastAsia="仿宋_GB2312"/>
      <w:color w:val="000000"/>
      <w:kern w:val="2"/>
      <w:sz w:val="21"/>
      <w:szCs w:val="24"/>
    </w:rPr>
  </w:style>
  <w:style w:type="paragraph" w:customStyle="1" w:styleId="159">
    <w:name w:val="样式3"/>
    <w:basedOn w:val="1"/>
    <w:link w:val="158"/>
    <w:qFormat/>
    <w:uiPriority w:val="0"/>
    <w:pPr>
      <w:spacing w:line="360" w:lineRule="auto"/>
      <w:ind w:firstLine="0" w:firstLineChars="0"/>
    </w:pPr>
    <w:rPr>
      <w:rFonts w:ascii="仿宋_GB2312" w:hAnsi="Calibri" w:eastAsia="仿宋_GB2312"/>
      <w:color w:val="000000"/>
      <w:sz w:val="21"/>
      <w:szCs w:val="24"/>
    </w:rPr>
  </w:style>
  <w:style w:type="character" w:customStyle="1" w:styleId="160">
    <w:name w:val="无间隔 字符"/>
    <w:link w:val="161"/>
    <w:qFormat/>
    <w:uiPriority w:val="1"/>
    <w:rPr>
      <w:rFonts w:ascii="Calibri Light" w:hAnsi="Calibri Light"/>
      <w:sz w:val="22"/>
      <w:szCs w:val="22"/>
    </w:rPr>
  </w:style>
  <w:style w:type="paragraph" w:styleId="161">
    <w:name w:val="No Spacing"/>
    <w:link w:val="160"/>
    <w:qFormat/>
    <w:uiPriority w:val="1"/>
    <w:rPr>
      <w:rFonts w:ascii="Calibri Light" w:hAnsi="Calibri Light" w:eastAsiaTheme="minorEastAsia" w:cstheme="minorBidi"/>
      <w:sz w:val="22"/>
      <w:szCs w:val="22"/>
      <w:lang w:val="en-US" w:eastAsia="zh-CN" w:bidi="ar-SA"/>
    </w:rPr>
  </w:style>
  <w:style w:type="character" w:customStyle="1" w:styleId="162">
    <w:name w:val="14black1"/>
    <w:qFormat/>
    <w:uiPriority w:val="0"/>
    <w:rPr>
      <w:color w:val="000000"/>
      <w:sz w:val="28"/>
      <w:szCs w:val="28"/>
      <w:u w:val="none"/>
    </w:rPr>
  </w:style>
  <w:style w:type="character" w:customStyle="1" w:styleId="163">
    <w:name w:val="已访问的超链接1"/>
    <w:qFormat/>
    <w:uiPriority w:val="0"/>
    <w:rPr>
      <w:color w:val="800080"/>
      <w:u w:val="single"/>
    </w:rPr>
  </w:style>
  <w:style w:type="character" w:customStyle="1" w:styleId="164">
    <w:name w:val="标题 2 Char Char"/>
    <w:qFormat/>
    <w:uiPriority w:val="0"/>
    <w:rPr>
      <w:rFonts w:eastAsia="Verdana"/>
      <w:sz w:val="32"/>
      <w:szCs w:val="32"/>
    </w:rPr>
  </w:style>
  <w:style w:type="character" w:customStyle="1" w:styleId="165">
    <w:name w:val="样式2 Char"/>
    <w:link w:val="166"/>
    <w:qFormat/>
    <w:uiPriority w:val="0"/>
    <w:rPr>
      <w:rFonts w:ascii="Calibri" w:hAnsi="Calibri"/>
      <w:kern w:val="2"/>
      <w:sz w:val="24"/>
      <w:szCs w:val="24"/>
    </w:rPr>
  </w:style>
  <w:style w:type="paragraph" w:customStyle="1" w:styleId="166">
    <w:name w:val="样式2"/>
    <w:basedOn w:val="1"/>
    <w:link w:val="165"/>
    <w:qFormat/>
    <w:uiPriority w:val="0"/>
    <w:pPr>
      <w:spacing w:line="480" w:lineRule="exact"/>
      <w:ind w:right="-50" w:rightChars="-24" w:firstLine="480"/>
    </w:pPr>
    <w:rPr>
      <w:rFonts w:ascii="Calibri" w:hAnsi="Calibri" w:eastAsiaTheme="minorEastAsia"/>
      <w:sz w:val="24"/>
      <w:szCs w:val="24"/>
    </w:rPr>
  </w:style>
  <w:style w:type="character" w:customStyle="1" w:styleId="167">
    <w:name w:val="bg正文首行缩进 Char1"/>
    <w:link w:val="168"/>
    <w:qFormat/>
    <w:uiPriority w:val="0"/>
    <w:rPr>
      <w:kern w:val="2"/>
      <w:sz w:val="28"/>
      <w:szCs w:val="28"/>
    </w:rPr>
  </w:style>
  <w:style w:type="paragraph" w:customStyle="1" w:styleId="168">
    <w:name w:val="bg正文首行缩进"/>
    <w:basedOn w:val="1"/>
    <w:link w:val="167"/>
    <w:qFormat/>
    <w:uiPriority w:val="0"/>
    <w:pPr>
      <w:ind w:firstLine="482" w:firstLineChars="0"/>
    </w:pPr>
    <w:rPr>
      <w:rFonts w:asciiTheme="minorHAnsi" w:hAnsiTheme="minorHAnsi" w:eastAsiaTheme="minorEastAsia"/>
      <w:szCs w:val="28"/>
    </w:rPr>
  </w:style>
  <w:style w:type="character" w:customStyle="1" w:styleId="169">
    <w:name w:val="正文文本 + Batang"/>
    <w:qFormat/>
    <w:uiPriority w:val="0"/>
    <w:rPr>
      <w:rFonts w:ascii="HiddenHorzOCR-Identity-H" w:hAnsi="HiddenHorzOCR-Identity-H" w:eastAsia="HiddenHorzOCR-Identity-H" w:cs="HiddenHorzOCR-Identity-H"/>
      <w:color w:val="000000"/>
      <w:spacing w:val="9"/>
      <w:w w:val="100"/>
      <w:position w:val="0"/>
      <w:sz w:val="18"/>
      <w:szCs w:val="18"/>
      <w:u w:val="none"/>
      <w:lang w:val="en-US"/>
    </w:rPr>
  </w:style>
  <w:style w:type="character" w:customStyle="1" w:styleId="170">
    <w:name w:val="a-size-large"/>
    <w:qFormat/>
    <w:uiPriority w:val="0"/>
  </w:style>
  <w:style w:type="character" w:customStyle="1" w:styleId="171">
    <w:name w:val="Char Char1"/>
    <w:qFormat/>
    <w:uiPriority w:val="0"/>
    <w:rPr>
      <w:rFonts w:ascii="Calibri" w:hAnsi="@宋体" w:eastAsia="Calibri" w:cs="Calibri"/>
      <w:kern w:val="2"/>
      <w:sz w:val="21"/>
      <w:szCs w:val="21"/>
      <w:lang w:val="en-US" w:eastAsia="zh-CN"/>
    </w:rPr>
  </w:style>
  <w:style w:type="character" w:customStyle="1" w:styleId="172">
    <w:name w:val="正文内容 Char Char"/>
    <w:link w:val="173"/>
    <w:qFormat/>
    <w:uiPriority w:val="0"/>
    <w:rPr>
      <w:rFonts w:eastAsia="Calibri" w:cs="Calibri"/>
      <w:kern w:val="72"/>
      <w:sz w:val="28"/>
    </w:rPr>
  </w:style>
  <w:style w:type="paragraph" w:customStyle="1" w:styleId="173">
    <w:name w:val="正文内容"/>
    <w:basedOn w:val="1"/>
    <w:link w:val="172"/>
    <w:qFormat/>
    <w:uiPriority w:val="0"/>
    <w:pPr>
      <w:spacing w:line="500" w:lineRule="exact"/>
      <w:ind w:firstLine="560"/>
    </w:pPr>
    <w:rPr>
      <w:rFonts w:eastAsia="Calibri" w:cs="Calibri" w:asciiTheme="minorHAnsi" w:hAnsiTheme="minorHAnsi"/>
      <w:kern w:val="72"/>
      <w:szCs w:val="20"/>
    </w:rPr>
  </w:style>
  <w:style w:type="character" w:customStyle="1" w:styleId="174">
    <w:name w:val="Char Char"/>
    <w:qFormat/>
    <w:uiPriority w:val="0"/>
    <w:rPr>
      <w:rFonts w:ascii="Calibri" w:hAnsi="@宋体" w:eastAsia="Calibri" w:cs="Calibri"/>
      <w:kern w:val="2"/>
      <w:sz w:val="21"/>
      <w:szCs w:val="21"/>
      <w:lang w:val="en-US" w:eastAsia="zh-CN"/>
    </w:rPr>
  </w:style>
  <w:style w:type="character" w:customStyle="1" w:styleId="175">
    <w:name w:val="apple-converted-space"/>
    <w:qFormat/>
    <w:uiPriority w:val="0"/>
  </w:style>
  <w:style w:type="character" w:customStyle="1" w:styleId="176">
    <w:name w:val="标题 3 Char"/>
    <w:qFormat/>
    <w:uiPriority w:val="0"/>
    <w:rPr>
      <w:rFonts w:eastAsia="Calibri"/>
      <w:b/>
      <w:bCs/>
      <w:kern w:val="2"/>
      <w:sz w:val="32"/>
      <w:szCs w:val="32"/>
      <w:lang w:val="en-US" w:eastAsia="zh-CN"/>
    </w:rPr>
  </w:style>
  <w:style w:type="character" w:customStyle="1" w:styleId="177">
    <w:name w:val="标准样式 Char"/>
    <w:link w:val="178"/>
    <w:qFormat/>
    <w:uiPriority w:val="0"/>
    <w:rPr>
      <w:rFonts w:ascii="Calibri" w:hAnsi="Calibri"/>
      <w:color w:val="000000"/>
      <w:kern w:val="2"/>
      <w:sz w:val="24"/>
      <w:szCs w:val="24"/>
    </w:rPr>
  </w:style>
  <w:style w:type="paragraph" w:customStyle="1" w:styleId="178">
    <w:name w:val="标准样式"/>
    <w:basedOn w:val="1"/>
    <w:link w:val="177"/>
    <w:qFormat/>
    <w:uiPriority w:val="0"/>
    <w:pPr>
      <w:spacing w:line="480" w:lineRule="exact"/>
      <w:ind w:firstLine="480"/>
    </w:pPr>
    <w:rPr>
      <w:rFonts w:ascii="Calibri" w:hAnsi="Calibri" w:eastAsiaTheme="minorEastAsia"/>
      <w:color w:val="000000"/>
      <w:sz w:val="24"/>
      <w:szCs w:val="24"/>
    </w:rPr>
  </w:style>
  <w:style w:type="character" w:customStyle="1" w:styleId="179">
    <w:name w:val="图注 Char"/>
    <w:link w:val="180"/>
    <w:qFormat/>
    <w:uiPriority w:val="0"/>
    <w:rPr>
      <w:kern w:val="2"/>
      <w:sz w:val="24"/>
      <w:szCs w:val="24"/>
    </w:rPr>
  </w:style>
  <w:style w:type="paragraph" w:customStyle="1" w:styleId="180">
    <w:name w:val="图注"/>
    <w:basedOn w:val="1"/>
    <w:link w:val="179"/>
    <w:qFormat/>
    <w:uiPriority w:val="0"/>
    <w:pPr>
      <w:numPr>
        <w:ilvl w:val="5"/>
        <w:numId w:val="2"/>
      </w:numPr>
      <w:tabs>
        <w:tab w:val="left" w:pos="2160"/>
      </w:tabs>
      <w:spacing w:line="240" w:lineRule="auto"/>
      <w:ind w:firstLine="0" w:firstLineChars="0"/>
      <w:jc w:val="center"/>
    </w:pPr>
    <w:rPr>
      <w:rFonts w:asciiTheme="minorHAnsi" w:hAnsiTheme="minorHAnsi" w:eastAsiaTheme="minorEastAsia"/>
      <w:sz w:val="24"/>
      <w:szCs w:val="24"/>
    </w:rPr>
  </w:style>
  <w:style w:type="character" w:customStyle="1" w:styleId="181">
    <w:name w:val="apple-style-span"/>
    <w:qFormat/>
    <w:uiPriority w:val="0"/>
  </w:style>
  <w:style w:type="character" w:customStyle="1" w:styleId="182">
    <w:name w:val="zw1"/>
    <w:qFormat/>
    <w:uiPriority w:val="0"/>
    <w:rPr>
      <w:rFonts w:hint="eastAsia" w:ascii="Calibri" w:hAnsi="Calibri" w:eastAsia="Calibri"/>
      <w:spacing w:val="400"/>
      <w:sz w:val="22"/>
      <w:szCs w:val="22"/>
    </w:rPr>
  </w:style>
  <w:style w:type="character" w:customStyle="1" w:styleId="183">
    <w:name w:val="表体 Char"/>
    <w:link w:val="108"/>
    <w:qFormat/>
    <w:uiPriority w:val="0"/>
    <w:rPr>
      <w:w w:val="90"/>
      <w:kern w:val="24"/>
      <w:sz w:val="24"/>
    </w:rPr>
  </w:style>
  <w:style w:type="character" w:customStyle="1" w:styleId="184">
    <w:name w:val="nr1"/>
    <w:qFormat/>
    <w:uiPriority w:val="0"/>
    <w:rPr>
      <w:rFonts w:ascii="TimesNewRomanPSMT" w:hAnsi="TimesNewRomanPSMT" w:cs="TimesNewRomanPSMT"/>
      <w:color w:val="000000"/>
      <w:sz w:val="21"/>
      <w:szCs w:val="21"/>
      <w:u w:val="none"/>
    </w:rPr>
  </w:style>
  <w:style w:type="character" w:customStyle="1" w:styleId="185">
    <w:name w:val="正缩1 Char"/>
    <w:link w:val="186"/>
    <w:qFormat/>
    <w:uiPriority w:val="0"/>
    <w:rPr>
      <w:rFonts w:eastAsia="Verdana"/>
      <w:color w:val="000000"/>
      <w:kern w:val="2"/>
      <w:sz w:val="28"/>
    </w:rPr>
  </w:style>
  <w:style w:type="paragraph" w:customStyle="1" w:styleId="186">
    <w:name w:val="正缩1"/>
    <w:basedOn w:val="1"/>
    <w:link w:val="185"/>
    <w:qFormat/>
    <w:uiPriority w:val="0"/>
    <w:pPr>
      <w:adjustRightInd w:val="0"/>
      <w:snapToGrid w:val="0"/>
      <w:spacing w:line="500" w:lineRule="exact"/>
      <w:ind w:firstLine="567" w:firstLineChars="0"/>
    </w:pPr>
    <w:rPr>
      <w:rFonts w:eastAsia="Verdana" w:asciiTheme="minorHAnsi" w:hAnsiTheme="minorHAnsi"/>
      <w:color w:val="000000"/>
      <w:szCs w:val="20"/>
    </w:rPr>
  </w:style>
  <w:style w:type="character" w:customStyle="1" w:styleId="187">
    <w:name w:val="Char"/>
    <w:qFormat/>
    <w:uiPriority w:val="0"/>
    <w:rPr>
      <w:rFonts w:ascii="Calibri" w:hAnsi="@宋体" w:eastAsia="Calibri" w:cs="Calibri"/>
      <w:kern w:val="2"/>
      <w:sz w:val="21"/>
      <w:szCs w:val="21"/>
      <w:lang w:val="en-US" w:eastAsia="zh-CN"/>
    </w:rPr>
  </w:style>
  <w:style w:type="character" w:customStyle="1" w:styleId="188">
    <w:name w:val="首行缩进2字符 Char"/>
    <w:link w:val="189"/>
    <w:qFormat/>
    <w:uiPriority w:val="0"/>
    <w:rPr>
      <w:kern w:val="2"/>
      <w:sz w:val="21"/>
      <w:szCs w:val="24"/>
    </w:rPr>
  </w:style>
  <w:style w:type="paragraph" w:customStyle="1" w:styleId="189">
    <w:name w:val="首行缩进2字符"/>
    <w:basedOn w:val="1"/>
    <w:link w:val="188"/>
    <w:qFormat/>
    <w:uiPriority w:val="0"/>
    <w:pPr>
      <w:spacing w:line="240" w:lineRule="auto"/>
    </w:pPr>
    <w:rPr>
      <w:rFonts w:asciiTheme="minorHAnsi" w:hAnsiTheme="minorHAnsi" w:eastAsiaTheme="minorEastAsia"/>
      <w:sz w:val="21"/>
      <w:szCs w:val="24"/>
    </w:rPr>
  </w:style>
  <w:style w:type="character" w:customStyle="1" w:styleId="190">
    <w:name w:val="行距 Char"/>
    <w:link w:val="191"/>
    <w:qFormat/>
    <w:uiPriority w:val="0"/>
    <w:rPr>
      <w:kern w:val="2"/>
      <w:sz w:val="28"/>
      <w:szCs w:val="24"/>
    </w:rPr>
  </w:style>
  <w:style w:type="paragraph" w:customStyle="1" w:styleId="191">
    <w:name w:val="行距"/>
    <w:link w:val="190"/>
    <w:qFormat/>
    <w:uiPriority w:val="0"/>
    <w:pPr>
      <w:spacing w:line="520" w:lineRule="exact"/>
      <w:ind w:firstLine="200" w:firstLineChars="200"/>
      <w:jc w:val="both"/>
    </w:pPr>
    <w:rPr>
      <w:rFonts w:asciiTheme="minorHAnsi" w:hAnsiTheme="minorHAnsi" w:eastAsiaTheme="minorEastAsia" w:cstheme="minorBidi"/>
      <w:kern w:val="2"/>
      <w:sz w:val="28"/>
      <w:szCs w:val="24"/>
      <w:lang w:val="en-US" w:eastAsia="zh-CN" w:bidi="ar-SA"/>
    </w:rPr>
  </w:style>
  <w:style w:type="character" w:customStyle="1" w:styleId="192">
    <w:name w:val="纯文本 Char Char"/>
    <w:qFormat/>
    <w:uiPriority w:val="0"/>
    <w:rPr>
      <w:rFonts w:ascii="Calibri" w:hAnsi="@宋体" w:eastAsia="Calibri" w:cs="@宋体"/>
      <w:kern w:val="2"/>
      <w:sz w:val="21"/>
      <w:szCs w:val="21"/>
      <w:lang w:val="en-US" w:eastAsia="zh-CN" w:bidi="ar-SA"/>
    </w:rPr>
  </w:style>
  <w:style w:type="character" w:customStyle="1" w:styleId="193">
    <w:name w:val="表头 Char"/>
    <w:link w:val="194"/>
    <w:qFormat/>
    <w:uiPriority w:val="0"/>
    <w:rPr>
      <w:rFonts w:eastAsia="仿宋_GB2312"/>
      <w:iCs/>
      <w:kern w:val="2"/>
      <w:sz w:val="24"/>
      <w:szCs w:val="24"/>
    </w:rPr>
  </w:style>
  <w:style w:type="paragraph" w:customStyle="1" w:styleId="194">
    <w:name w:val="表头"/>
    <w:link w:val="193"/>
    <w:qFormat/>
    <w:uiPriority w:val="0"/>
    <w:pPr>
      <w:spacing w:line="520" w:lineRule="exact"/>
      <w:jc w:val="right"/>
    </w:pPr>
    <w:rPr>
      <w:rFonts w:eastAsia="仿宋_GB2312" w:asciiTheme="minorHAnsi" w:hAnsiTheme="minorHAnsi" w:cstheme="minorBidi"/>
      <w:iCs/>
      <w:kern w:val="2"/>
      <w:sz w:val="24"/>
      <w:szCs w:val="24"/>
      <w:lang w:val="en-US" w:eastAsia="zh-CN" w:bidi="ar-SA"/>
    </w:rPr>
  </w:style>
  <w:style w:type="character" w:customStyle="1" w:styleId="195">
    <w:name w:val="正文（首行缩进两字） Char Char Char Char Char Char Char"/>
    <w:qFormat/>
    <w:uiPriority w:val="0"/>
    <w:rPr>
      <w:rFonts w:ascii="Calibri" w:hAnsi="Calibri" w:eastAsia="Calibri"/>
      <w:bCs/>
      <w:spacing w:val="-12"/>
      <w:kern w:val="2"/>
      <w:sz w:val="24"/>
      <w:szCs w:val="28"/>
      <w:lang w:val="en-US" w:eastAsia="zh-CN" w:bidi="ar-SA"/>
    </w:rPr>
  </w:style>
  <w:style w:type="character" w:customStyle="1" w:styleId="196">
    <w:name w:val="1.1.1.1 Char"/>
    <w:link w:val="197"/>
    <w:qFormat/>
    <w:uiPriority w:val="0"/>
    <w:rPr>
      <w:rFonts w:ascii="仿宋_GB2312" w:hAnsi="MS Mincho" w:eastAsia="仿宋_GB2312"/>
      <w:spacing w:val="4"/>
      <w:sz w:val="28"/>
    </w:rPr>
  </w:style>
  <w:style w:type="paragraph" w:customStyle="1" w:styleId="197">
    <w:name w:val="1.1.1.1"/>
    <w:basedOn w:val="1"/>
    <w:link w:val="196"/>
    <w:qFormat/>
    <w:uiPriority w:val="0"/>
    <w:pPr>
      <w:adjustRightInd w:val="0"/>
      <w:snapToGrid w:val="0"/>
      <w:spacing w:before="40" w:after="40" w:line="288" w:lineRule="auto"/>
      <w:ind w:firstLine="0" w:firstLineChars="0"/>
      <w:jc w:val="left"/>
      <w:textAlignment w:val="baseline"/>
    </w:pPr>
    <w:rPr>
      <w:rFonts w:ascii="仿宋_GB2312" w:hAnsi="MS Mincho" w:eastAsia="仿宋_GB2312"/>
      <w:spacing w:val="4"/>
      <w:kern w:val="0"/>
      <w:szCs w:val="20"/>
    </w:rPr>
  </w:style>
  <w:style w:type="character" w:customStyle="1" w:styleId="198">
    <w:name w:val="样式5 Char"/>
    <w:link w:val="199"/>
    <w:qFormat/>
    <w:uiPriority w:val="0"/>
    <w:rPr>
      <w:rFonts w:eastAsia="Verdana"/>
      <w:kern w:val="2"/>
      <w:sz w:val="28"/>
      <w:szCs w:val="24"/>
    </w:rPr>
  </w:style>
  <w:style w:type="paragraph" w:customStyle="1" w:styleId="199">
    <w:name w:val="样式5"/>
    <w:basedOn w:val="1"/>
    <w:link w:val="198"/>
    <w:qFormat/>
    <w:uiPriority w:val="0"/>
    <w:pPr>
      <w:spacing w:line="480" w:lineRule="exact"/>
    </w:pPr>
    <w:rPr>
      <w:rFonts w:eastAsia="Verdana" w:asciiTheme="minorHAnsi" w:hAnsiTheme="minorHAnsi"/>
      <w:szCs w:val="24"/>
    </w:rPr>
  </w:style>
  <w:style w:type="character" w:customStyle="1" w:styleId="200">
    <w:name w:val="标题  表头和图头 Char"/>
    <w:link w:val="201"/>
    <w:qFormat/>
    <w:uiPriority w:val="0"/>
    <w:rPr>
      <w:kern w:val="2"/>
      <w:sz w:val="24"/>
    </w:rPr>
  </w:style>
  <w:style w:type="paragraph" w:customStyle="1" w:styleId="201">
    <w:name w:val="标题  表头和图头"/>
    <w:basedOn w:val="1"/>
    <w:link w:val="200"/>
    <w:qFormat/>
    <w:uiPriority w:val="0"/>
    <w:pPr>
      <w:keepNext/>
      <w:keepLines/>
      <w:spacing w:before="50" w:beforeLines="50" w:line="360" w:lineRule="exact"/>
      <w:ind w:firstLine="0" w:firstLineChars="0"/>
      <w:jc w:val="center"/>
    </w:pPr>
    <w:rPr>
      <w:rFonts w:asciiTheme="minorHAnsi" w:hAnsiTheme="minorHAnsi" w:eastAsiaTheme="minorEastAsia"/>
      <w:sz w:val="24"/>
      <w:szCs w:val="20"/>
    </w:rPr>
  </w:style>
  <w:style w:type="character" w:customStyle="1" w:styleId="202">
    <w:name w:val="正文6"/>
    <w:qFormat/>
    <w:uiPriority w:val="0"/>
    <w:rPr>
      <w:rFonts w:ascii="??" w:hAnsi="??" w:eastAsia="Calibri"/>
      <w:sz w:val="28"/>
      <w:szCs w:val="28"/>
    </w:rPr>
  </w:style>
  <w:style w:type="character" w:customStyle="1" w:styleId="203">
    <w:name w:val="ENFI正文 Char Char"/>
    <w:link w:val="204"/>
    <w:qFormat/>
    <w:uiPriority w:val="0"/>
    <w:rPr>
      <w:rFonts w:eastAsia="Verdana"/>
      <w:snapToGrid w:val="0"/>
      <w:color w:val="000000"/>
      <w:sz w:val="28"/>
      <w:szCs w:val="28"/>
    </w:rPr>
  </w:style>
  <w:style w:type="paragraph" w:customStyle="1" w:styleId="204">
    <w:name w:val="ENFI正文"/>
    <w:basedOn w:val="1"/>
    <w:link w:val="203"/>
    <w:qFormat/>
    <w:uiPriority w:val="0"/>
    <w:pPr>
      <w:adjustRightInd w:val="0"/>
      <w:snapToGrid w:val="0"/>
      <w:spacing w:line="500" w:lineRule="exact"/>
      <w:ind w:firstLine="567" w:firstLineChars="0"/>
    </w:pPr>
    <w:rPr>
      <w:rFonts w:eastAsia="Verdana" w:asciiTheme="minorHAnsi" w:hAnsiTheme="minorHAnsi"/>
      <w:snapToGrid w:val="0"/>
      <w:color w:val="000000"/>
      <w:kern w:val="0"/>
      <w:szCs w:val="28"/>
    </w:rPr>
  </w:style>
  <w:style w:type="character" w:customStyle="1" w:styleId="205">
    <w:name w:val="Char Char36"/>
    <w:qFormat/>
    <w:uiPriority w:val="0"/>
    <w:rPr>
      <w:rFonts w:ascii="Times-Roman" w:hAnsi="Times-Roman" w:eastAsia="仿宋_GB2312"/>
      <w:b/>
      <w:bCs/>
      <w:kern w:val="2"/>
      <w:sz w:val="32"/>
      <w:szCs w:val="32"/>
      <w:lang w:val="en-US" w:eastAsia="zh-CN" w:bidi="ar-SA"/>
    </w:rPr>
  </w:style>
  <w:style w:type="character" w:customStyle="1" w:styleId="206">
    <w:name w:val="question-title"/>
    <w:qFormat/>
    <w:uiPriority w:val="0"/>
  </w:style>
  <w:style w:type="paragraph" w:customStyle="1" w:styleId="207">
    <w:name w:val="正文1"/>
    <w:basedOn w:val="1"/>
    <w:next w:val="1"/>
    <w:qFormat/>
    <w:uiPriority w:val="0"/>
    <w:pPr>
      <w:spacing w:line="560" w:lineRule="exact"/>
    </w:pPr>
    <w:rPr>
      <w:rFonts w:ascii="Calibri" w:hAnsi="Calibri Light" w:cs="??"/>
      <w:szCs w:val="20"/>
    </w:rPr>
  </w:style>
  <w:style w:type="paragraph" w:customStyle="1" w:styleId="208">
    <w:name w:val="安评报告"/>
    <w:basedOn w:val="1"/>
    <w:qFormat/>
    <w:uiPriority w:val="0"/>
    <w:pPr>
      <w:spacing w:before="100" w:beforeAutospacing="1" w:after="100" w:afterAutospacing="1" w:line="240" w:lineRule="auto"/>
      <w:ind w:firstLine="0" w:firstLineChars="0"/>
    </w:pPr>
    <w:rPr>
      <w:rFonts w:ascii="??" w:hAnsi="??" w:cs="??"/>
      <w:szCs w:val="28"/>
    </w:rPr>
  </w:style>
  <w:style w:type="paragraph" w:customStyle="1" w:styleId="209">
    <w:name w:val="xl22"/>
    <w:basedOn w:val="1"/>
    <w:qFormat/>
    <w:uiPriority w:val="0"/>
    <w:pPr>
      <w:widowControl/>
      <w:numPr>
        <w:ilvl w:val="0"/>
        <w:numId w:val="2"/>
      </w:numPr>
      <w:pBdr>
        <w:bottom w:val="single" w:color="auto" w:sz="4" w:space="0"/>
        <w:right w:val="single" w:color="auto" w:sz="4" w:space="0"/>
      </w:pBdr>
      <w:spacing w:before="100" w:beforeAutospacing="1" w:after="100" w:afterAutospacing="1" w:line="240" w:lineRule="auto"/>
      <w:ind w:firstLine="0" w:firstLineChars="0"/>
      <w:jc w:val="center"/>
    </w:pPr>
    <w:rPr>
      <w:rFonts w:ascii="Calibri" w:hAnsi="Calibri" w:cs="??"/>
      <w:kern w:val="0"/>
      <w:sz w:val="24"/>
      <w:szCs w:val="24"/>
    </w:rPr>
  </w:style>
  <w:style w:type="paragraph" w:customStyle="1" w:styleId="210">
    <w:name w:val="Default"/>
    <w:qFormat/>
    <w:uiPriority w:val="0"/>
    <w:pPr>
      <w:widowControl w:val="0"/>
      <w:autoSpaceDE w:val="0"/>
      <w:autoSpaceDN w:val="0"/>
      <w:adjustRightInd w:val="0"/>
    </w:pPr>
    <w:rPr>
      <w:rFonts w:ascii="??" w:hAnsi="??" w:eastAsia="宋体" w:cs="??"/>
      <w:color w:val="000000"/>
      <w:sz w:val="24"/>
      <w:szCs w:val="24"/>
      <w:lang w:val="en-US" w:eastAsia="zh-CN" w:bidi="ar-SA"/>
    </w:rPr>
  </w:style>
  <w:style w:type="paragraph" w:customStyle="1" w:styleId="211">
    <w:name w:val="中二"/>
    <w:qFormat/>
    <w:uiPriority w:val="0"/>
    <w:pPr>
      <w:jc w:val="center"/>
    </w:pPr>
    <w:rPr>
      <w:rFonts w:ascii="??" w:hAnsi="??" w:eastAsia="Tahoma" w:cs="??"/>
      <w:b/>
      <w:kern w:val="2"/>
      <w:sz w:val="36"/>
      <w:szCs w:val="24"/>
      <w:lang w:val="en-US" w:eastAsia="zh-CN" w:bidi="ar-SA"/>
    </w:rPr>
  </w:style>
  <w:style w:type="paragraph" w:customStyle="1" w:styleId="212">
    <w:name w:val="font7"/>
    <w:basedOn w:val="1"/>
    <w:qFormat/>
    <w:uiPriority w:val="0"/>
    <w:pPr>
      <w:widowControl/>
      <w:spacing w:before="100" w:beforeAutospacing="1" w:after="100" w:afterAutospacing="1" w:line="240" w:lineRule="auto"/>
      <w:ind w:firstLine="0" w:firstLineChars="0"/>
      <w:jc w:val="left"/>
      <w:textAlignment w:val="baseline"/>
    </w:pPr>
    <w:rPr>
      <w:rFonts w:ascii="Calibri" w:hAnsi="Calibri" w:cs="Calibri"/>
      <w:kern w:val="0"/>
      <w:sz w:val="20"/>
      <w:szCs w:val="20"/>
    </w:rPr>
  </w:style>
  <w:style w:type="paragraph" w:customStyle="1" w:styleId="213">
    <w:name w:val="样式 四号 行距: 固定值 35 磅"/>
    <w:basedOn w:val="1"/>
    <w:qFormat/>
    <w:uiPriority w:val="0"/>
    <w:pPr>
      <w:spacing w:line="700" w:lineRule="exact"/>
      <w:ind w:firstLine="0" w:firstLineChars="0"/>
    </w:pPr>
    <w:rPr>
      <w:rFonts w:ascii="??" w:hAnsi="??" w:cs="Calibri"/>
      <w:szCs w:val="20"/>
    </w:rPr>
  </w:style>
  <w:style w:type="character" w:customStyle="1" w:styleId="214">
    <w:name w:val="表格 Char"/>
    <w:qFormat/>
    <w:locked/>
    <w:uiPriority w:val="0"/>
    <w:rPr>
      <w:kern w:val="2"/>
      <w:sz w:val="24"/>
      <w:szCs w:val="24"/>
      <w:lang w:bidi="ar-SA"/>
    </w:rPr>
  </w:style>
  <w:style w:type="paragraph" w:customStyle="1" w:styleId="215">
    <w:name w:val="Char1"/>
    <w:basedOn w:val="1"/>
    <w:qFormat/>
    <w:uiPriority w:val="0"/>
    <w:pPr>
      <w:spacing w:line="240" w:lineRule="auto"/>
      <w:ind w:firstLine="0" w:firstLineChars="0"/>
    </w:pPr>
    <w:rPr>
      <w:rFonts w:ascii="??" w:hAnsi="??" w:cs="??"/>
      <w:sz w:val="21"/>
      <w:szCs w:val="24"/>
    </w:rPr>
  </w:style>
  <w:style w:type="paragraph" w:customStyle="1" w:styleId="216">
    <w:name w:val="样式35"/>
    <w:basedOn w:val="1"/>
    <w:qFormat/>
    <w:uiPriority w:val="0"/>
    <w:pPr>
      <w:adjustRightInd w:val="0"/>
      <w:spacing w:line="360" w:lineRule="auto"/>
      <w:ind w:firstLine="510" w:firstLineChars="0"/>
      <w:textAlignment w:val="baseline"/>
    </w:pPr>
    <w:rPr>
      <w:rFonts w:ascii="Calibri" w:hAnsi="??" w:cs="Calibri"/>
      <w:kern w:val="0"/>
      <w:szCs w:val="28"/>
    </w:rPr>
  </w:style>
  <w:style w:type="paragraph" w:customStyle="1" w:styleId="217">
    <w:name w:val="无进"/>
    <w:qFormat/>
    <w:uiPriority w:val="0"/>
    <w:pPr>
      <w:spacing w:line="520" w:lineRule="exact"/>
    </w:pPr>
    <w:rPr>
      <w:rFonts w:ascii="??" w:hAnsi="??" w:eastAsia="宋体" w:cs="??"/>
      <w:kern w:val="2"/>
      <w:sz w:val="28"/>
      <w:szCs w:val="24"/>
      <w:lang w:val="en-US" w:eastAsia="zh-CN" w:bidi="ar-SA"/>
    </w:rPr>
  </w:style>
  <w:style w:type="paragraph" w:customStyle="1" w:styleId="218">
    <w:name w:val="居中"/>
    <w:basedOn w:val="1"/>
    <w:qFormat/>
    <w:uiPriority w:val="0"/>
    <w:pPr>
      <w:spacing w:line="240" w:lineRule="auto"/>
      <w:ind w:firstLine="0" w:firstLineChars="0"/>
      <w:jc w:val="center"/>
    </w:pPr>
    <w:rPr>
      <w:rFonts w:ascii="??" w:hAnsi="??" w:cs="??"/>
      <w:sz w:val="21"/>
      <w:szCs w:val="24"/>
    </w:rPr>
  </w:style>
  <w:style w:type="paragraph" w:customStyle="1" w:styleId="219">
    <w:name w:val="说明书正文"/>
    <w:basedOn w:val="1"/>
    <w:link w:val="220"/>
    <w:qFormat/>
    <w:uiPriority w:val="0"/>
    <w:pPr>
      <w:spacing w:line="480" w:lineRule="exact"/>
      <w:ind w:firstLine="600"/>
    </w:pPr>
    <w:rPr>
      <w:rFonts w:ascii="??" w:hAnsi="??" w:eastAsia="Verdana" w:cs="??"/>
      <w:color w:val="000000"/>
      <w:sz w:val="30"/>
      <w:szCs w:val="24"/>
    </w:rPr>
  </w:style>
  <w:style w:type="character" w:customStyle="1" w:styleId="220">
    <w:name w:val="说明书正文 Char"/>
    <w:link w:val="219"/>
    <w:qFormat/>
    <w:uiPriority w:val="0"/>
    <w:rPr>
      <w:rFonts w:ascii="??" w:hAnsi="??" w:eastAsia="Verdana" w:cs="??"/>
      <w:color w:val="000000"/>
      <w:kern w:val="2"/>
      <w:sz w:val="30"/>
      <w:szCs w:val="24"/>
    </w:rPr>
  </w:style>
  <w:style w:type="paragraph" w:customStyle="1" w:styleId="221">
    <w:name w:val="3级"/>
    <w:next w:val="1"/>
    <w:qFormat/>
    <w:uiPriority w:val="0"/>
    <w:pPr>
      <w:snapToGrid w:val="0"/>
      <w:spacing w:before="50" w:beforeLines="50" w:after="50" w:afterLines="50"/>
      <w:outlineLvl w:val="2"/>
    </w:pPr>
    <w:rPr>
      <w:rFonts w:ascii="Calibri" w:hAnsi="??" w:eastAsia="宋体" w:cs="??"/>
      <w:b/>
      <w:kern w:val="2"/>
      <w:sz w:val="28"/>
      <w:szCs w:val="24"/>
      <w:lang w:val="en-US" w:eastAsia="zh-CN" w:bidi="ar-SA"/>
    </w:rPr>
  </w:style>
  <w:style w:type="paragraph" w:customStyle="1" w:styleId="222">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top"/>
    </w:pPr>
    <w:rPr>
      <w:rFonts w:ascii="??" w:hAnsi="??" w:cs="??"/>
      <w:kern w:val="0"/>
      <w:sz w:val="24"/>
      <w:szCs w:val="24"/>
    </w:rPr>
  </w:style>
  <w:style w:type="paragraph" w:customStyle="1" w:styleId="223">
    <w:name w:val="列表1"/>
    <w:basedOn w:val="1"/>
    <w:qFormat/>
    <w:uiPriority w:val="0"/>
    <w:pPr>
      <w:spacing w:line="240" w:lineRule="auto"/>
      <w:ind w:firstLine="0" w:firstLineChars="0"/>
    </w:pPr>
    <w:rPr>
      <w:rFonts w:ascii="??" w:hAnsi="??" w:cs="??"/>
      <w:sz w:val="21"/>
      <w:szCs w:val="20"/>
    </w:rPr>
  </w:style>
  <w:style w:type="paragraph" w:customStyle="1" w:styleId="224">
    <w:name w:val="xl3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 w:hAnsi="??" w:cs="??"/>
      <w:kern w:val="0"/>
      <w:sz w:val="24"/>
      <w:szCs w:val="24"/>
    </w:rPr>
  </w:style>
  <w:style w:type="paragraph" w:customStyle="1" w:styleId="225">
    <w:name w:val="目录1"/>
    <w:basedOn w:val="1"/>
    <w:qFormat/>
    <w:uiPriority w:val="0"/>
    <w:pPr>
      <w:widowControl/>
      <w:tabs>
        <w:tab w:val="left" w:leader="dot" w:pos="8503"/>
      </w:tabs>
      <w:spacing w:after="136" w:line="289" w:lineRule="atLeast"/>
      <w:ind w:firstLine="0" w:firstLineChars="0"/>
      <w:jc w:val="left"/>
      <w:textAlignment w:val="baseline"/>
    </w:pPr>
    <w:rPr>
      <w:rFonts w:ascii="Times-Roman" w:hAnsi="??" w:eastAsia="仿宋_GB2312" w:cs="??"/>
      <w:color w:val="000000"/>
      <w:kern w:val="0"/>
      <w:szCs w:val="20"/>
      <w:u w:color="000000"/>
    </w:rPr>
  </w:style>
  <w:style w:type="paragraph" w:customStyle="1" w:styleId="226">
    <w:name w:val="样式 样式 正文缩进 + 左侧:  1 字符 右侧:  1 字符 + 左侧:  1 字符 右侧:  1 字符"/>
    <w:basedOn w:val="1"/>
    <w:qFormat/>
    <w:uiPriority w:val="0"/>
    <w:pPr>
      <w:autoSpaceDE w:val="0"/>
      <w:autoSpaceDN w:val="0"/>
      <w:adjustRightInd w:val="0"/>
      <w:spacing w:line="560" w:lineRule="exact"/>
      <w:ind w:firstLine="615" w:firstLineChars="223"/>
      <w:textAlignment w:val="top"/>
    </w:pPr>
    <w:rPr>
      <w:rFonts w:ascii="Calibri" w:hAnsi="Calibri" w:cs="Calibri"/>
      <w:color w:val="000000"/>
      <w:szCs w:val="20"/>
    </w:rPr>
  </w:style>
  <w:style w:type="paragraph" w:customStyle="1" w:styleId="227">
    <w:name w:val="注"/>
    <w:link w:val="228"/>
    <w:qFormat/>
    <w:uiPriority w:val="0"/>
    <w:pPr>
      <w:spacing w:line="400" w:lineRule="exact"/>
      <w:ind w:firstLine="200" w:firstLineChars="200"/>
    </w:pPr>
    <w:rPr>
      <w:rFonts w:ascii="??" w:hAnsi="??" w:eastAsia="宋体" w:cs="??"/>
      <w:kern w:val="2"/>
      <w:sz w:val="24"/>
      <w:szCs w:val="24"/>
      <w:lang w:val="en-US" w:eastAsia="zh-CN" w:bidi="ar-SA"/>
    </w:rPr>
  </w:style>
  <w:style w:type="character" w:customStyle="1" w:styleId="228">
    <w:name w:val="注 Char"/>
    <w:link w:val="227"/>
    <w:qFormat/>
    <w:locked/>
    <w:uiPriority w:val="0"/>
    <w:rPr>
      <w:rFonts w:ascii="??" w:hAnsi="??" w:eastAsia="宋体" w:cs="??"/>
      <w:kern w:val="2"/>
      <w:sz w:val="24"/>
      <w:szCs w:val="24"/>
    </w:rPr>
  </w:style>
  <w:style w:type="paragraph" w:customStyle="1" w:styleId="229">
    <w:name w:val="普通"/>
    <w:basedOn w:val="1"/>
    <w:qFormat/>
    <w:uiPriority w:val="0"/>
    <w:pPr>
      <w:spacing w:line="240" w:lineRule="auto"/>
      <w:ind w:firstLine="0" w:firstLineChars="0"/>
      <w:textAlignment w:val="baseline"/>
    </w:pPr>
    <w:rPr>
      <w:rFonts w:ascii="Calibri" w:hAnsi="??" w:cs="??"/>
      <w:szCs w:val="28"/>
    </w:rPr>
  </w:style>
  <w:style w:type="paragraph" w:customStyle="1" w:styleId="230">
    <w:name w:val="0正"/>
    <w:basedOn w:val="1"/>
    <w:link w:val="231"/>
    <w:qFormat/>
    <w:uiPriority w:val="0"/>
    <w:pPr>
      <w:snapToGrid w:val="0"/>
      <w:spacing w:line="560" w:lineRule="exact"/>
      <w:contextualSpacing/>
    </w:pPr>
    <w:rPr>
      <w:rFonts w:ascii="Calibri" w:hAnsi="Calibri" w:cs="??"/>
      <w:snapToGrid w:val="0"/>
      <w:szCs w:val="21"/>
    </w:rPr>
  </w:style>
  <w:style w:type="character" w:customStyle="1" w:styleId="231">
    <w:name w:val="0正 Char"/>
    <w:link w:val="230"/>
    <w:qFormat/>
    <w:uiPriority w:val="0"/>
    <w:rPr>
      <w:rFonts w:ascii="Calibri" w:hAnsi="Calibri" w:eastAsia="宋体" w:cs="??"/>
      <w:snapToGrid w:val="0"/>
      <w:kern w:val="2"/>
      <w:sz w:val="28"/>
      <w:szCs w:val="21"/>
    </w:rPr>
  </w:style>
  <w:style w:type="paragraph" w:customStyle="1" w:styleId="232">
    <w:name w:val="报告正文"/>
    <w:basedOn w:val="1"/>
    <w:qFormat/>
    <w:uiPriority w:val="0"/>
    <w:pPr>
      <w:spacing w:line="360" w:lineRule="auto"/>
      <w:ind w:firstLine="480"/>
    </w:pPr>
    <w:rPr>
      <w:rFonts w:ascii="Calibri" w:hAnsi="Calibri" w:cs="Calibri"/>
      <w:sz w:val="24"/>
      <w:szCs w:val="24"/>
    </w:rPr>
  </w:style>
  <w:style w:type="paragraph" w:customStyle="1" w:styleId="233">
    <w:name w:val="三级条标题"/>
    <w:basedOn w:val="234"/>
    <w:next w:val="5"/>
    <w:qFormat/>
    <w:uiPriority w:val="0"/>
    <w:pPr>
      <w:ind w:left="945"/>
      <w:outlineLvl w:val="4"/>
    </w:pPr>
  </w:style>
  <w:style w:type="paragraph" w:customStyle="1" w:styleId="234">
    <w:name w:val="二级条标题"/>
    <w:basedOn w:val="1"/>
    <w:next w:val="5"/>
    <w:qFormat/>
    <w:uiPriority w:val="0"/>
    <w:pPr>
      <w:widowControl/>
      <w:spacing w:line="240" w:lineRule="auto"/>
      <w:ind w:left="840" w:firstLine="0" w:firstLineChars="0"/>
      <w:outlineLvl w:val="3"/>
    </w:pPr>
    <w:rPr>
      <w:rFonts w:ascii="仿宋_GB2312" w:hAnsi="??" w:eastAsia="仿宋_GB2312" w:cs="??"/>
      <w:kern w:val="0"/>
      <w:sz w:val="21"/>
      <w:szCs w:val="20"/>
    </w:rPr>
  </w:style>
  <w:style w:type="paragraph" w:customStyle="1" w:styleId="235">
    <w:name w:val="表文"/>
    <w:basedOn w:val="1"/>
    <w:qFormat/>
    <w:uiPriority w:val="0"/>
    <w:pPr>
      <w:spacing w:line="260" w:lineRule="exact"/>
      <w:ind w:firstLine="0" w:firstLineChars="0"/>
      <w:jc w:val="center"/>
    </w:pPr>
    <w:rPr>
      <w:rFonts w:ascii="Verdana" w:hAnsi="Calibri" w:eastAsia="Verdana" w:cs="??"/>
      <w:sz w:val="21"/>
      <w:szCs w:val="21"/>
    </w:rPr>
  </w:style>
  <w:style w:type="paragraph" w:customStyle="1" w:styleId="236">
    <w:name w:val="样式4"/>
    <w:basedOn w:val="1"/>
    <w:qFormat/>
    <w:uiPriority w:val="0"/>
    <w:pPr>
      <w:spacing w:line="480" w:lineRule="atLeast"/>
      <w:ind w:firstLine="100" w:firstLineChars="100"/>
    </w:pPr>
    <w:rPr>
      <w:rFonts w:ascii="??" w:hAnsi="??" w:eastAsia="Verdana" w:cs="??"/>
      <w:szCs w:val="24"/>
    </w:rPr>
  </w:style>
  <w:style w:type="paragraph" w:customStyle="1" w:styleId="237">
    <w:name w:val="列表段落1"/>
    <w:basedOn w:val="1"/>
    <w:qFormat/>
    <w:uiPriority w:val="0"/>
    <w:pPr>
      <w:spacing w:line="240" w:lineRule="auto"/>
      <w:ind w:firstLine="420"/>
    </w:pPr>
    <w:rPr>
      <w:rFonts w:ascii="Calibri Light" w:hAnsi="Calibri Light" w:cs="??"/>
      <w:sz w:val="21"/>
    </w:rPr>
  </w:style>
  <w:style w:type="paragraph" w:customStyle="1" w:styleId="238">
    <w:name w:val="Char Char Char Char2"/>
    <w:basedOn w:val="1"/>
    <w:qFormat/>
    <w:uiPriority w:val="0"/>
    <w:pPr>
      <w:spacing w:line="240" w:lineRule="auto"/>
      <w:ind w:firstLine="0" w:firstLineChars="0"/>
    </w:pPr>
    <w:rPr>
      <w:rFonts w:ascii="??" w:hAnsi="??" w:cs="??"/>
      <w:sz w:val="21"/>
      <w:szCs w:val="21"/>
    </w:rPr>
  </w:style>
  <w:style w:type="paragraph" w:customStyle="1" w:styleId="239">
    <w:name w:val="京诚公司样式"/>
    <w:basedOn w:val="1"/>
    <w:qFormat/>
    <w:uiPriority w:val="0"/>
    <w:pPr>
      <w:tabs>
        <w:tab w:val="left" w:pos="360"/>
      </w:tabs>
      <w:spacing w:line="500" w:lineRule="exact"/>
      <w:ind w:left="360" w:firstLine="560"/>
    </w:pPr>
    <w:rPr>
      <w:rFonts w:ascii="??" w:hAnsi="??" w:cs="??"/>
      <w:szCs w:val="28"/>
    </w:rPr>
  </w:style>
  <w:style w:type="paragraph" w:customStyle="1" w:styleId="240">
    <w:name w:val="正文一"/>
    <w:basedOn w:val="1"/>
    <w:qFormat/>
    <w:uiPriority w:val="0"/>
    <w:pPr>
      <w:spacing w:line="560" w:lineRule="exact"/>
      <w:ind w:firstLine="639" w:firstLineChars="225"/>
    </w:pPr>
    <w:rPr>
      <w:rFonts w:ascii="Verdana" w:hAnsi="??" w:eastAsia="Verdana" w:cs="Calibri"/>
      <w:spacing w:val="2"/>
      <w:sz w:val="21"/>
      <w:szCs w:val="20"/>
    </w:rPr>
  </w:style>
  <w:style w:type="paragraph" w:customStyle="1" w:styleId="241">
    <w:name w:val="Char Char Char Char5"/>
    <w:basedOn w:val="1"/>
    <w:qFormat/>
    <w:uiPriority w:val="0"/>
    <w:pPr>
      <w:spacing w:line="240" w:lineRule="auto"/>
      <w:ind w:firstLine="0" w:firstLineChars="0"/>
    </w:pPr>
    <w:rPr>
      <w:rFonts w:ascii="??" w:hAnsi="??" w:cs="??"/>
      <w:sz w:val="21"/>
      <w:szCs w:val="24"/>
    </w:rPr>
  </w:style>
  <w:style w:type="paragraph" w:customStyle="1" w:styleId="242">
    <w:name w:val="标题2"/>
    <w:basedOn w:val="4"/>
    <w:qFormat/>
    <w:uiPriority w:val="0"/>
    <w:pPr>
      <w:spacing w:beforeLines="0" w:afterLines="0" w:line="240" w:lineRule="auto"/>
      <w:jc w:val="both"/>
    </w:pPr>
    <w:rPr>
      <w:rFonts w:ascii="仿宋_GB2312" w:hAnsi="Times-Roman" w:cs="??"/>
      <w:b w:val="0"/>
      <w:kern w:val="44"/>
      <w:sz w:val="28"/>
      <w:szCs w:val="28"/>
    </w:rPr>
  </w:style>
  <w:style w:type="paragraph" w:customStyle="1" w:styleId="243">
    <w:name w:val="xl41"/>
    <w:basedOn w:val="1"/>
    <w:qFormat/>
    <w:uiPriority w:val="0"/>
    <w:pPr>
      <w:widowControl/>
      <w:pBdr>
        <w:top w:val="single" w:color="auto" w:sz="8" w:space="0"/>
        <w:left w:val="single" w:color="auto" w:sz="4" w:space="0"/>
        <w:bottom w:val="single" w:color="auto" w:sz="4" w:space="0"/>
      </w:pBdr>
      <w:spacing w:before="100" w:beforeAutospacing="1" w:after="100" w:afterAutospacing="1" w:line="240" w:lineRule="auto"/>
      <w:ind w:firstLine="0" w:firstLineChars="0"/>
      <w:jc w:val="center"/>
    </w:pPr>
    <w:rPr>
      <w:rFonts w:ascii="Calibri" w:hAnsi="Calibri" w:cs="??"/>
      <w:kern w:val="0"/>
      <w:sz w:val="24"/>
      <w:szCs w:val="24"/>
    </w:rPr>
  </w:style>
  <w:style w:type="paragraph" w:customStyle="1" w:styleId="244">
    <w:name w:val="zr表格"/>
    <w:basedOn w:val="1"/>
    <w:qFormat/>
    <w:uiPriority w:val="0"/>
    <w:pPr>
      <w:spacing w:line="240" w:lineRule="auto"/>
      <w:ind w:firstLine="0" w:firstLineChars="0"/>
      <w:jc w:val="center"/>
    </w:pPr>
    <w:rPr>
      <w:rFonts w:ascii="??" w:hAnsi="??" w:cs="??"/>
      <w:sz w:val="21"/>
      <w:szCs w:val="24"/>
    </w:rPr>
  </w:style>
  <w:style w:type="paragraph" w:customStyle="1" w:styleId="245">
    <w:name w:val="xl43"/>
    <w:basedOn w:val="1"/>
    <w:qFormat/>
    <w:uiPriority w:val="0"/>
    <w:pPr>
      <w:widowControl/>
      <w:pBdr>
        <w:left w:val="single" w:color="auto" w:sz="8"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Cambria" w:hAnsi="Cambria" w:eastAsia="Cambria" w:cs="@宋体"/>
      <w:kern w:val="0"/>
      <w:sz w:val="21"/>
      <w:szCs w:val="21"/>
    </w:rPr>
  </w:style>
  <w:style w:type="paragraph" w:customStyle="1" w:styleId="246">
    <w:name w:val="默认段落字体 Para Char Char Char Char Char Char Char"/>
    <w:basedOn w:val="1"/>
    <w:qFormat/>
    <w:uiPriority w:val="0"/>
    <w:pPr>
      <w:adjustRightInd w:val="0"/>
      <w:spacing w:line="360" w:lineRule="auto"/>
      <w:ind w:firstLine="0" w:firstLineChars="0"/>
      <w:textAlignment w:val="baseline"/>
    </w:pPr>
    <w:rPr>
      <w:rFonts w:ascii="??" w:hAnsi="??" w:cs="??"/>
      <w:kern w:val="0"/>
      <w:sz w:val="24"/>
      <w:szCs w:val="20"/>
    </w:rPr>
  </w:style>
  <w:style w:type="paragraph" w:customStyle="1" w:styleId="247">
    <w:name w:val="正文首行缩进(西藏样式)"/>
    <w:basedOn w:val="1"/>
    <w:qFormat/>
    <w:uiPriority w:val="0"/>
    <w:pPr>
      <w:adjustRightInd w:val="0"/>
      <w:snapToGrid w:val="0"/>
      <w:spacing w:line="400" w:lineRule="exact"/>
      <w:ind w:firstLine="482" w:firstLineChars="0"/>
    </w:pPr>
    <w:rPr>
      <w:rFonts w:ascii="Calibri" w:hAnsi="??" w:cs="??"/>
      <w:snapToGrid w:val="0"/>
      <w:kern w:val="0"/>
      <w:sz w:val="24"/>
      <w:szCs w:val="20"/>
    </w:rPr>
  </w:style>
  <w:style w:type="paragraph" w:customStyle="1" w:styleId="248">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top"/>
    </w:pPr>
    <w:rPr>
      <w:rFonts w:ascii="Calibri" w:hAnsi="Calibri" w:cs="??"/>
      <w:b/>
      <w:bCs/>
      <w:color w:val="000000"/>
      <w:kern w:val="0"/>
      <w:sz w:val="20"/>
      <w:szCs w:val="20"/>
    </w:rPr>
  </w:style>
  <w:style w:type="paragraph" w:customStyle="1" w:styleId="249">
    <w:name w:val="Char Char Char Char Char Char Char"/>
    <w:basedOn w:val="1"/>
    <w:qFormat/>
    <w:uiPriority w:val="0"/>
    <w:pPr>
      <w:spacing w:line="240" w:lineRule="auto"/>
      <w:ind w:firstLine="0" w:firstLineChars="0"/>
    </w:pPr>
    <w:rPr>
      <w:rFonts w:ascii="??" w:hAnsi="??" w:cs="??"/>
      <w:sz w:val="21"/>
      <w:szCs w:val="24"/>
    </w:rPr>
  </w:style>
  <w:style w:type="paragraph" w:customStyle="1" w:styleId="250">
    <w:name w:val="居右"/>
    <w:basedOn w:val="1"/>
    <w:qFormat/>
    <w:uiPriority w:val="0"/>
    <w:pPr>
      <w:spacing w:line="240" w:lineRule="auto"/>
      <w:ind w:firstLine="0" w:firstLineChars="0"/>
      <w:jc w:val="right"/>
    </w:pPr>
    <w:rPr>
      <w:rFonts w:ascii="??" w:hAnsi="??" w:cs="??"/>
      <w:sz w:val="21"/>
      <w:szCs w:val="24"/>
    </w:rPr>
  </w:style>
  <w:style w:type="paragraph" w:customStyle="1" w:styleId="251">
    <w:name w:val="头"/>
    <w:qFormat/>
    <w:uiPriority w:val="0"/>
    <w:pPr>
      <w:spacing w:line="700" w:lineRule="exact"/>
      <w:jc w:val="center"/>
    </w:pPr>
    <w:rPr>
      <w:rFonts w:ascii="??" w:hAnsi="??" w:eastAsia="仿宋_GB2312" w:cs="??"/>
      <w:b/>
      <w:kern w:val="2"/>
      <w:sz w:val="48"/>
      <w:szCs w:val="24"/>
      <w:lang w:val="en-US" w:eastAsia="zh-CN" w:bidi="ar-SA"/>
    </w:rPr>
  </w:style>
  <w:style w:type="paragraph" w:customStyle="1" w:styleId="252">
    <w:name w:val="说"/>
    <w:link w:val="388"/>
    <w:qFormat/>
    <w:uiPriority w:val="0"/>
    <w:pPr>
      <w:spacing w:before="100" w:beforeLines="100"/>
      <w:jc w:val="center"/>
    </w:pPr>
    <w:rPr>
      <w:rFonts w:ascii="??" w:hAnsi="??" w:eastAsia="Batang" w:cs="??"/>
      <w:b/>
      <w:kern w:val="2"/>
      <w:sz w:val="80"/>
      <w:szCs w:val="24"/>
      <w:lang w:val="en-US" w:eastAsia="zh-CN" w:bidi="ar-SA"/>
    </w:rPr>
  </w:style>
  <w:style w:type="paragraph" w:customStyle="1" w:styleId="253">
    <w:name w:val="默认段落字体 Para Char Char Char Char"/>
    <w:basedOn w:val="1"/>
    <w:qFormat/>
    <w:uiPriority w:val="0"/>
    <w:pPr>
      <w:spacing w:line="240" w:lineRule="auto"/>
      <w:ind w:firstLine="0" w:firstLineChars="0"/>
    </w:pPr>
    <w:rPr>
      <w:rFonts w:ascii="??" w:hAnsi="??" w:cs="??"/>
      <w:sz w:val="21"/>
      <w:szCs w:val="24"/>
    </w:rPr>
  </w:style>
  <w:style w:type="paragraph" w:customStyle="1" w:styleId="254">
    <w:name w:val="表标题"/>
    <w:basedOn w:val="88"/>
    <w:qFormat/>
    <w:uiPriority w:val="0"/>
    <w:pPr>
      <w:numPr>
        <w:ilvl w:val="4"/>
        <w:numId w:val="2"/>
      </w:numPr>
      <w:tabs>
        <w:tab w:val="left" w:pos="1008"/>
      </w:tabs>
      <w:ind w:firstLine="0" w:firstLineChars="0"/>
      <w:jc w:val="center"/>
    </w:pPr>
    <w:rPr>
      <w:rFonts w:ascii="??" w:hAnsi="??" w:cs="??"/>
      <w:sz w:val="24"/>
    </w:rPr>
  </w:style>
  <w:style w:type="paragraph" w:customStyle="1" w:styleId="255">
    <w:name w:val="Char Char Char Char3"/>
    <w:basedOn w:val="1"/>
    <w:qFormat/>
    <w:uiPriority w:val="0"/>
    <w:pPr>
      <w:spacing w:line="240" w:lineRule="auto"/>
      <w:ind w:firstLine="0" w:firstLineChars="0"/>
    </w:pPr>
    <w:rPr>
      <w:rFonts w:ascii="??" w:hAnsi="??" w:cs="??"/>
      <w:sz w:val="21"/>
      <w:szCs w:val="21"/>
    </w:rPr>
  </w:style>
  <w:style w:type="paragraph" w:customStyle="1" w:styleId="256">
    <w:name w:val="报告正文小四"/>
    <w:basedOn w:val="1"/>
    <w:qFormat/>
    <w:uiPriority w:val="0"/>
    <w:pPr>
      <w:adjustRightInd w:val="0"/>
      <w:snapToGrid w:val="0"/>
      <w:spacing w:before="120" w:line="420" w:lineRule="atLeast"/>
      <w:ind w:firstLine="510" w:firstLineChars="0"/>
    </w:pPr>
    <w:rPr>
      <w:rFonts w:ascii="??" w:hAnsi="??" w:cs="??"/>
      <w:sz w:val="24"/>
      <w:szCs w:val="20"/>
    </w:rPr>
  </w:style>
  <w:style w:type="paragraph" w:customStyle="1" w:styleId="257">
    <w:name w:val="默认段落字体 Para Char"/>
    <w:basedOn w:val="8"/>
    <w:next w:val="256"/>
    <w:qFormat/>
    <w:uiPriority w:val="0"/>
    <w:pPr>
      <w:tabs>
        <w:tab w:val="left" w:pos="1440"/>
      </w:tabs>
    </w:pPr>
    <w:rPr>
      <w:rFonts w:ascii="Times-Roman" w:hAnsi="Times-Roman" w:eastAsia="Calibri"/>
    </w:rPr>
  </w:style>
  <w:style w:type="paragraph" w:customStyle="1" w:styleId="258">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仿宋_GB2312" w:hAnsi="??" w:eastAsia="仿宋_GB2312" w:cs="??"/>
      <w:sz w:val="52"/>
      <w:lang w:val="en-US" w:eastAsia="zh-CN" w:bidi="ar-SA"/>
    </w:rPr>
  </w:style>
  <w:style w:type="paragraph" w:customStyle="1" w:styleId="259">
    <w:name w:val="Char Char Char Char1"/>
    <w:basedOn w:val="1"/>
    <w:qFormat/>
    <w:uiPriority w:val="0"/>
    <w:pPr>
      <w:spacing w:line="240" w:lineRule="auto"/>
      <w:ind w:firstLine="0" w:firstLineChars="0"/>
    </w:pPr>
    <w:rPr>
      <w:rFonts w:ascii="??" w:hAnsi="??" w:cs="??"/>
      <w:sz w:val="21"/>
      <w:szCs w:val="21"/>
    </w:rPr>
  </w:style>
  <w:style w:type="paragraph" w:customStyle="1" w:styleId="260">
    <w:name w:val="4级"/>
    <w:next w:val="1"/>
    <w:qFormat/>
    <w:uiPriority w:val="0"/>
    <w:pPr>
      <w:snapToGrid w:val="0"/>
      <w:spacing w:before="50" w:beforeLines="50"/>
      <w:outlineLvl w:val="3"/>
    </w:pPr>
    <w:rPr>
      <w:rFonts w:ascii="Calibri" w:hAnsi="Calibri" w:eastAsia="宋体" w:cs="??"/>
      <w:b/>
      <w:spacing w:val="1"/>
      <w:kern w:val="2"/>
      <w:sz w:val="28"/>
      <w:szCs w:val="24"/>
      <w:lang w:val="en-US" w:eastAsia="zh-CN" w:bidi="ar-SA"/>
    </w:rPr>
  </w:style>
  <w:style w:type="paragraph" w:customStyle="1" w:styleId="261">
    <w:name w:val="默认段落字体 Para Char Char Char Char Char Char Char Char Char3 Char Char Char Char"/>
    <w:basedOn w:val="18"/>
    <w:qFormat/>
    <w:uiPriority w:val="0"/>
    <w:pPr>
      <w:shd w:val="clear" w:color="auto" w:fill="000080"/>
      <w:adjustRightInd w:val="0"/>
      <w:spacing w:line="240" w:lineRule="exact"/>
      <w:ind w:left="357" w:firstLine="0" w:firstLineChars="0"/>
      <w:jc w:val="left"/>
      <w:outlineLvl w:val="3"/>
    </w:pPr>
    <w:rPr>
      <w:rFonts w:ascii="??" w:hAnsi="??" w:cs="??"/>
      <w:sz w:val="21"/>
      <w:szCs w:val="24"/>
    </w:rPr>
  </w:style>
  <w:style w:type="paragraph" w:customStyle="1" w:styleId="262">
    <w:name w:val="样式"/>
    <w:basedOn w:val="1"/>
    <w:next w:val="43"/>
    <w:qFormat/>
    <w:uiPriority w:val="0"/>
    <w:pPr>
      <w:spacing w:line="360" w:lineRule="auto"/>
      <w:ind w:firstLine="480"/>
    </w:pPr>
    <w:rPr>
      <w:rFonts w:ascii="??" w:hAnsi="??" w:cs="??"/>
      <w:sz w:val="24"/>
      <w:szCs w:val="24"/>
    </w:rPr>
  </w:style>
  <w:style w:type="paragraph" w:customStyle="1" w:styleId="263">
    <w:name w:val="段落1"/>
    <w:basedOn w:val="1"/>
    <w:qFormat/>
    <w:uiPriority w:val="0"/>
    <w:pPr>
      <w:spacing w:line="240" w:lineRule="auto"/>
      <w:ind w:firstLine="0" w:firstLineChars="0"/>
      <w:jc w:val="center"/>
    </w:pPr>
    <w:rPr>
      <w:rFonts w:ascii="Calibri" w:hAnsi="Calibri" w:cs="Calibri"/>
      <w:sz w:val="21"/>
      <w:szCs w:val="21"/>
    </w:rPr>
  </w:style>
  <w:style w:type="paragraph" w:customStyle="1" w:styleId="264">
    <w:name w:val="Char Char Char Char"/>
    <w:basedOn w:val="1"/>
    <w:qFormat/>
    <w:uiPriority w:val="0"/>
    <w:pPr>
      <w:adjustRightInd w:val="0"/>
      <w:spacing w:line="360" w:lineRule="auto"/>
      <w:ind w:firstLine="0" w:firstLineChars="0"/>
    </w:pPr>
    <w:rPr>
      <w:rFonts w:ascii="??" w:hAnsi="??" w:cs="??"/>
      <w:kern w:val="0"/>
      <w:sz w:val="24"/>
      <w:szCs w:val="24"/>
    </w:rPr>
  </w:style>
  <w:style w:type="paragraph" w:customStyle="1" w:styleId="265">
    <w:name w:val="Char Char Char2 Char"/>
    <w:basedOn w:val="1"/>
    <w:next w:val="1"/>
    <w:qFormat/>
    <w:uiPriority w:val="0"/>
    <w:pPr>
      <w:spacing w:line="240" w:lineRule="auto"/>
      <w:ind w:firstLine="0" w:firstLineChars="0"/>
    </w:pPr>
    <w:rPr>
      <w:rFonts w:ascii="??" w:hAnsi="??" w:cs="??"/>
      <w:sz w:val="21"/>
      <w:szCs w:val="24"/>
    </w:rPr>
  </w:style>
  <w:style w:type="paragraph" w:customStyle="1" w:styleId="266">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Cambria" w:hAnsi="Cambria" w:cs="??"/>
      <w:color w:val="000000"/>
      <w:kern w:val="0"/>
      <w:sz w:val="24"/>
      <w:szCs w:val="24"/>
    </w:rPr>
  </w:style>
  <w:style w:type="paragraph" w:customStyle="1" w:styleId="267">
    <w:name w:val="Char Char Char Char4"/>
    <w:basedOn w:val="1"/>
    <w:qFormat/>
    <w:uiPriority w:val="0"/>
    <w:pPr>
      <w:spacing w:line="240" w:lineRule="auto"/>
      <w:ind w:firstLine="0" w:firstLineChars="0"/>
    </w:pPr>
    <w:rPr>
      <w:rFonts w:ascii="??" w:hAnsi="??" w:cs="??"/>
      <w:sz w:val="21"/>
      <w:szCs w:val="21"/>
    </w:rPr>
  </w:style>
  <w:style w:type="paragraph" w:customStyle="1" w:styleId="268">
    <w:name w:val="Char Char Char Char6"/>
    <w:basedOn w:val="1"/>
    <w:qFormat/>
    <w:uiPriority w:val="0"/>
    <w:pPr>
      <w:spacing w:line="240" w:lineRule="auto"/>
      <w:ind w:firstLine="0" w:firstLineChars="0"/>
    </w:pPr>
    <w:rPr>
      <w:rFonts w:ascii="??" w:hAnsi="??" w:cs="??"/>
      <w:sz w:val="21"/>
      <w:szCs w:val="24"/>
    </w:rPr>
  </w:style>
  <w:style w:type="paragraph" w:customStyle="1" w:styleId="269">
    <w:name w:val="bgbt4款标题"/>
    <w:basedOn w:val="1"/>
    <w:next w:val="168"/>
    <w:qFormat/>
    <w:uiPriority w:val="0"/>
    <w:pPr>
      <w:spacing w:before="120" w:after="60" w:line="240" w:lineRule="auto"/>
      <w:ind w:firstLine="510" w:firstLineChars="0"/>
      <w:outlineLvl w:val="3"/>
    </w:pPr>
    <w:rPr>
      <w:rFonts w:ascii="??" w:hAnsi="??" w:eastAsia="仿宋_GB2312" w:cs="??"/>
      <w:sz w:val="24"/>
      <w:szCs w:val="20"/>
    </w:rPr>
  </w:style>
  <w:style w:type="paragraph" w:customStyle="1" w:styleId="270">
    <w:name w:val="封面标准号1"/>
    <w:qFormat/>
    <w:uiPriority w:val="0"/>
    <w:pPr>
      <w:widowControl w:val="0"/>
      <w:kinsoku w:val="0"/>
      <w:overflowPunct w:val="0"/>
      <w:autoSpaceDE w:val="0"/>
      <w:autoSpaceDN w:val="0"/>
      <w:spacing w:before="308"/>
      <w:jc w:val="right"/>
      <w:textAlignment w:val="center"/>
    </w:pPr>
    <w:rPr>
      <w:rFonts w:ascii="??" w:hAnsi="??" w:eastAsia="宋体" w:cs="??"/>
      <w:sz w:val="28"/>
      <w:lang w:val="en-US" w:eastAsia="zh-CN" w:bidi="ar-SA"/>
    </w:rPr>
  </w:style>
  <w:style w:type="table" w:customStyle="1" w:styleId="271">
    <w:name w:val="网格型2"/>
    <w:basedOn w:val="54"/>
    <w:qFormat/>
    <w:uiPriority w:val="99"/>
    <w:pPr>
      <w:widowControl w:val="0"/>
      <w:jc w:val="both"/>
    </w:pPr>
    <w:rPr>
      <w:rFonts w:ascii="??" w:hAnsi="??"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
    <w:name w:val="表格zr"/>
    <w:basedOn w:val="54"/>
    <w:qFormat/>
    <w:uiPriority w:val="99"/>
    <w:rPr>
      <w:rFonts w:ascii="??" w:hAnsi="??" w:eastAsia="宋体" w:cs="??"/>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73">
    <w:name w:val="批注文字 Char1"/>
    <w:semiHidden/>
    <w:qFormat/>
    <w:uiPriority w:val="99"/>
    <w:rPr>
      <w:rFonts w:ascii="??" w:hAnsi="??" w:eastAsia="Calibri" w:cs="??"/>
      <w:szCs w:val="24"/>
    </w:rPr>
  </w:style>
  <w:style w:type="character" w:customStyle="1" w:styleId="274">
    <w:name w:val="批注主题 Char1"/>
    <w:semiHidden/>
    <w:qFormat/>
    <w:uiPriority w:val="99"/>
    <w:rPr>
      <w:rFonts w:ascii="??" w:hAnsi="??" w:eastAsia="Calibri" w:cs="??"/>
      <w:b/>
      <w:bCs/>
      <w:szCs w:val="24"/>
    </w:rPr>
  </w:style>
  <w:style w:type="character" w:customStyle="1" w:styleId="275">
    <w:name w:val="正文文本 3 Char1"/>
    <w:semiHidden/>
    <w:qFormat/>
    <w:uiPriority w:val="99"/>
    <w:rPr>
      <w:rFonts w:ascii="??" w:hAnsi="??" w:eastAsia="Calibri" w:cs="??"/>
      <w:sz w:val="16"/>
      <w:szCs w:val="16"/>
    </w:rPr>
  </w:style>
  <w:style w:type="character" w:customStyle="1" w:styleId="276">
    <w:name w:val="正文文本缩进 Char1"/>
    <w:semiHidden/>
    <w:qFormat/>
    <w:uiPriority w:val="99"/>
    <w:rPr>
      <w:rFonts w:ascii="??" w:hAnsi="??" w:eastAsia="Calibri" w:cs="??"/>
      <w:szCs w:val="24"/>
    </w:rPr>
  </w:style>
  <w:style w:type="character" w:customStyle="1" w:styleId="277">
    <w:name w:val="正文文本缩进 2 Char1"/>
    <w:semiHidden/>
    <w:qFormat/>
    <w:uiPriority w:val="99"/>
    <w:rPr>
      <w:rFonts w:ascii="??" w:hAnsi="??" w:eastAsia="Calibri" w:cs="??"/>
      <w:szCs w:val="24"/>
    </w:rPr>
  </w:style>
  <w:style w:type="character" w:customStyle="1" w:styleId="278">
    <w:name w:val="文档结构图 Char1"/>
    <w:semiHidden/>
    <w:qFormat/>
    <w:uiPriority w:val="99"/>
    <w:rPr>
      <w:rFonts w:ascii="Calibri" w:hAnsi="??" w:eastAsia="Calibri" w:cs="??"/>
      <w:sz w:val="18"/>
      <w:szCs w:val="18"/>
    </w:rPr>
  </w:style>
  <w:style w:type="character" w:customStyle="1" w:styleId="279">
    <w:name w:val="页脚 Char1"/>
    <w:semiHidden/>
    <w:qFormat/>
    <w:uiPriority w:val="99"/>
    <w:rPr>
      <w:rFonts w:ascii="??" w:hAnsi="??" w:eastAsia="Calibri" w:cs="??"/>
      <w:sz w:val="18"/>
      <w:szCs w:val="18"/>
    </w:rPr>
  </w:style>
  <w:style w:type="character" w:customStyle="1" w:styleId="280">
    <w:name w:val="正文文本缩进 3 Char1"/>
    <w:semiHidden/>
    <w:qFormat/>
    <w:uiPriority w:val="99"/>
    <w:rPr>
      <w:rFonts w:ascii="??" w:hAnsi="??" w:eastAsia="Calibri" w:cs="??"/>
      <w:sz w:val="16"/>
      <w:szCs w:val="16"/>
    </w:rPr>
  </w:style>
  <w:style w:type="paragraph" w:customStyle="1" w:styleId="281">
    <w:name w:val="列出段落1"/>
    <w:basedOn w:val="1"/>
    <w:qFormat/>
    <w:uiPriority w:val="99"/>
    <w:pPr>
      <w:spacing w:line="240" w:lineRule="auto"/>
      <w:ind w:firstLine="420"/>
    </w:pPr>
    <w:rPr>
      <w:rFonts w:ascii="Calibri Light" w:hAnsi="Calibri Light" w:cs="??"/>
      <w:sz w:val="21"/>
    </w:rPr>
  </w:style>
  <w:style w:type="character" w:customStyle="1" w:styleId="282">
    <w:name w:val="页眉 Char1"/>
    <w:semiHidden/>
    <w:qFormat/>
    <w:uiPriority w:val="99"/>
    <w:rPr>
      <w:rFonts w:ascii="??" w:hAnsi="??" w:eastAsia="Calibri" w:cs="??"/>
      <w:sz w:val="18"/>
      <w:szCs w:val="18"/>
    </w:rPr>
  </w:style>
  <w:style w:type="character" w:customStyle="1" w:styleId="283">
    <w:name w:val="日期 Char1"/>
    <w:semiHidden/>
    <w:qFormat/>
    <w:uiPriority w:val="99"/>
    <w:rPr>
      <w:rFonts w:ascii="??" w:hAnsi="??" w:eastAsia="Calibri" w:cs="??"/>
      <w:szCs w:val="24"/>
    </w:rPr>
  </w:style>
  <w:style w:type="character" w:customStyle="1" w:styleId="284">
    <w:name w:val="批注框文本 Char1"/>
    <w:semiHidden/>
    <w:qFormat/>
    <w:uiPriority w:val="99"/>
    <w:rPr>
      <w:rFonts w:ascii="??" w:hAnsi="??" w:eastAsia="Calibri" w:cs="??"/>
      <w:sz w:val="18"/>
      <w:szCs w:val="18"/>
    </w:rPr>
  </w:style>
  <w:style w:type="character" w:customStyle="1" w:styleId="285">
    <w:name w:val="正文文本 2 Char1"/>
    <w:semiHidden/>
    <w:qFormat/>
    <w:uiPriority w:val="99"/>
    <w:rPr>
      <w:rFonts w:ascii="??" w:hAnsi="??" w:eastAsia="Calibri" w:cs="??"/>
      <w:szCs w:val="24"/>
    </w:rPr>
  </w:style>
  <w:style w:type="character" w:customStyle="1" w:styleId="286">
    <w:name w:val="正文文本 Char1"/>
    <w:semiHidden/>
    <w:qFormat/>
    <w:uiPriority w:val="99"/>
    <w:rPr>
      <w:rFonts w:ascii="??" w:hAnsi="??" w:eastAsia="Calibri" w:cs="??"/>
      <w:szCs w:val="24"/>
    </w:rPr>
  </w:style>
  <w:style w:type="character" w:customStyle="1" w:styleId="287">
    <w:name w:val="纯文本 Char2"/>
    <w:semiHidden/>
    <w:qFormat/>
    <w:uiPriority w:val="99"/>
    <w:rPr>
      <w:rFonts w:ascii="Calibri" w:hAnsi="@宋体" w:eastAsia="Calibri" w:cs="@宋体"/>
      <w:szCs w:val="21"/>
    </w:rPr>
  </w:style>
  <w:style w:type="paragraph" w:customStyle="1" w:styleId="288">
    <w:name w:val="Char Char Char Char Char Char Char1"/>
    <w:basedOn w:val="1"/>
    <w:qFormat/>
    <w:uiPriority w:val="0"/>
    <w:pPr>
      <w:spacing w:line="240" w:lineRule="auto"/>
      <w:ind w:firstLine="0" w:firstLineChars="0"/>
    </w:pPr>
    <w:rPr>
      <w:rFonts w:ascii="??" w:hAnsi="??" w:cs="??"/>
      <w:sz w:val="21"/>
      <w:szCs w:val="24"/>
    </w:rPr>
  </w:style>
  <w:style w:type="paragraph" w:customStyle="1" w:styleId="289">
    <w:name w:val="_Style 10"/>
    <w:basedOn w:val="1"/>
    <w:qFormat/>
    <w:uiPriority w:val="0"/>
    <w:pPr>
      <w:spacing w:line="240" w:lineRule="auto"/>
      <w:ind w:firstLine="0" w:firstLineChars="0"/>
    </w:pPr>
    <w:rPr>
      <w:rFonts w:ascii="??" w:hAnsi="??" w:cs="??"/>
      <w:sz w:val="21"/>
      <w:szCs w:val="24"/>
    </w:rPr>
  </w:style>
  <w:style w:type="character" w:customStyle="1" w:styleId="290">
    <w:name w:val="font201"/>
    <w:qFormat/>
    <w:uiPriority w:val="0"/>
  </w:style>
  <w:style w:type="paragraph" w:customStyle="1" w:styleId="291">
    <w:name w:val="图表标题名"/>
    <w:basedOn w:val="1"/>
    <w:qFormat/>
    <w:uiPriority w:val="0"/>
    <w:pPr>
      <w:spacing w:after="160" w:line="360" w:lineRule="auto"/>
      <w:ind w:firstLine="0" w:firstLineChars="0"/>
      <w:jc w:val="center"/>
    </w:pPr>
    <w:rPr>
      <w:rFonts w:ascii="??" w:hAnsi="??" w:eastAsia="Calibri" w:cs="??"/>
      <w:sz w:val="24"/>
    </w:rPr>
  </w:style>
  <w:style w:type="paragraph" w:customStyle="1" w:styleId="292">
    <w:name w:val="_Style 5"/>
    <w:qFormat/>
    <w:uiPriority w:val="1"/>
    <w:pPr>
      <w:widowControl w:val="0"/>
      <w:spacing w:after="160" w:line="259" w:lineRule="auto"/>
      <w:jc w:val="both"/>
    </w:pPr>
    <w:rPr>
      <w:rFonts w:ascii="??" w:hAnsi="??" w:eastAsia="宋体" w:cs="??"/>
      <w:kern w:val="2"/>
      <w:sz w:val="24"/>
      <w:szCs w:val="22"/>
      <w:lang w:val="en-US" w:eastAsia="zh-CN" w:bidi="ar-SA"/>
    </w:rPr>
  </w:style>
  <w:style w:type="paragraph" w:customStyle="1" w:styleId="293">
    <w:name w:val="正文表格"/>
    <w:basedOn w:val="1"/>
    <w:qFormat/>
    <w:uiPriority w:val="0"/>
    <w:pPr>
      <w:widowControl/>
      <w:adjustRightInd w:val="0"/>
      <w:snapToGrid w:val="0"/>
      <w:spacing w:line="0" w:lineRule="atLeast"/>
      <w:ind w:firstLine="0" w:firstLineChars="0"/>
      <w:jc w:val="left"/>
    </w:pPr>
    <w:rPr>
      <w:rFonts w:ascii="??" w:hAnsi="??" w:cs="??"/>
      <w:sz w:val="24"/>
      <w:szCs w:val="28"/>
    </w:rPr>
  </w:style>
  <w:style w:type="paragraph" w:customStyle="1" w:styleId="294">
    <w:name w:val="0"/>
    <w:basedOn w:val="1"/>
    <w:qFormat/>
    <w:uiPriority w:val="0"/>
    <w:pPr>
      <w:widowControl/>
      <w:spacing w:before="100" w:beforeAutospacing="1" w:after="100" w:afterAutospacing="1" w:line="240" w:lineRule="auto"/>
      <w:ind w:firstLine="0" w:firstLineChars="0"/>
      <w:jc w:val="left"/>
    </w:pPr>
    <w:rPr>
      <w:rFonts w:ascii="Calibri" w:hAnsi="Calibri" w:cs="Calibri"/>
      <w:kern w:val="0"/>
      <w:sz w:val="24"/>
      <w:szCs w:val="24"/>
    </w:rPr>
  </w:style>
  <w:style w:type="character" w:customStyle="1" w:styleId="295">
    <w:name w:val="15"/>
    <w:qFormat/>
    <w:uiPriority w:val="99"/>
    <w:rPr>
      <w:rFonts w:ascii="Calibri Light" w:hAnsi="Calibri Light" w:cs="Calibri Light"/>
      <w:sz w:val="21"/>
      <w:szCs w:val="21"/>
    </w:rPr>
  </w:style>
  <w:style w:type="character" w:customStyle="1" w:styleId="296">
    <w:name w:val="正文缩进 Char1"/>
    <w:qFormat/>
    <w:locked/>
    <w:uiPriority w:val="0"/>
    <w:rPr>
      <w:rFonts w:ascii="Calibri Light" w:hAnsi="Calibri Light" w:eastAsia="Calibri" w:cs="Calibri Light"/>
      <w:kern w:val="2"/>
      <w:sz w:val="21"/>
      <w:szCs w:val="21"/>
      <w:lang w:val="en-US" w:eastAsia="zh-CN"/>
    </w:rPr>
  </w:style>
  <w:style w:type="character" w:customStyle="1" w:styleId="297">
    <w:name w:val="纯文本 Char4"/>
    <w:qFormat/>
    <w:locked/>
    <w:uiPriority w:val="0"/>
    <w:rPr>
      <w:rFonts w:ascii="Calibri" w:hAnsi="@宋体" w:eastAsia="Calibri" w:cs="Calibri"/>
      <w:kern w:val="2"/>
      <w:sz w:val="21"/>
      <w:szCs w:val="21"/>
      <w:lang w:val="en-US" w:eastAsia="zh-CN"/>
    </w:rPr>
  </w:style>
  <w:style w:type="character" w:customStyle="1" w:styleId="298">
    <w:name w:val="页码1"/>
    <w:qFormat/>
    <w:uiPriority w:val="0"/>
  </w:style>
  <w:style w:type="character" w:customStyle="1" w:styleId="299">
    <w:name w:val="图表 Char"/>
    <w:link w:val="300"/>
    <w:qFormat/>
    <w:uiPriority w:val="0"/>
    <w:rPr>
      <w:rFonts w:cs="Calibri"/>
      <w:szCs w:val="24"/>
    </w:rPr>
  </w:style>
  <w:style w:type="paragraph" w:customStyle="1" w:styleId="300">
    <w:name w:val="图表"/>
    <w:basedOn w:val="1"/>
    <w:link w:val="299"/>
    <w:qFormat/>
    <w:uiPriority w:val="0"/>
    <w:pPr>
      <w:spacing w:line="240" w:lineRule="auto"/>
      <w:ind w:firstLine="0" w:firstLineChars="0"/>
    </w:pPr>
    <w:rPr>
      <w:rFonts w:cs="Calibri" w:asciiTheme="minorHAnsi" w:hAnsiTheme="minorHAnsi" w:eastAsiaTheme="minorEastAsia"/>
      <w:kern w:val="0"/>
      <w:sz w:val="20"/>
      <w:szCs w:val="24"/>
    </w:rPr>
  </w:style>
  <w:style w:type="character" w:customStyle="1" w:styleId="301">
    <w:name w:val="图名 Char"/>
    <w:link w:val="302"/>
    <w:qFormat/>
    <w:uiPriority w:val="0"/>
    <w:rPr>
      <w:rFonts w:ascii="Calibri" w:hAnsi="Calibri" w:cs="Calibri"/>
      <w:color w:val="000000"/>
      <w:kern w:val="2"/>
      <w:sz w:val="21"/>
      <w:szCs w:val="21"/>
    </w:rPr>
  </w:style>
  <w:style w:type="paragraph" w:customStyle="1" w:styleId="302">
    <w:name w:val="图名"/>
    <w:basedOn w:val="303"/>
    <w:link w:val="301"/>
    <w:qFormat/>
    <w:uiPriority w:val="0"/>
    <w:pPr>
      <w:keepNext/>
      <w:tabs>
        <w:tab w:val="left" w:pos="540"/>
        <w:tab w:val="left" w:pos="2040"/>
        <w:tab w:val="left" w:pos="4320"/>
        <w:tab w:val="left" w:pos="6300"/>
        <w:tab w:val="right" w:pos="8160"/>
      </w:tabs>
      <w:wordWrap w:val="0"/>
      <w:adjustRightInd w:val="0"/>
      <w:spacing w:beforeLines="25" w:afterLines="25" w:line="240" w:lineRule="auto"/>
      <w:ind w:right="-103" w:rightChars="-43" w:firstLine="10" w:firstLineChars="5"/>
      <w:jc w:val="center"/>
    </w:pPr>
    <w:rPr>
      <w:rFonts w:ascii="Calibri" w:hAnsi="Calibri" w:cs="Calibri" w:eastAsiaTheme="minorEastAsia"/>
      <w:color w:val="000000"/>
      <w:sz w:val="21"/>
      <w:szCs w:val="21"/>
      <w:lang w:val="en-US"/>
    </w:rPr>
  </w:style>
  <w:style w:type="paragraph" w:customStyle="1" w:styleId="303">
    <w:name w:val="公式"/>
    <w:basedOn w:val="1"/>
    <w:next w:val="1"/>
    <w:link w:val="304"/>
    <w:qFormat/>
    <w:uiPriority w:val="0"/>
    <w:pPr>
      <w:tabs>
        <w:tab w:val="left" w:pos="540"/>
        <w:tab w:val="left" w:pos="6300"/>
      </w:tabs>
      <w:spacing w:line="360" w:lineRule="auto"/>
      <w:ind w:firstLine="0" w:firstLineChars="0"/>
      <w:jc w:val="right"/>
    </w:pPr>
    <w:rPr>
      <w:rFonts w:ascii="??" w:hAnsi="??" w:cs="??"/>
      <w:color w:val="FF00FF"/>
      <w:sz w:val="24"/>
      <w:szCs w:val="24"/>
      <w:lang w:val="en-CA"/>
    </w:rPr>
  </w:style>
  <w:style w:type="character" w:customStyle="1" w:styleId="304">
    <w:name w:val="公式 Char"/>
    <w:link w:val="303"/>
    <w:qFormat/>
    <w:uiPriority w:val="0"/>
    <w:rPr>
      <w:rFonts w:ascii="??" w:hAnsi="??" w:eastAsia="宋体" w:cs="??"/>
      <w:color w:val="FF00FF"/>
      <w:kern w:val="2"/>
      <w:sz w:val="24"/>
      <w:szCs w:val="24"/>
      <w:lang w:val="en-CA"/>
    </w:rPr>
  </w:style>
  <w:style w:type="character" w:customStyle="1" w:styleId="305">
    <w:name w:val="论文图形 Char"/>
    <w:link w:val="306"/>
    <w:qFormat/>
    <w:uiPriority w:val="0"/>
    <w:rPr>
      <w:rFonts w:eastAsia="??"/>
      <w:szCs w:val="21"/>
      <w:lang w:val="en-US" w:eastAsia="zh-CN"/>
    </w:rPr>
  </w:style>
  <w:style w:type="paragraph" w:customStyle="1" w:styleId="306">
    <w:name w:val="论文图形"/>
    <w:basedOn w:val="1"/>
    <w:link w:val="305"/>
    <w:qFormat/>
    <w:uiPriority w:val="0"/>
    <w:pPr>
      <w:spacing w:line="240" w:lineRule="auto"/>
      <w:ind w:firstLine="0" w:firstLineChars="0"/>
      <w:jc w:val="center"/>
    </w:pPr>
    <w:rPr>
      <w:rFonts w:eastAsia="??" w:asciiTheme="minorHAnsi" w:hAnsiTheme="minorHAnsi"/>
      <w:kern w:val="0"/>
      <w:sz w:val="20"/>
      <w:szCs w:val="21"/>
    </w:rPr>
  </w:style>
  <w:style w:type="character" w:customStyle="1" w:styleId="307">
    <w:name w:val="论文图形 Char Char"/>
    <w:qFormat/>
    <w:uiPriority w:val="0"/>
    <w:rPr>
      <w:rFonts w:eastAsia="??"/>
      <w:szCs w:val="21"/>
      <w:lang w:val="en-US" w:eastAsia="zh-CN"/>
    </w:rPr>
  </w:style>
  <w:style w:type="character" w:customStyle="1" w:styleId="308">
    <w:name w:val="论文正文 Char Char"/>
    <w:qFormat/>
    <w:uiPriority w:val="0"/>
    <w:rPr>
      <w:rFonts w:ascii="??" w:hAnsi="Calibri" w:eastAsia="Calibri" w:cs="??"/>
      <w:kern w:val="0"/>
      <w:sz w:val="24"/>
      <w:szCs w:val="24"/>
    </w:rPr>
  </w:style>
  <w:style w:type="character" w:customStyle="1" w:styleId="309">
    <w:name w:val="样式 居中 Char"/>
    <w:link w:val="310"/>
    <w:qFormat/>
    <w:locked/>
    <w:uiPriority w:val="99"/>
    <w:rPr>
      <w:rFonts w:cs="Calibri"/>
      <w:sz w:val="24"/>
    </w:rPr>
  </w:style>
  <w:style w:type="paragraph" w:customStyle="1" w:styleId="310">
    <w:name w:val="样式 居中"/>
    <w:basedOn w:val="1"/>
    <w:link w:val="309"/>
    <w:qFormat/>
    <w:uiPriority w:val="99"/>
    <w:pPr>
      <w:adjustRightInd w:val="0"/>
      <w:snapToGrid w:val="0"/>
      <w:spacing w:line="440" w:lineRule="exact"/>
      <w:jc w:val="center"/>
    </w:pPr>
    <w:rPr>
      <w:rFonts w:cs="Calibri" w:asciiTheme="minorHAnsi" w:hAnsiTheme="minorHAnsi" w:eastAsiaTheme="minorEastAsia"/>
      <w:kern w:val="0"/>
      <w:sz w:val="24"/>
      <w:szCs w:val="20"/>
    </w:rPr>
  </w:style>
  <w:style w:type="character" w:customStyle="1" w:styleId="311">
    <w:name w:val="表 Char"/>
    <w:link w:val="312"/>
    <w:qFormat/>
    <w:uiPriority w:val="0"/>
    <w:rPr>
      <w:color w:val="0000FF"/>
      <w:kern w:val="2"/>
      <w:sz w:val="21"/>
      <w:szCs w:val="21"/>
    </w:rPr>
  </w:style>
  <w:style w:type="paragraph" w:customStyle="1" w:styleId="312">
    <w:name w:val="表"/>
    <w:basedOn w:val="1"/>
    <w:link w:val="311"/>
    <w:qFormat/>
    <w:uiPriority w:val="0"/>
    <w:pPr>
      <w:keepNext/>
      <w:adjustRightInd w:val="0"/>
      <w:spacing w:beforeLines="25" w:afterLines="25" w:line="240" w:lineRule="auto"/>
      <w:ind w:firstLine="0" w:firstLineChars="0"/>
      <w:jc w:val="center"/>
    </w:pPr>
    <w:rPr>
      <w:rFonts w:asciiTheme="minorHAnsi" w:hAnsiTheme="minorHAnsi" w:eastAsiaTheme="minorEastAsia"/>
      <w:color w:val="0000FF"/>
      <w:sz w:val="21"/>
      <w:szCs w:val="21"/>
    </w:rPr>
  </w:style>
  <w:style w:type="character" w:customStyle="1" w:styleId="313">
    <w:name w:val="公式格式 Char"/>
    <w:link w:val="314"/>
    <w:qFormat/>
    <w:locked/>
    <w:uiPriority w:val="99"/>
    <w:rPr>
      <w:rFonts w:cs="Calibri"/>
      <w:sz w:val="24"/>
    </w:rPr>
  </w:style>
  <w:style w:type="paragraph" w:customStyle="1" w:styleId="314">
    <w:name w:val="公式格式"/>
    <w:basedOn w:val="315"/>
    <w:link w:val="313"/>
    <w:qFormat/>
    <w:uiPriority w:val="99"/>
    <w:pPr>
      <w:spacing w:line="240" w:lineRule="auto"/>
      <w:ind w:firstLine="0" w:firstLineChars="0"/>
      <w:jc w:val="right"/>
    </w:pPr>
    <w:rPr>
      <w:rFonts w:cs="Calibri" w:asciiTheme="minorHAnsi" w:hAnsiTheme="minorHAnsi" w:eastAsiaTheme="minorEastAsia"/>
    </w:rPr>
  </w:style>
  <w:style w:type="paragraph" w:customStyle="1" w:styleId="315">
    <w:name w:val="标题wpt 正文缩进 + 首行缩进:  0.99 厘米 行距: 多倍行距 1.25 字行"/>
    <w:basedOn w:val="13"/>
    <w:link w:val="316"/>
    <w:qFormat/>
    <w:uiPriority w:val="99"/>
    <w:pPr>
      <w:ind w:firstLine="200"/>
    </w:pPr>
    <w:rPr>
      <w:rFonts w:ascii="??" w:hAnsi="??" w:eastAsia="宋体" w:cs="??"/>
      <w:kern w:val="0"/>
      <w:szCs w:val="20"/>
    </w:rPr>
  </w:style>
  <w:style w:type="character" w:customStyle="1" w:styleId="316">
    <w:name w:val="标题wpt 正文缩进 + 首行缩进:  0.99 厘米 行距: 多倍行距 1.25 字行 Char"/>
    <w:link w:val="315"/>
    <w:qFormat/>
    <w:locked/>
    <w:uiPriority w:val="99"/>
    <w:rPr>
      <w:rFonts w:ascii="??" w:hAnsi="??" w:eastAsia="宋体" w:cs="??"/>
      <w:sz w:val="24"/>
    </w:rPr>
  </w:style>
  <w:style w:type="character" w:customStyle="1" w:styleId="317">
    <w:name w:val="批注引用1"/>
    <w:qFormat/>
    <w:uiPriority w:val="0"/>
    <w:rPr>
      <w:sz w:val="21"/>
      <w:szCs w:val="21"/>
    </w:rPr>
  </w:style>
  <w:style w:type="character" w:customStyle="1" w:styleId="318">
    <w:name w:val="标题wpt 正文缩进 + 首行缩进:  0.99 厘米 行距: 多倍行距 1.25 字行 Char Char"/>
    <w:qFormat/>
    <w:locked/>
    <w:uiPriority w:val="0"/>
    <w:rPr>
      <w:rFonts w:ascii="Calibri" w:hAnsi="Calibri" w:cs="Calibri"/>
      <w:kern w:val="2"/>
      <w:sz w:val="24"/>
    </w:rPr>
  </w:style>
  <w:style w:type="character" w:customStyle="1" w:styleId="319">
    <w:name w:val="图说 Char"/>
    <w:link w:val="320"/>
    <w:qFormat/>
    <w:locked/>
    <w:uiPriority w:val="0"/>
    <w:rPr>
      <w:b/>
      <w:bCs/>
      <w:sz w:val="24"/>
      <w:szCs w:val="24"/>
    </w:rPr>
  </w:style>
  <w:style w:type="paragraph" w:customStyle="1" w:styleId="320">
    <w:name w:val="图说"/>
    <w:link w:val="319"/>
    <w:qFormat/>
    <w:uiPriority w:val="0"/>
    <w:pPr>
      <w:spacing w:line="520" w:lineRule="exact"/>
      <w:jc w:val="center"/>
    </w:pPr>
    <w:rPr>
      <w:rFonts w:asciiTheme="minorHAnsi" w:hAnsiTheme="minorHAnsi" w:eastAsiaTheme="minorEastAsia" w:cstheme="minorBidi"/>
      <w:b/>
      <w:bCs/>
      <w:sz w:val="24"/>
      <w:szCs w:val="24"/>
      <w:lang w:val="en-US" w:eastAsia="zh-CN" w:bidi="ar-SA"/>
    </w:rPr>
  </w:style>
  <w:style w:type="character" w:customStyle="1" w:styleId="321">
    <w:name w:val="图 Char"/>
    <w:link w:val="322"/>
    <w:qFormat/>
    <w:uiPriority w:val="0"/>
    <w:rPr>
      <w:color w:val="000000"/>
      <w:kern w:val="2"/>
      <w:sz w:val="21"/>
      <w:szCs w:val="21"/>
    </w:rPr>
  </w:style>
  <w:style w:type="paragraph" w:customStyle="1" w:styleId="322">
    <w:name w:val="图"/>
    <w:basedOn w:val="303"/>
    <w:link w:val="321"/>
    <w:qFormat/>
    <w:uiPriority w:val="0"/>
    <w:pPr>
      <w:keepNext/>
      <w:tabs>
        <w:tab w:val="center" w:pos="5160"/>
        <w:tab w:val="right" w:pos="8160"/>
        <w:tab w:val="clear" w:pos="540"/>
        <w:tab w:val="clear" w:pos="6300"/>
      </w:tabs>
      <w:wordWrap w:val="0"/>
      <w:adjustRightInd w:val="0"/>
      <w:spacing w:beforeLines="50" w:afterLines="25" w:line="240" w:lineRule="auto"/>
      <w:ind w:right="-103" w:rightChars="-43"/>
      <w:jc w:val="center"/>
    </w:pPr>
    <w:rPr>
      <w:rFonts w:asciiTheme="minorHAnsi" w:hAnsiTheme="minorHAnsi" w:eastAsiaTheme="minorEastAsia" w:cstheme="minorBidi"/>
      <w:color w:val="000000"/>
      <w:sz w:val="21"/>
      <w:szCs w:val="21"/>
      <w:lang w:val="en-US"/>
    </w:rPr>
  </w:style>
  <w:style w:type="character" w:customStyle="1" w:styleId="323">
    <w:name w:val="白鹤滩正文 Char"/>
    <w:link w:val="324"/>
    <w:qFormat/>
    <w:uiPriority w:val="0"/>
    <w:rPr>
      <w:sz w:val="24"/>
      <w:szCs w:val="24"/>
    </w:rPr>
  </w:style>
  <w:style w:type="paragraph" w:customStyle="1" w:styleId="324">
    <w:name w:val="白鹤滩正文"/>
    <w:basedOn w:val="325"/>
    <w:link w:val="323"/>
    <w:qFormat/>
    <w:uiPriority w:val="0"/>
    <w:pPr>
      <w:tabs>
        <w:tab w:val="left" w:pos="840"/>
      </w:tabs>
      <w:suppressAutoHyphens/>
      <w:ind w:left="0" w:right="-223" w:rightChars="-93" w:firstLine="480" w:firstLineChars="200"/>
    </w:pPr>
    <w:rPr>
      <w:rFonts w:asciiTheme="minorHAnsi" w:hAnsiTheme="minorHAnsi" w:eastAsiaTheme="minorEastAsia" w:cstheme="minorBidi"/>
      <w:color w:val="auto"/>
      <w:kern w:val="0"/>
      <w:szCs w:val="24"/>
    </w:rPr>
  </w:style>
  <w:style w:type="paragraph" w:customStyle="1" w:styleId="325">
    <w:name w:val="编号"/>
    <w:basedOn w:val="1"/>
    <w:qFormat/>
    <w:uiPriority w:val="0"/>
    <w:pPr>
      <w:tabs>
        <w:tab w:val="left" w:pos="840"/>
      </w:tabs>
      <w:spacing w:line="360" w:lineRule="auto"/>
      <w:ind w:left="2421" w:firstLine="0" w:firstLineChars="0"/>
    </w:pPr>
    <w:rPr>
      <w:rFonts w:ascii="??" w:hAnsi="??" w:cs="??"/>
      <w:color w:val="000000"/>
      <w:sz w:val="24"/>
      <w:szCs w:val="20"/>
    </w:rPr>
  </w:style>
  <w:style w:type="character" w:customStyle="1" w:styleId="326">
    <w:name w:val="论文图标 Char"/>
    <w:link w:val="327"/>
    <w:qFormat/>
    <w:locked/>
    <w:uiPriority w:val="0"/>
    <w:rPr>
      <w:lang w:val="en-US" w:eastAsia="zh-CN"/>
    </w:rPr>
  </w:style>
  <w:style w:type="paragraph" w:customStyle="1" w:styleId="327">
    <w:name w:val="论文图标"/>
    <w:basedOn w:val="1"/>
    <w:link w:val="326"/>
    <w:qFormat/>
    <w:uiPriority w:val="0"/>
    <w:pPr>
      <w:spacing w:line="240" w:lineRule="auto"/>
      <w:ind w:firstLine="0" w:firstLineChars="0"/>
      <w:jc w:val="center"/>
    </w:pPr>
    <w:rPr>
      <w:rFonts w:asciiTheme="minorHAnsi" w:hAnsiTheme="minorHAnsi" w:eastAsiaTheme="minorEastAsia"/>
      <w:kern w:val="0"/>
      <w:sz w:val="20"/>
      <w:szCs w:val="20"/>
    </w:rPr>
  </w:style>
  <w:style w:type="character" w:customStyle="1" w:styleId="328">
    <w:name w:val="high-light-bg"/>
    <w:qFormat/>
    <w:uiPriority w:val="0"/>
  </w:style>
  <w:style w:type="character" w:customStyle="1" w:styleId="329">
    <w:name w:val="景洪安检报告 正文 Char Char"/>
    <w:link w:val="330"/>
    <w:qFormat/>
    <w:uiPriority w:val="0"/>
    <w:rPr>
      <w:spacing w:val="4"/>
      <w:sz w:val="24"/>
      <w:szCs w:val="24"/>
    </w:rPr>
  </w:style>
  <w:style w:type="paragraph" w:customStyle="1" w:styleId="330">
    <w:name w:val="景洪安检报告 正文"/>
    <w:basedOn w:val="1"/>
    <w:link w:val="329"/>
    <w:qFormat/>
    <w:uiPriority w:val="0"/>
    <w:pPr>
      <w:spacing w:line="360" w:lineRule="auto"/>
      <w:ind w:firstLine="496"/>
    </w:pPr>
    <w:rPr>
      <w:rFonts w:asciiTheme="minorHAnsi" w:hAnsiTheme="minorHAnsi" w:eastAsiaTheme="minorEastAsia"/>
      <w:spacing w:val="4"/>
      <w:kern w:val="0"/>
      <w:sz w:val="24"/>
      <w:szCs w:val="24"/>
    </w:rPr>
  </w:style>
  <w:style w:type="character" w:customStyle="1" w:styleId="331">
    <w:name w:val="图标1 Char"/>
    <w:link w:val="332"/>
    <w:qFormat/>
    <w:uiPriority w:val="0"/>
    <w:rPr>
      <w:szCs w:val="24"/>
    </w:rPr>
  </w:style>
  <w:style w:type="paragraph" w:customStyle="1" w:styleId="332">
    <w:name w:val="图标1"/>
    <w:link w:val="331"/>
    <w:qFormat/>
    <w:uiPriority w:val="0"/>
    <w:pPr>
      <w:jc w:val="center"/>
    </w:pPr>
    <w:rPr>
      <w:rFonts w:asciiTheme="minorHAnsi" w:hAnsiTheme="minorHAnsi" w:eastAsiaTheme="minorEastAsia" w:cstheme="minorBidi"/>
      <w:szCs w:val="24"/>
      <w:lang w:val="en-US" w:eastAsia="zh-CN" w:bidi="ar-SA"/>
    </w:rPr>
  </w:style>
  <w:style w:type="character" w:customStyle="1" w:styleId="333">
    <w:name w:val="论文正文 Char"/>
    <w:link w:val="334"/>
    <w:qFormat/>
    <w:uiPriority w:val="0"/>
    <w:rPr>
      <w:rFonts w:hAnsi="Calibri" w:cs="Calibri"/>
      <w:sz w:val="24"/>
      <w:szCs w:val="24"/>
    </w:rPr>
  </w:style>
  <w:style w:type="paragraph" w:customStyle="1" w:styleId="334">
    <w:name w:val="论文正文"/>
    <w:basedOn w:val="1"/>
    <w:link w:val="333"/>
    <w:qFormat/>
    <w:uiPriority w:val="0"/>
    <w:pPr>
      <w:spacing w:line="440" w:lineRule="exact"/>
      <w:ind w:firstLine="480"/>
    </w:pPr>
    <w:rPr>
      <w:rFonts w:hAnsi="Calibri" w:cs="Calibri" w:asciiTheme="minorHAnsi" w:eastAsiaTheme="minorEastAsia"/>
      <w:kern w:val="0"/>
      <w:sz w:val="24"/>
      <w:szCs w:val="24"/>
    </w:rPr>
  </w:style>
  <w:style w:type="character" w:customStyle="1" w:styleId="335">
    <w:name w:val="正文文字1 Char Char"/>
    <w:qFormat/>
    <w:uiPriority w:val="0"/>
    <w:rPr>
      <w:sz w:val="28"/>
    </w:rPr>
  </w:style>
  <w:style w:type="character" w:customStyle="1" w:styleId="336">
    <w:name w:val="description"/>
    <w:qFormat/>
    <w:uiPriority w:val="0"/>
  </w:style>
  <w:style w:type="character" w:customStyle="1" w:styleId="337">
    <w:name w:val="标题 Char1"/>
    <w:qFormat/>
    <w:uiPriority w:val="0"/>
    <w:rPr>
      <w:rFonts w:ascii="仿宋_GB2312" w:hAnsi="仿宋_GB2312" w:cs="??"/>
      <w:b/>
      <w:bCs/>
      <w:kern w:val="2"/>
      <w:sz w:val="32"/>
      <w:szCs w:val="32"/>
    </w:rPr>
  </w:style>
  <w:style w:type="character" w:customStyle="1" w:styleId="338">
    <w:name w:val="脚注文本 Char1"/>
    <w:qFormat/>
    <w:uiPriority w:val="0"/>
    <w:rPr>
      <w:kern w:val="2"/>
      <w:sz w:val="18"/>
      <w:szCs w:val="18"/>
    </w:rPr>
  </w:style>
  <w:style w:type="character" w:customStyle="1" w:styleId="339">
    <w:name w:val="正文首行缩进 2 Char1"/>
    <w:qFormat/>
    <w:uiPriority w:val="0"/>
    <w:rPr>
      <w:lang w:val="en-US" w:eastAsia="zh-CN" w:bidi="ar-SA"/>
    </w:rPr>
  </w:style>
  <w:style w:type="character" w:customStyle="1" w:styleId="340">
    <w:name w:val="正文首行缩进 Char1"/>
    <w:qFormat/>
    <w:uiPriority w:val="0"/>
  </w:style>
  <w:style w:type="paragraph" w:customStyle="1" w:styleId="341">
    <w:name w:val="正文文本1"/>
    <w:basedOn w:val="1"/>
    <w:next w:val="15"/>
    <w:unhideWhenUsed/>
    <w:qFormat/>
    <w:uiPriority w:val="0"/>
    <w:pPr>
      <w:spacing w:after="120" w:line="360" w:lineRule="auto"/>
    </w:pPr>
    <w:rPr>
      <w:rFonts w:ascii="??" w:hAnsi="??" w:cs="??"/>
      <w:kern w:val="0"/>
      <w:sz w:val="24"/>
      <w:szCs w:val="20"/>
    </w:rPr>
  </w:style>
  <w:style w:type="paragraph" w:customStyle="1" w:styleId="342">
    <w:name w:val="普通(网站)1"/>
    <w:basedOn w:val="1"/>
    <w:qFormat/>
    <w:uiPriority w:val="0"/>
    <w:pPr>
      <w:widowControl/>
      <w:spacing w:before="100" w:beforeAutospacing="1" w:after="100" w:afterAutospacing="1" w:line="240" w:lineRule="auto"/>
      <w:ind w:firstLine="0" w:firstLineChars="0"/>
      <w:jc w:val="left"/>
    </w:pPr>
    <w:rPr>
      <w:rFonts w:ascii="Calibri" w:hAnsi="Calibri" w:cs="Calibri"/>
      <w:kern w:val="0"/>
      <w:sz w:val="24"/>
      <w:szCs w:val="24"/>
    </w:rPr>
  </w:style>
  <w:style w:type="paragraph" w:customStyle="1" w:styleId="343">
    <w:name w:val="正文---------------------"/>
    <w:basedOn w:val="1"/>
    <w:qFormat/>
    <w:uiPriority w:val="0"/>
    <w:pPr>
      <w:spacing w:line="300" w:lineRule="auto"/>
      <w:ind w:right="-51" w:firstLine="480"/>
    </w:pPr>
    <w:rPr>
      <w:rFonts w:ascii="??" w:hAnsi="??" w:cs="Calibri"/>
      <w:sz w:val="24"/>
      <w:szCs w:val="20"/>
    </w:rPr>
  </w:style>
  <w:style w:type="paragraph" w:customStyle="1" w:styleId="344">
    <w:name w:val="索引 11"/>
    <w:basedOn w:val="1"/>
    <w:next w:val="1"/>
    <w:qFormat/>
    <w:uiPriority w:val="0"/>
    <w:pPr>
      <w:spacing w:line="240" w:lineRule="auto"/>
    </w:pPr>
    <w:rPr>
      <w:rFonts w:ascii="??" w:hAnsi="??" w:cs="??"/>
      <w:sz w:val="27"/>
      <w:szCs w:val="24"/>
    </w:rPr>
  </w:style>
  <w:style w:type="paragraph" w:customStyle="1" w:styleId="345">
    <w:name w:val="正文 + 首行缩进: 2 字符"/>
    <w:basedOn w:val="1"/>
    <w:qFormat/>
    <w:uiPriority w:val="0"/>
    <w:pPr>
      <w:spacing w:line="240" w:lineRule="auto"/>
      <w:ind w:firstLine="0" w:firstLineChars="0"/>
    </w:pPr>
    <w:rPr>
      <w:rFonts w:ascii="??" w:hAnsi="??" w:cs="??"/>
      <w:sz w:val="27"/>
      <w:szCs w:val="24"/>
    </w:rPr>
  </w:style>
  <w:style w:type="paragraph" w:customStyle="1" w:styleId="346">
    <w:name w:val="rubbo节标题"/>
    <w:basedOn w:val="4"/>
    <w:next w:val="1"/>
    <w:qFormat/>
    <w:uiPriority w:val="0"/>
    <w:pPr>
      <w:snapToGrid w:val="0"/>
      <w:spacing w:before="260" w:beforeLines="25" w:after="260" w:afterLines="25" w:line="240" w:lineRule="auto"/>
      <w:ind w:left="-1" w:leftChars="-3" w:hanging="2" w:hangingChars="2"/>
    </w:pPr>
    <w:rPr>
      <w:rFonts w:ascii="仿宋_GB2312" w:hAnsi="Times-Roman" w:eastAsia="仿宋_GB2312" w:cs="??"/>
      <w:b w:val="0"/>
      <w:bCs w:val="0"/>
      <w:kern w:val="0"/>
      <w:sz w:val="28"/>
    </w:rPr>
  </w:style>
  <w:style w:type="paragraph" w:customStyle="1" w:styleId="347">
    <w:name w:val="正文文本缩进 32"/>
    <w:basedOn w:val="1"/>
    <w:qFormat/>
    <w:uiPriority w:val="0"/>
    <w:pPr>
      <w:spacing w:after="120" w:line="240" w:lineRule="auto"/>
      <w:ind w:left="420" w:leftChars="200" w:firstLine="0" w:firstLineChars="0"/>
    </w:pPr>
    <w:rPr>
      <w:rFonts w:ascii="??" w:hAnsi="??" w:cs="??"/>
      <w:kern w:val="0"/>
      <w:sz w:val="16"/>
      <w:szCs w:val="16"/>
    </w:rPr>
  </w:style>
  <w:style w:type="paragraph" w:customStyle="1" w:styleId="348">
    <w:name w:val="表名"/>
    <w:basedOn w:val="302"/>
    <w:qFormat/>
    <w:uiPriority w:val="0"/>
    <w:pPr>
      <w:spacing w:beforeLines="100"/>
    </w:pPr>
    <w:rPr>
      <w:color w:val="33CCCC"/>
    </w:rPr>
  </w:style>
  <w:style w:type="paragraph" w:customStyle="1" w:styleId="349">
    <w:name w:val="样式 样式 标题3 + 段前: 0.5 行 段后: 0.5 行 + 左"/>
    <w:basedOn w:val="1"/>
    <w:qFormat/>
    <w:uiPriority w:val="99"/>
    <w:pPr>
      <w:adjustRightInd w:val="0"/>
      <w:snapToGrid w:val="0"/>
      <w:spacing w:beforeLines="50" w:afterLines="50" w:line="440" w:lineRule="exact"/>
      <w:jc w:val="left"/>
      <w:outlineLvl w:val="2"/>
    </w:pPr>
    <w:rPr>
      <w:rFonts w:ascii="??" w:hAnsi="??" w:cs="Calibri"/>
      <w:kern w:val="44"/>
      <w:szCs w:val="28"/>
    </w:rPr>
  </w:style>
  <w:style w:type="paragraph" w:customStyle="1" w:styleId="350">
    <w:name w:val="批注主题1"/>
    <w:basedOn w:val="19"/>
    <w:next w:val="19"/>
    <w:qFormat/>
    <w:uiPriority w:val="0"/>
    <w:pPr>
      <w:spacing w:line="240" w:lineRule="auto"/>
    </w:pPr>
    <w:rPr>
      <w:rFonts w:ascii="??" w:hAnsi="??" w:cs="??"/>
      <w:b/>
      <w:bCs/>
      <w:sz w:val="27"/>
      <w:szCs w:val="24"/>
    </w:rPr>
  </w:style>
  <w:style w:type="paragraph" w:customStyle="1" w:styleId="351">
    <w:name w:val="图说明-----------"/>
    <w:basedOn w:val="1"/>
    <w:qFormat/>
    <w:uiPriority w:val="0"/>
    <w:pPr>
      <w:spacing w:line="400" w:lineRule="exact"/>
      <w:ind w:firstLine="480"/>
    </w:pPr>
    <w:rPr>
      <w:rFonts w:ascii="??" w:hAnsi="??" w:cs="Calibri"/>
      <w:sz w:val="24"/>
      <w:szCs w:val="20"/>
    </w:rPr>
  </w:style>
  <w:style w:type="paragraph" w:customStyle="1" w:styleId="352">
    <w:name w:val="TOC 标题1"/>
    <w:basedOn w:val="3"/>
    <w:next w:val="1"/>
    <w:unhideWhenUsed/>
    <w:qFormat/>
    <w:uiPriority w:val="0"/>
    <w:pPr>
      <w:widowControl/>
      <w:spacing w:before="480" w:beforeLines="0" w:afterLines="0" w:line="276" w:lineRule="auto"/>
      <w:jc w:val="left"/>
      <w:outlineLvl w:val="9"/>
    </w:pPr>
    <w:rPr>
      <w:rFonts w:ascii="Wingdings" w:hAnsi="Wingdings" w:eastAsia="Calibri" w:cs="??"/>
      <w:color w:val="365F91"/>
      <w:kern w:val="0"/>
      <w:sz w:val="28"/>
      <w:szCs w:val="28"/>
    </w:rPr>
  </w:style>
  <w:style w:type="paragraph" w:customStyle="1" w:styleId="353">
    <w:name w:val="rubbo小结标题"/>
    <w:basedOn w:val="5"/>
    <w:next w:val="1"/>
    <w:qFormat/>
    <w:uiPriority w:val="0"/>
    <w:pPr>
      <w:spacing w:afterLines="0" w:line="360" w:lineRule="auto"/>
      <w:ind w:hanging="6"/>
      <w:jc w:val="left"/>
    </w:pPr>
    <w:rPr>
      <w:rFonts w:ascii="仿宋_GB2312" w:hAnsi="??" w:eastAsia="仿宋_GB2312" w:cs="??"/>
      <w:b w:val="0"/>
      <w:kern w:val="0"/>
      <w:sz w:val="24"/>
      <w:szCs w:val="28"/>
    </w:rPr>
  </w:style>
  <w:style w:type="paragraph" w:customStyle="1" w:styleId="354">
    <w:name w:val="纯文本1"/>
    <w:basedOn w:val="1"/>
    <w:qFormat/>
    <w:uiPriority w:val="0"/>
    <w:pPr>
      <w:spacing w:line="240" w:lineRule="auto"/>
      <w:ind w:firstLine="0" w:firstLineChars="0"/>
    </w:pPr>
    <w:rPr>
      <w:rFonts w:ascii="Calibri" w:hAnsi="@宋体" w:cs="??"/>
      <w:sz w:val="24"/>
      <w:szCs w:val="20"/>
    </w:rPr>
  </w:style>
  <w:style w:type="paragraph" w:customStyle="1" w:styleId="355">
    <w:name w:val="样式 样式 标题 2 + 段前: 0.5 行 段后: 0.5 行 +"/>
    <w:basedOn w:val="1"/>
    <w:qFormat/>
    <w:uiPriority w:val="99"/>
    <w:pPr>
      <w:keepNext/>
      <w:keepLines/>
      <w:adjustRightInd w:val="0"/>
      <w:snapToGrid w:val="0"/>
      <w:spacing w:beforeLines="50" w:afterLines="50" w:line="440" w:lineRule="exact"/>
      <w:jc w:val="left"/>
      <w:outlineLvl w:val="1"/>
    </w:pPr>
    <w:rPr>
      <w:rFonts w:ascii="??" w:hAnsi="??" w:eastAsia="仿宋_GB2312" w:cs="Calibri"/>
      <w:sz w:val="36"/>
      <w:szCs w:val="20"/>
    </w:rPr>
  </w:style>
  <w:style w:type="paragraph" w:customStyle="1" w:styleId="356">
    <w:name w:val="样式 标题 1 + 段前: 1 行 段后: 1 行"/>
    <w:basedOn w:val="3"/>
    <w:qFormat/>
    <w:uiPriority w:val="99"/>
    <w:pPr>
      <w:pageBreakBefore/>
      <w:adjustRightInd w:val="0"/>
      <w:snapToGrid w:val="0"/>
      <w:spacing w:before="340" w:beforeLines="100" w:after="330" w:afterLines="100" w:line="240" w:lineRule="auto"/>
    </w:pPr>
    <w:rPr>
      <w:rFonts w:ascii="??" w:hAnsi="??" w:eastAsia="仿宋_GB2312" w:cs="Calibri"/>
      <w:szCs w:val="20"/>
    </w:rPr>
  </w:style>
  <w:style w:type="paragraph" w:customStyle="1" w:styleId="357">
    <w:name w:val="日期1"/>
    <w:basedOn w:val="1"/>
    <w:next w:val="1"/>
    <w:qFormat/>
    <w:uiPriority w:val="0"/>
    <w:pPr>
      <w:spacing w:line="240" w:lineRule="auto"/>
      <w:ind w:left="100" w:leftChars="2500" w:firstLine="0" w:firstLineChars="0"/>
    </w:pPr>
    <w:rPr>
      <w:rFonts w:ascii="??" w:hAnsi="??" w:cs="??"/>
      <w:sz w:val="24"/>
      <w:szCs w:val="20"/>
    </w:rPr>
  </w:style>
  <w:style w:type="paragraph" w:customStyle="1" w:styleId="358">
    <w:name w:val="rubbo章标题"/>
    <w:basedOn w:val="3"/>
    <w:next w:val="1"/>
    <w:qFormat/>
    <w:uiPriority w:val="0"/>
    <w:pPr>
      <w:spacing w:before="340" w:after="330" w:line="240" w:lineRule="auto"/>
      <w:ind w:left="-1" w:leftChars="-3" w:hanging="2" w:hangingChars="2"/>
      <w:jc w:val="left"/>
    </w:pPr>
    <w:rPr>
      <w:rFonts w:ascii="仿宋_GB2312" w:hAnsi="??" w:eastAsia="仿宋_GB2312" w:cs="??"/>
      <w:b w:val="0"/>
      <w:sz w:val="30"/>
      <w:szCs w:val="30"/>
    </w:rPr>
  </w:style>
  <w:style w:type="paragraph" w:customStyle="1" w:styleId="359">
    <w:name w:val="表格居中------------"/>
    <w:basedOn w:val="1"/>
    <w:qFormat/>
    <w:uiPriority w:val="0"/>
    <w:pPr>
      <w:spacing w:line="360" w:lineRule="exact"/>
      <w:jc w:val="center"/>
    </w:pPr>
    <w:rPr>
      <w:rFonts w:ascii="??" w:hAnsi="??" w:cs="Calibri"/>
      <w:kern w:val="0"/>
      <w:sz w:val="24"/>
      <w:szCs w:val="20"/>
    </w:rPr>
  </w:style>
  <w:style w:type="paragraph" w:customStyle="1" w:styleId="360">
    <w:name w:val="正文文本缩进 21"/>
    <w:basedOn w:val="1"/>
    <w:qFormat/>
    <w:uiPriority w:val="0"/>
    <w:pPr>
      <w:spacing w:after="120" w:line="480" w:lineRule="auto"/>
      <w:ind w:left="420" w:leftChars="200" w:firstLine="0" w:firstLineChars="0"/>
    </w:pPr>
    <w:rPr>
      <w:rFonts w:ascii="??" w:hAnsi="??" w:cs="??"/>
      <w:kern w:val="0"/>
      <w:sz w:val="24"/>
      <w:szCs w:val="20"/>
    </w:rPr>
  </w:style>
  <w:style w:type="paragraph" w:customStyle="1" w:styleId="361">
    <w:name w:val="正文文本缩进 31"/>
    <w:basedOn w:val="1"/>
    <w:qFormat/>
    <w:uiPriority w:val="0"/>
    <w:pPr>
      <w:spacing w:after="120" w:line="240" w:lineRule="auto"/>
      <w:ind w:left="420" w:leftChars="200" w:firstLine="0" w:firstLineChars="0"/>
    </w:pPr>
    <w:rPr>
      <w:rFonts w:ascii="??" w:hAnsi="??" w:cs="??"/>
      <w:sz w:val="16"/>
      <w:szCs w:val="16"/>
    </w:rPr>
  </w:style>
  <w:style w:type="paragraph" w:customStyle="1" w:styleId="362">
    <w:name w:val="正文（4级标题）"/>
    <w:basedOn w:val="1"/>
    <w:qFormat/>
    <w:uiPriority w:val="0"/>
    <w:pPr>
      <w:numPr>
        <w:ilvl w:val="0"/>
        <w:numId w:val="3"/>
      </w:numPr>
      <w:tabs>
        <w:tab w:val="left" w:pos="1020"/>
      </w:tabs>
      <w:adjustRightInd w:val="0"/>
      <w:spacing w:line="360" w:lineRule="auto"/>
      <w:ind w:firstLine="0" w:firstLineChars="0"/>
    </w:pPr>
    <w:rPr>
      <w:rFonts w:ascii="??" w:hAnsi="??" w:eastAsia="仿宋_GB2312" w:cs="??"/>
      <w:sz w:val="24"/>
      <w:szCs w:val="24"/>
    </w:rPr>
  </w:style>
  <w:style w:type="paragraph" w:customStyle="1" w:styleId="363">
    <w:name w:val="Char1 Char Char Char"/>
    <w:basedOn w:val="1"/>
    <w:qFormat/>
    <w:uiPriority w:val="0"/>
    <w:pPr>
      <w:widowControl/>
      <w:spacing w:after="160" w:line="240" w:lineRule="exact"/>
      <w:ind w:firstLine="0" w:firstLineChars="0"/>
      <w:jc w:val="left"/>
    </w:pPr>
    <w:rPr>
      <w:rFonts w:ascii="Cambria" w:hAnsi="Cambria" w:eastAsia="Verdana" w:cs="Cambria"/>
      <w:kern w:val="0"/>
      <w:sz w:val="24"/>
      <w:szCs w:val="24"/>
      <w:lang w:eastAsia="en-US"/>
    </w:rPr>
  </w:style>
  <w:style w:type="paragraph" w:customStyle="1" w:styleId="364">
    <w:name w:val="TOC 标题2"/>
    <w:basedOn w:val="3"/>
    <w:next w:val="1"/>
    <w:qFormat/>
    <w:uiPriority w:val="39"/>
    <w:pPr>
      <w:widowControl/>
      <w:spacing w:before="480" w:beforeLines="0" w:afterLines="0" w:line="276" w:lineRule="auto"/>
      <w:jc w:val="left"/>
      <w:outlineLvl w:val="9"/>
    </w:pPr>
    <w:rPr>
      <w:rFonts w:ascii="Wingdings" w:hAnsi="Wingdings" w:eastAsia="Calibri" w:cs="??"/>
      <w:color w:val="365F91"/>
      <w:kern w:val="0"/>
      <w:sz w:val="28"/>
      <w:szCs w:val="28"/>
    </w:rPr>
  </w:style>
  <w:style w:type="table" w:customStyle="1" w:styleId="365">
    <w:name w:val="网格型3"/>
    <w:basedOn w:val="54"/>
    <w:qFormat/>
    <w:uiPriority w:val="59"/>
    <w:rPr>
      <w:rFonts w:ascii="Calibri Light" w:hAnsi="Calibri Light"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
    <w:name w:val="网格型11"/>
    <w:basedOn w:val="54"/>
    <w:qFormat/>
    <w:uiPriority w:val="59"/>
    <w:rPr>
      <w:rFonts w:ascii="Calibri Light" w:hAnsi="Calibri Light"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
    <w:name w:val="简明型 11"/>
    <w:basedOn w:val="54"/>
    <w:qFormat/>
    <w:uiPriority w:val="0"/>
    <w:pPr>
      <w:widowControl w:val="0"/>
      <w:jc w:val="both"/>
    </w:pPr>
    <w:rPr>
      <w:rFonts w:ascii="??" w:hAnsi="??" w:eastAsia="宋体" w:cs="??"/>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68">
    <w:name w:val="网格型21"/>
    <w:basedOn w:val="54"/>
    <w:qFormat/>
    <w:uiPriority w:val="59"/>
    <w:rPr>
      <w:rFonts w:ascii="Calibri Light" w:hAnsi="Calibri Light" w:eastAsia="宋体" w:cs="??"/>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
    <w:name w:val="网格型12"/>
    <w:basedOn w:val="54"/>
    <w:qFormat/>
    <w:uiPriority w:val="59"/>
    <w:rPr>
      <w:rFonts w:ascii="Calibri Light" w:hAnsi="Calibri Light"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
    <w:name w:val="简明型 12"/>
    <w:basedOn w:val="54"/>
    <w:qFormat/>
    <w:uiPriority w:val="0"/>
    <w:pPr>
      <w:widowControl w:val="0"/>
      <w:jc w:val="both"/>
    </w:pPr>
    <w:rPr>
      <w:rFonts w:ascii="??" w:hAnsi="??" w:eastAsia="宋体" w:cs="??"/>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71">
    <w:name w:val="网格型22"/>
    <w:basedOn w:val="54"/>
    <w:qFormat/>
    <w:uiPriority w:val="99"/>
    <w:rPr>
      <w:rFonts w:ascii="Calibri Light" w:hAnsi="Calibri Light"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
    <w:name w:val="网格型111"/>
    <w:basedOn w:val="54"/>
    <w:qFormat/>
    <w:uiPriority w:val="59"/>
    <w:rPr>
      <w:rFonts w:ascii="Calibri Light" w:hAnsi="Calibri Light" w:eastAsia="宋体" w:c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
    <w:name w:val="简明型 111"/>
    <w:basedOn w:val="54"/>
    <w:qFormat/>
    <w:uiPriority w:val="0"/>
    <w:pPr>
      <w:widowControl w:val="0"/>
      <w:jc w:val="both"/>
    </w:pPr>
    <w:rPr>
      <w:rFonts w:ascii="??" w:hAnsi="??" w:eastAsia="宋体" w:cs="??"/>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74">
    <w:name w:val="网格型211"/>
    <w:basedOn w:val="54"/>
    <w:qFormat/>
    <w:uiPriority w:val="59"/>
    <w:rPr>
      <w:rFonts w:ascii="Calibri Light" w:hAnsi="Calibri Light" w:eastAsia="宋体" w:cs="??"/>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
    <w:name w:val="典雅型1"/>
    <w:basedOn w:val="54"/>
    <w:qFormat/>
    <w:uiPriority w:val="0"/>
    <w:pPr>
      <w:widowControl w:val="0"/>
      <w:autoSpaceDE w:val="0"/>
      <w:autoSpaceDN w:val="0"/>
      <w:adjustRightInd w:val="0"/>
    </w:pPr>
    <w:rPr>
      <w:rFonts w:ascii="??" w:hAnsi="??" w:eastAsia="宋体" w:c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character" w:customStyle="1" w:styleId="376">
    <w:name w:val="页眉 Char3"/>
    <w:qFormat/>
    <w:locked/>
    <w:uiPriority w:val="0"/>
    <w:rPr>
      <w:kern w:val="2"/>
      <w:sz w:val="18"/>
      <w:szCs w:val="18"/>
    </w:rPr>
  </w:style>
  <w:style w:type="character" w:customStyle="1" w:styleId="377">
    <w:name w:val="纯文本 Char3"/>
    <w:qFormat/>
    <w:uiPriority w:val="0"/>
    <w:rPr>
      <w:rFonts w:ascii="宋体" w:hAnsi="Courier New" w:eastAsia="仿宋_GB2312" w:cs="Courier New"/>
      <w:kern w:val="2"/>
      <w:sz w:val="24"/>
      <w:szCs w:val="21"/>
      <w:lang w:val="en-US" w:eastAsia="zh-CN"/>
    </w:rPr>
  </w:style>
  <w:style w:type="paragraph" w:customStyle="1" w:styleId="378">
    <w:name w:val="样式 说明书正文 + 首行缩进:  2 字符"/>
    <w:basedOn w:val="219"/>
    <w:qFormat/>
    <w:uiPriority w:val="0"/>
    <w:pPr>
      <w:ind w:firstLine="570"/>
      <w:jc w:val="left"/>
    </w:pPr>
    <w:rPr>
      <w:rFonts w:ascii="Calibri" w:hAnsi="Calibri" w:eastAsia="仿宋_GB2312" w:cs="宋体"/>
      <w:b/>
      <w:bCs/>
      <w:color w:val="auto"/>
      <w:spacing w:val="-8"/>
      <w:sz w:val="21"/>
      <w:szCs w:val="20"/>
    </w:rPr>
  </w:style>
  <w:style w:type="paragraph" w:customStyle="1" w:styleId="379">
    <w:name w:val="报告5正文"/>
    <w:basedOn w:val="1"/>
    <w:qFormat/>
    <w:uiPriority w:val="0"/>
    <w:pPr>
      <w:spacing w:line="480" w:lineRule="exact"/>
      <w:textAlignment w:val="center"/>
    </w:pPr>
    <w:rPr>
      <w:rFonts w:ascii="??" w:hAnsi="??" w:eastAsia="仿宋_GB2312" w:cs="Times New Roman"/>
      <w:sz w:val="30"/>
      <w:szCs w:val="24"/>
      <w:lang w:bidi="en-US"/>
    </w:rPr>
  </w:style>
  <w:style w:type="paragraph" w:customStyle="1" w:styleId="380">
    <w:name w:val="报告图表"/>
    <w:basedOn w:val="232"/>
    <w:qFormat/>
    <w:uiPriority w:val="0"/>
    <w:pPr>
      <w:spacing w:line="240" w:lineRule="auto"/>
      <w:ind w:firstLine="0" w:firstLineChars="0"/>
      <w:jc w:val="center"/>
    </w:pPr>
    <w:rPr>
      <w:sz w:val="28"/>
    </w:rPr>
  </w:style>
  <w:style w:type="paragraph" w:customStyle="1" w:styleId="381">
    <w:name w:val="报告图标题"/>
    <w:basedOn w:val="1"/>
    <w:qFormat/>
    <w:uiPriority w:val="0"/>
    <w:pPr>
      <w:numPr>
        <w:ilvl w:val="5"/>
        <w:numId w:val="4"/>
      </w:numPr>
      <w:adjustRightInd w:val="0"/>
      <w:snapToGrid w:val="0"/>
      <w:spacing w:line="240" w:lineRule="auto"/>
      <w:ind w:firstLine="0" w:firstLineChars="0"/>
      <w:jc w:val="center"/>
    </w:pPr>
    <w:rPr>
      <w:rFonts w:eastAsia="仿宋_GB2312" w:cs="Times New Roman"/>
      <w:b/>
      <w:bCs/>
      <w:szCs w:val="28"/>
    </w:rPr>
  </w:style>
  <w:style w:type="paragraph" w:customStyle="1" w:styleId="382">
    <w:name w:val="Table Text"/>
    <w:basedOn w:val="1"/>
    <w:semiHidden/>
    <w:qFormat/>
    <w:uiPriority w:val="0"/>
    <w:pPr>
      <w:spacing w:line="240" w:lineRule="auto"/>
      <w:ind w:firstLine="0" w:firstLineChars="0"/>
    </w:pPr>
    <w:rPr>
      <w:rFonts w:ascii="仿宋" w:hAnsi="仿宋" w:eastAsia="仿宋" w:cs="仿宋"/>
      <w:szCs w:val="28"/>
      <w:lang w:eastAsia="en-US"/>
    </w:rPr>
  </w:style>
  <w:style w:type="table" w:customStyle="1" w:styleId="383">
    <w:name w:val="Table Normal1"/>
    <w:unhideWhenUsed/>
    <w:qFormat/>
    <w:uiPriority w:val="0"/>
    <w:rPr>
      <w:rFonts w:ascii="??" w:hAnsi="??" w:eastAsia="宋体" w:cs="??"/>
    </w:rPr>
    <w:tblPr>
      <w:tblCellMar>
        <w:top w:w="0" w:type="dxa"/>
        <w:left w:w="0" w:type="dxa"/>
        <w:bottom w:w="0" w:type="dxa"/>
        <w:right w:w="0" w:type="dxa"/>
      </w:tblCellMar>
    </w:tblPr>
  </w:style>
  <w:style w:type="character" w:customStyle="1" w:styleId="384">
    <w:name w:val="未处理的提及1"/>
    <w:basedOn w:val="58"/>
    <w:semiHidden/>
    <w:unhideWhenUsed/>
    <w:qFormat/>
    <w:uiPriority w:val="99"/>
    <w:rPr>
      <w:color w:val="605E5C"/>
      <w:shd w:val="clear" w:color="auto" w:fill="E1DFDD"/>
    </w:rPr>
  </w:style>
  <w:style w:type="paragraph" w:customStyle="1" w:styleId="385">
    <w:name w:val="cui标题3"/>
    <w:basedOn w:val="119"/>
    <w:next w:val="119"/>
    <w:qFormat/>
    <w:uiPriority w:val="0"/>
    <w:pPr>
      <w:keepNext/>
      <w:keepLines/>
      <w:widowControl/>
      <w:numPr>
        <w:ilvl w:val="2"/>
        <w:numId w:val="5"/>
      </w:numPr>
      <w:spacing w:before="100" w:after="100" w:line="600" w:lineRule="exact"/>
      <w:outlineLvl w:val="3"/>
    </w:pPr>
    <w:rPr>
      <w:rFonts w:ascii="Times New Roman" w:hAnsi="Times New Roman" w:eastAsia="宋体" w:cs="Times New Roman"/>
      <w:b/>
      <w:sz w:val="28"/>
      <w:szCs w:val="24"/>
    </w:rPr>
  </w:style>
  <w:style w:type="paragraph" w:customStyle="1" w:styleId="386">
    <w:name w:val="cx图表内容"/>
    <w:basedOn w:val="119"/>
    <w:qFormat/>
    <w:uiPriority w:val="0"/>
    <w:pPr>
      <w:adjustRightInd w:val="0"/>
      <w:snapToGrid w:val="0"/>
      <w:jc w:val="center"/>
    </w:pPr>
    <w:rPr>
      <w:rFonts w:ascii="Calibri" w:hAnsi="Calibri" w:eastAsia="宋体" w:cs="Times New Roman"/>
      <w:sz w:val="24"/>
      <w:szCs w:val="24"/>
    </w:rPr>
  </w:style>
  <w:style w:type="paragraph" w:customStyle="1" w:styleId="387">
    <w:name w:val="正文3"/>
    <w:next w:val="1"/>
    <w:qFormat/>
    <w:uiPriority w:val="0"/>
    <w:pPr>
      <w:widowControl w:val="0"/>
      <w:adjustRightInd w:val="0"/>
      <w:spacing w:line="360" w:lineRule="atLeast"/>
      <w:jc w:val="both"/>
      <w:textAlignment w:val="baseline"/>
    </w:pPr>
    <w:rPr>
      <w:rFonts w:ascii="宋体" w:hAnsi="Times New Roman" w:eastAsia="宋体" w:cs="Times New Roman"/>
      <w:sz w:val="24"/>
      <w:lang w:val="en-US" w:eastAsia="zh-CN" w:bidi="ar-SA"/>
    </w:rPr>
  </w:style>
  <w:style w:type="character" w:customStyle="1" w:styleId="388">
    <w:name w:val="说 Char"/>
    <w:link w:val="252"/>
    <w:qFormat/>
    <w:uiPriority w:val="0"/>
    <w:rPr>
      <w:rFonts w:ascii="??" w:hAnsi="??" w:eastAsia="Batang" w:cs="??"/>
      <w:b/>
      <w:kern w:val="2"/>
      <w:sz w:val="80"/>
      <w:szCs w:val="24"/>
    </w:rPr>
  </w:style>
  <w:style w:type="paragraph" w:customStyle="1" w:styleId="389">
    <w:name w:val="表格内文字"/>
    <w:basedOn w:val="1"/>
    <w:qFormat/>
    <w:uiPriority w:val="0"/>
    <w:pPr>
      <w:spacing w:line="240" w:lineRule="auto"/>
      <w:ind w:firstLine="0" w:firstLineChars="0"/>
      <w:jc w:val="center"/>
    </w:pPr>
    <w:rPr>
      <w:rFonts w:ascii="Calibri" w:hAnsi="Calibri" w:cs="Times New Roman"/>
      <w:sz w:val="21"/>
      <w:szCs w:val="21"/>
    </w:rPr>
  </w:style>
  <w:style w:type="paragraph" w:customStyle="1" w:styleId="390">
    <w:name w:val="表格标题行"/>
    <w:basedOn w:val="1"/>
    <w:qFormat/>
    <w:uiPriority w:val="0"/>
    <w:pPr>
      <w:spacing w:line="240" w:lineRule="auto"/>
      <w:ind w:firstLine="0" w:firstLineChars="0"/>
      <w:jc w:val="center"/>
    </w:pPr>
    <w:rPr>
      <w:rFonts w:ascii="Calibri" w:hAnsi="Calibri" w:cs="Times New Roman"/>
      <w:b/>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2.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1.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header" Target="head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jpe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2.png"/><Relationship Id="rId17" Type="http://schemas.openxmlformats.org/officeDocument/2006/relationships/image" Target="media/image1.emf"/><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0" Type="http://schemas.openxmlformats.org/officeDocument/2006/relationships/fontTable" Target="fontTable.xml"/><Relationship Id="rId12" Type="http://schemas.openxmlformats.org/officeDocument/2006/relationships/footer" Target="footer4.xml"/><Relationship Id="rId119" Type="http://schemas.openxmlformats.org/officeDocument/2006/relationships/customXml" Target="../customXml/item2.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96.wmf"/><Relationship Id="rId115" Type="http://schemas.openxmlformats.org/officeDocument/2006/relationships/oleObject" Target="embeddings/oleObject4.bin"/><Relationship Id="rId114" Type="http://schemas.openxmlformats.org/officeDocument/2006/relationships/image" Target="media/image95.wmf"/><Relationship Id="rId113" Type="http://schemas.openxmlformats.org/officeDocument/2006/relationships/oleObject" Target="embeddings/oleObject3.bin"/><Relationship Id="rId112" Type="http://schemas.openxmlformats.org/officeDocument/2006/relationships/image" Target="media/image94.wmf"/><Relationship Id="rId111" Type="http://schemas.openxmlformats.org/officeDocument/2006/relationships/oleObject" Target="embeddings/oleObject2.bin"/><Relationship Id="rId110" Type="http://schemas.openxmlformats.org/officeDocument/2006/relationships/image" Target="media/image93.png"/><Relationship Id="rId11" Type="http://schemas.openxmlformats.org/officeDocument/2006/relationships/header" Target="header4.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自定义 1">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A40A78-0224-4EFA-9359-A494B1E498DE}">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264</Pages>
  <Words>7289</Words>
  <Characters>8825</Characters>
  <Lines>1169</Lines>
  <Paragraphs>329</Paragraphs>
  <TotalTime>649</TotalTime>
  <ScaleCrop>false</ScaleCrop>
  <LinksUpToDate>false</LinksUpToDate>
  <CharactersWithSpaces>9054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2024-09-11T14:24:00Z</dcterms:created>
  <dc:creator>白子明</dc:creator>
  <cp:lastModifiedBy>沈大了</cp:lastModifiedBy>
  <cp:lastPrinted>2025-05-29T01:11:00Z</cp:lastPrinted>
  <dcterms:modified xsi:type="dcterms:W3CDTF">2025-07-01T01:10:52Z</dcterms:modified>
  <cp:revision>2685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C8C3D3C6D58A4E47B852F9C393DCB5E8_13</vt:lpwstr>
  </property>
  <property fmtid="{D5CDD505-2E9C-101B-9397-08002B2CF9AE}" pid="4" name="KSOTemplateDocerSaveRecord">
    <vt:lpwstr>eyJoZGlkIjoiNWNlMDBmZjhiOTllNTM3OWE1NTEzNWJiNmY3NjM1OWIiLCJ1c2VySWQiOiI2NzgyMTQ5NDAifQ==</vt:lpwstr>
  </property>
</Properties>
</file>